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BE7" w:rsidTr="0010095E">
        <w:trPr>
          <w:trHeight w:hRule="exact" w:val="1418"/>
        </w:trPr>
        <w:tc>
          <w:tcPr>
            <w:tcW w:w="6804" w:type="dxa"/>
            <w:shd w:val="clear" w:color="auto" w:fill="auto"/>
            <w:vAlign w:val="center"/>
          </w:tcPr>
          <w:p w:rsidR="00751A4A" w:rsidRPr="00695BE7" w:rsidRDefault="00665135" w:rsidP="0010095E">
            <w:pPr>
              <w:pStyle w:val="EPName"/>
            </w:pPr>
            <w:r w:rsidRPr="00695BE7">
              <w:t>Eiropas Parlaments</w:t>
            </w:r>
          </w:p>
          <w:p w:rsidR="00751A4A" w:rsidRPr="00695BE7" w:rsidRDefault="00817416" w:rsidP="00756632">
            <w:pPr>
              <w:pStyle w:val="EPTerm"/>
              <w:rPr>
                <w:rStyle w:val="HideTWBExt"/>
                <w:noProof w:val="0"/>
                <w:vanish w:val="0"/>
                <w:color w:val="auto"/>
              </w:rPr>
            </w:pPr>
            <w:r w:rsidRPr="00695BE7">
              <w:t>2019-2024</w:t>
            </w:r>
          </w:p>
        </w:tc>
        <w:tc>
          <w:tcPr>
            <w:tcW w:w="2268" w:type="dxa"/>
            <w:shd w:val="clear" w:color="auto" w:fill="auto"/>
          </w:tcPr>
          <w:p w:rsidR="00751A4A" w:rsidRPr="00695BE7" w:rsidRDefault="00187494" w:rsidP="0010095E">
            <w:pPr>
              <w:pStyle w:val="EPLogo"/>
            </w:pPr>
            <w:r w:rsidRPr="00695BE7">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5BE7" w:rsidRDefault="00D058B8" w:rsidP="004C5D52">
      <w:pPr>
        <w:pStyle w:val="LineTop"/>
      </w:pPr>
    </w:p>
    <w:p w:rsidR="0095242A" w:rsidRPr="00695BE7" w:rsidRDefault="00665135" w:rsidP="00680577">
      <w:pPr>
        <w:pStyle w:val="EPBodyTA1"/>
      </w:pPr>
      <w:r w:rsidRPr="00695BE7">
        <w:t>PIEŅEMTIE TEKSTI</w:t>
      </w:r>
      <w:bookmarkStart w:id="0" w:name="TANumber"/>
    </w:p>
    <w:p w:rsidR="00665135" w:rsidRPr="00695BE7" w:rsidRDefault="00665135" w:rsidP="00665135">
      <w:pPr>
        <w:pStyle w:val="ATHeading1"/>
      </w:pPr>
      <w:r w:rsidRPr="00695BE7">
        <w:t>P9_TA(2024)</w:t>
      </w:r>
      <w:bookmarkEnd w:id="0"/>
      <w:r w:rsidR="00695BE7" w:rsidRPr="00695BE7">
        <w:t>0010</w:t>
      </w:r>
    </w:p>
    <w:p w:rsidR="00665135" w:rsidRPr="00695BE7" w:rsidRDefault="0095242A" w:rsidP="0095242A">
      <w:pPr>
        <w:pStyle w:val="ATHeading2"/>
      </w:pPr>
      <w:bookmarkStart w:id="1" w:name="title"/>
      <w:r w:rsidRPr="00695BE7">
        <w:t>Teritoriālās attīstības īstenošana (KNR III sadaļas II nodaļa) un tās piemērošana Eiropas Teritoriālās attīstības programmā 2030. gadam</w:t>
      </w:r>
      <w:bookmarkEnd w:id="1"/>
    </w:p>
    <w:p w:rsidR="00665135" w:rsidRPr="00695BE7" w:rsidRDefault="00665135" w:rsidP="00665135">
      <w:pPr>
        <w:rPr>
          <w:i/>
          <w:vanish/>
        </w:rPr>
      </w:pPr>
      <w:r w:rsidRPr="00695BE7">
        <w:rPr>
          <w:i/>
        </w:rPr>
        <w:fldChar w:fldCharType="begin"/>
      </w:r>
      <w:r w:rsidRPr="00695BE7">
        <w:rPr>
          <w:i/>
        </w:rPr>
        <w:instrText xml:space="preserve"> TC"(</w:instrText>
      </w:r>
      <w:bookmarkStart w:id="2" w:name="DocNumber"/>
      <w:r w:rsidRPr="00695BE7">
        <w:rPr>
          <w:i/>
        </w:rPr>
        <w:instrText>A9-0420/2023</w:instrText>
      </w:r>
      <w:bookmarkEnd w:id="2"/>
      <w:r w:rsidRPr="00695BE7">
        <w:rPr>
          <w:i/>
        </w:rPr>
        <w:instrText xml:space="preserve"> - Referents: Marcos Ros Sempere)"\l3 \n&gt; \* MERGEFORMAT </w:instrText>
      </w:r>
      <w:r w:rsidRPr="00695BE7">
        <w:rPr>
          <w:i/>
        </w:rPr>
        <w:fldChar w:fldCharType="end"/>
      </w:r>
    </w:p>
    <w:p w:rsidR="00665135" w:rsidRPr="00695BE7" w:rsidRDefault="00665135" w:rsidP="00665135">
      <w:pPr>
        <w:rPr>
          <w:vanish/>
        </w:rPr>
      </w:pPr>
      <w:bookmarkStart w:id="3" w:name="Commission"/>
      <w:r w:rsidRPr="00695BE7">
        <w:rPr>
          <w:vanish/>
        </w:rPr>
        <w:t>Reģionālās attīstības komiteja</w:t>
      </w:r>
      <w:bookmarkEnd w:id="3"/>
    </w:p>
    <w:p w:rsidR="00665135" w:rsidRPr="00695BE7" w:rsidRDefault="00665135" w:rsidP="00665135">
      <w:pPr>
        <w:rPr>
          <w:vanish/>
        </w:rPr>
      </w:pPr>
      <w:bookmarkStart w:id="4" w:name="PE"/>
      <w:r w:rsidRPr="00695BE7">
        <w:rPr>
          <w:vanish/>
        </w:rPr>
        <w:t>PE750.084</w:t>
      </w:r>
      <w:bookmarkEnd w:id="4"/>
    </w:p>
    <w:p w:rsidR="00665135" w:rsidRPr="00695BE7" w:rsidRDefault="00665135" w:rsidP="00665135">
      <w:pPr>
        <w:pStyle w:val="ATHeading3"/>
      </w:pPr>
      <w:bookmarkStart w:id="5" w:name="Sujet"/>
      <w:r w:rsidRPr="00695BE7">
        <w:t xml:space="preserve">Eiropas Parlamenta 2024. gada </w:t>
      </w:r>
      <w:r w:rsidR="0095242A" w:rsidRPr="00695BE7">
        <w:t>16. janvāra</w:t>
      </w:r>
      <w:r w:rsidRPr="00695BE7">
        <w:t xml:space="preserve"> rezolūcija par teritoriālās attīstības īstenošanu (KNR III sadaļas II nodaļa) un tās piemērošanu Eiropas Teritoriālās attīstības programmā 2030. gadam</w:t>
      </w:r>
      <w:bookmarkEnd w:id="5"/>
      <w:r w:rsidRPr="00695BE7">
        <w:t xml:space="preserve"> </w:t>
      </w:r>
      <w:bookmarkStart w:id="6" w:name="References"/>
      <w:r w:rsidRPr="00695BE7">
        <w:t>(2023/2048(INI))</w:t>
      </w:r>
      <w:bookmarkEnd w:id="6"/>
    </w:p>
    <w:p w:rsidR="0051072E" w:rsidRPr="00695BE7" w:rsidRDefault="0051072E" w:rsidP="0051072E">
      <w:pPr>
        <w:pStyle w:val="NormalBold"/>
        <w:spacing w:after="240"/>
      </w:pPr>
      <w:bookmarkStart w:id="7" w:name="TextBodyBegin"/>
      <w:bookmarkEnd w:id="7"/>
    </w:p>
    <w:p w:rsidR="0051072E" w:rsidRPr="00695BE7" w:rsidRDefault="0051072E" w:rsidP="0051072E">
      <w:pPr>
        <w:widowControl/>
        <w:spacing w:after="240"/>
        <w:ind w:left="567" w:hanging="567"/>
      </w:pPr>
      <w:r w:rsidRPr="00695BE7">
        <w:rPr>
          <w:i/>
          <w:iCs/>
        </w:rPr>
        <w:t>Eiropas Parlaments</w:t>
      </w:r>
      <w:r w:rsidRPr="00695BE7">
        <w:t>,</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Līgumu par Eiropas Savienības darbību, jo īpaši tā XVIII sadaļu,</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695BE7">
        <w:rPr>
          <w:snapToGrid w:val="0"/>
          <w:vertAlign w:val="superscript"/>
          <w:lang w:eastAsia="en-US"/>
        </w:rPr>
        <w:footnoteReference w:id="1"/>
      </w:r>
      <w:r w:rsidRPr="00695BE7">
        <w:rPr>
          <w:snapToGrid w:val="0"/>
        </w:rPr>
        <w:t xml:space="preserve"> (“Kopīgo noteikumu regula” – KNR),</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Eiropas Parlamenta un Padomes Regulu (ES) 2021/1058 (2021. gada 24. jūnijs) par Eiropas Reģionālās attīstības fondu un Kohēzijas fondu</w:t>
      </w:r>
      <w:r w:rsidRPr="00695BE7">
        <w:rPr>
          <w:snapToGrid w:val="0"/>
          <w:vertAlign w:val="superscript"/>
          <w:lang w:eastAsia="en-US"/>
        </w:rPr>
        <w:footnoteReference w:id="2"/>
      </w:r>
      <w:r w:rsidRPr="00695BE7">
        <w:rPr>
          <w:snapToGrid w:val="0"/>
        </w:rPr>
        <w:t>,</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Eiropas Parlamenta un Padomes Regulu (ES) 2021/1059 (2021. gada 24. jūnijs) par īpašiem noteikumiem attiecībā uz Eiropas teritoriālās sadarbības mērķi (</w:t>
      </w:r>
      <w:proofErr w:type="spellStart"/>
      <w:r w:rsidRPr="00695BE7">
        <w:rPr>
          <w:i/>
          <w:snapToGrid w:val="0"/>
        </w:rPr>
        <w:t>Interreg</w:t>
      </w:r>
      <w:proofErr w:type="spellEnd"/>
      <w:r w:rsidRPr="00695BE7">
        <w:rPr>
          <w:snapToGrid w:val="0"/>
        </w:rPr>
        <w:t>), kas saņem atbalstu no Eiropas Reģionālās attīstības fonda un ārējās finansēšanas instrumentiem</w:t>
      </w:r>
      <w:r w:rsidRPr="00695BE7">
        <w:rPr>
          <w:snapToGrid w:val="0"/>
          <w:vertAlign w:val="superscript"/>
          <w:lang w:eastAsia="en-US"/>
        </w:rPr>
        <w:footnoteReference w:id="3"/>
      </w:r>
      <w:r w:rsidRPr="00695BE7">
        <w:rPr>
          <w:snapToGrid w:val="0"/>
        </w:rPr>
        <w:t>,</w:t>
      </w:r>
    </w:p>
    <w:p w:rsidR="0051072E" w:rsidRPr="00695BE7" w:rsidRDefault="0051072E" w:rsidP="0051072E">
      <w:pPr>
        <w:widowControl/>
        <w:spacing w:after="240"/>
        <w:ind w:left="567" w:hanging="567"/>
      </w:pPr>
      <w:r w:rsidRPr="00695BE7">
        <w:rPr>
          <w:snapToGrid w:val="0"/>
        </w:rPr>
        <w:t>–</w:t>
      </w:r>
      <w:r w:rsidRPr="00695BE7">
        <w:rPr>
          <w:snapToGrid w:val="0"/>
        </w:rPr>
        <w:tab/>
      </w:r>
      <w:r w:rsidRPr="00695BE7">
        <w:t>ņemot vērā Eiropas Parlamenta un Padomes 2021. gada 24. jūnija Regulu (ES) 2021/1056, ar ko izveido Taisnīgas pārkārtošanās fondu</w:t>
      </w:r>
      <w:r w:rsidRPr="00695BE7">
        <w:rPr>
          <w:vertAlign w:val="superscript"/>
        </w:rPr>
        <w:footnoteReference w:id="4"/>
      </w:r>
      <w:r w:rsidRPr="00695BE7">
        <w:t>,</w:t>
      </w:r>
    </w:p>
    <w:p w:rsidR="0051072E" w:rsidRPr="00695BE7" w:rsidRDefault="0051072E" w:rsidP="0051072E">
      <w:pPr>
        <w:pStyle w:val="NormalBold"/>
        <w:spacing w:after="240"/>
        <w:ind w:left="567" w:hanging="567"/>
        <w:rPr>
          <w:b w:val="0"/>
        </w:rPr>
      </w:pPr>
      <w:r w:rsidRPr="00695BE7">
        <w:rPr>
          <w:b w:val="0"/>
        </w:rPr>
        <w:t>–</w:t>
      </w:r>
      <w:r w:rsidRPr="00695BE7">
        <w:rPr>
          <w:b w:val="0"/>
        </w:rPr>
        <w:tab/>
        <w:t xml:space="preserve">ņemot vērā Eiropas Parlamenta un Padomes 2021. gada 2. decembra Regulu (ES) </w:t>
      </w:r>
      <w:r w:rsidRPr="00695BE7">
        <w:rPr>
          <w:b w:val="0"/>
        </w:rPr>
        <w:lastRenderedPageBreak/>
        <w:t>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695BE7">
        <w:rPr>
          <w:rStyle w:val="FootnoteReference"/>
          <w:b w:val="0"/>
        </w:rPr>
        <w:footnoteReference w:id="5"/>
      </w:r>
      <w:r w:rsidRPr="00695BE7">
        <w:rPr>
          <w:b w:val="0"/>
        </w:rPr>
        <w:t xml:space="preserve">, </w:t>
      </w:r>
    </w:p>
    <w:p w:rsidR="0051072E" w:rsidRPr="00695BE7" w:rsidRDefault="0051072E" w:rsidP="0051072E">
      <w:pPr>
        <w:pStyle w:val="NormalHanging12a"/>
      </w:pPr>
      <w:r w:rsidRPr="00695BE7">
        <w:t>–</w:t>
      </w:r>
      <w:r w:rsidRPr="00695BE7">
        <w:tab/>
        <w:t>ņemot vērā Eiropas Parlamenta un Padomes 2020. gada 23. decembra Regulu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w:t>
      </w:r>
      <w:r w:rsidRPr="00695BE7">
        <w:rPr>
          <w:vertAlign w:val="superscript"/>
        </w:rPr>
        <w:footnoteReference w:id="6"/>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Eiropas Parlamenta un Padomes 2013. gada 17. decembra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Pr="00695BE7">
        <w:rPr>
          <w:snapToGrid w:val="0"/>
          <w:vertAlign w:val="superscript"/>
          <w:lang w:eastAsia="en-US"/>
        </w:rPr>
        <w:footnoteReference w:id="7"/>
      </w:r>
      <w:r w:rsidRPr="00695BE7">
        <w:rPr>
          <w:snapToGrid w:val="0"/>
        </w:rPr>
        <w:t>,</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nolīgumu, ko pieņēma ANO Vispārējās konvencijas par klimata pārmaiņām Pušu 21. konferencē (</w:t>
      </w:r>
      <w:r w:rsidRPr="00695BE7">
        <w:rPr>
          <w:i/>
          <w:snapToGrid w:val="0"/>
        </w:rPr>
        <w:t>COP21</w:t>
      </w:r>
      <w:r w:rsidRPr="00695BE7">
        <w:rPr>
          <w:snapToGrid w:val="0"/>
        </w:rPr>
        <w:t>) Parīzē, 2015. gada 12. decembrī (Parīzes nolīgums),</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ANO Ilgtspējīgas attīstības programmu 2030. gadam, jo īpaši 11. ilgtspējīgas attīstības mērķi (IAM) par ilgtspējīgām pilsētām un kopienām,</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w:t>
      </w:r>
      <w:r w:rsidRPr="00695BE7">
        <w:t xml:space="preserve"> vērā </w:t>
      </w:r>
      <w:r w:rsidRPr="00695BE7">
        <w:rPr>
          <w:snapToGrid w:val="0"/>
        </w:rPr>
        <w:t>Teritoriālās attīstības programmu 2030. gadam</w:t>
      </w:r>
      <w:r w:rsidRPr="00695BE7">
        <w:t xml:space="preserve"> "Nākotne visām vietām", </w:t>
      </w:r>
      <w:r w:rsidRPr="00695BE7">
        <w:rPr>
          <w:snapToGrid w:val="0"/>
        </w:rPr>
        <w:t>ko pieņēma</w:t>
      </w:r>
      <w:r w:rsidRPr="00695BE7">
        <w:t xml:space="preserve"> par telpisko plānošanu, teritoriālo attīstību un/vai teritoriālo kohēziju atbildīgo ministru neformālajā sanāksmē </w:t>
      </w:r>
      <w:r w:rsidRPr="00695BE7">
        <w:rPr>
          <w:snapToGrid w:val="0"/>
        </w:rPr>
        <w:t>2020. gada 1. decembrī,</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 xml:space="preserve">ņemot vērā "Amsterdamas </w:t>
      </w:r>
      <w:proofErr w:type="spellStart"/>
      <w:r w:rsidRPr="00695BE7">
        <w:rPr>
          <w:snapToGrid w:val="0"/>
        </w:rPr>
        <w:t>paktu</w:t>
      </w:r>
      <w:proofErr w:type="spellEnd"/>
      <w:r w:rsidRPr="00695BE7">
        <w:rPr>
          <w:snapToGrid w:val="0"/>
        </w:rPr>
        <w:t xml:space="preserve">", ar ko izveido ES </w:t>
      </w:r>
      <w:proofErr w:type="spellStart"/>
      <w:r w:rsidRPr="00695BE7">
        <w:rPr>
          <w:snapToGrid w:val="0"/>
        </w:rPr>
        <w:t>pilsētprogrammu</w:t>
      </w:r>
      <w:proofErr w:type="spellEnd"/>
      <w:r w:rsidRPr="00695BE7">
        <w:rPr>
          <w:snapToGrid w:val="0"/>
        </w:rPr>
        <w:t>, par ko 2016. gada 30. maijā vienojās par pilsētu jautājumiem atbildīgie ES ministri,</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jauno Leipcigas hartu par pilsētu pārveidojošo spēku vispārējas labklājības labā, ko</w:t>
      </w:r>
      <w:r w:rsidRPr="00695BE7">
        <w:t xml:space="preserve"> 2020. gada 30. novembrī pieņēma </w:t>
      </w:r>
      <w:r w:rsidRPr="00695BE7">
        <w:rPr>
          <w:snapToGrid w:val="0"/>
        </w:rPr>
        <w:t>neformālā ministru sanāksmē par pilsētu jautājumiem,</w:t>
      </w:r>
    </w:p>
    <w:p w:rsidR="0051072E" w:rsidRPr="00695BE7" w:rsidRDefault="0051072E" w:rsidP="0051072E">
      <w:pPr>
        <w:widowControl/>
        <w:spacing w:after="240"/>
        <w:ind w:left="567" w:hanging="567"/>
        <w:rPr>
          <w:rFonts w:eastAsia="Calibri"/>
          <w:szCs w:val="24"/>
        </w:rPr>
      </w:pPr>
      <w:r w:rsidRPr="00695BE7">
        <w:rPr>
          <w:snapToGrid w:val="0"/>
        </w:rPr>
        <w:t>–</w:t>
      </w:r>
      <w:r w:rsidRPr="00695BE7">
        <w:rPr>
          <w:snapToGrid w:val="0"/>
        </w:rPr>
        <w:tab/>
        <w:t xml:space="preserve">ņemot vērā </w:t>
      </w:r>
      <w:r w:rsidRPr="00695BE7">
        <w:t>Ļubļanas nolīgumu, ko pieņēma par pilsētu jautājumiem atbildīgo ministru neoficiālajā sanāksmē 2021. gada 26. novembrī,</w:t>
      </w:r>
    </w:p>
    <w:p w:rsidR="0051072E" w:rsidRPr="00695BE7" w:rsidRDefault="0051072E" w:rsidP="0051072E">
      <w:pPr>
        <w:widowControl/>
        <w:spacing w:after="240"/>
        <w:ind w:left="567" w:hanging="567"/>
        <w:rPr>
          <w:rFonts w:eastAsia="Calibri"/>
          <w:szCs w:val="24"/>
        </w:rPr>
      </w:pPr>
      <w:r w:rsidRPr="00695BE7">
        <w:rPr>
          <w:snapToGrid w:val="0"/>
        </w:rPr>
        <w:t>–</w:t>
      </w:r>
      <w:r w:rsidRPr="00695BE7">
        <w:rPr>
          <w:snapToGrid w:val="0"/>
        </w:rPr>
        <w:tab/>
        <w:t xml:space="preserve">ņemot vērā </w:t>
      </w:r>
      <w:r w:rsidRPr="00695BE7">
        <w:t xml:space="preserve">Jauno </w:t>
      </w:r>
      <w:proofErr w:type="spellStart"/>
      <w:r w:rsidRPr="00695BE7">
        <w:t>pilsētattīstības</w:t>
      </w:r>
      <w:proofErr w:type="spellEnd"/>
      <w:r w:rsidRPr="00695BE7">
        <w:t xml:space="preserve"> programmu, ko Apvienoto Nāciju Organizācija pieņēma 2016. gada 20. oktobrī,</w:t>
      </w:r>
    </w:p>
    <w:p w:rsidR="0051072E" w:rsidRPr="00695BE7" w:rsidRDefault="0051072E" w:rsidP="0051072E">
      <w:pPr>
        <w:widowControl/>
        <w:spacing w:after="240"/>
        <w:ind w:left="567" w:hanging="567"/>
        <w:rPr>
          <w:rFonts w:eastAsia="Calibri"/>
          <w:szCs w:val="24"/>
        </w:rPr>
      </w:pPr>
      <w:r w:rsidRPr="00695BE7">
        <w:rPr>
          <w:snapToGrid w:val="0"/>
        </w:rPr>
        <w:t>–</w:t>
      </w:r>
      <w:r w:rsidRPr="00695BE7">
        <w:rPr>
          <w:snapToGrid w:val="0"/>
        </w:rPr>
        <w:tab/>
        <w:t>ņemot vērā</w:t>
      </w:r>
      <w:r w:rsidRPr="00695BE7">
        <w:t xml:space="preserve"> Komisijas 2023. gada 17. janvāra paziņojumu “Talantu izmantošana Eiropas reģionos” (COM(2023)0032),</w:t>
      </w:r>
    </w:p>
    <w:p w:rsidR="0051072E" w:rsidRPr="00695BE7" w:rsidRDefault="0051072E" w:rsidP="0051072E">
      <w:pPr>
        <w:widowControl/>
        <w:spacing w:after="240"/>
        <w:ind w:left="567" w:hanging="567"/>
        <w:rPr>
          <w:snapToGrid w:val="0"/>
          <w:szCs w:val="24"/>
        </w:rPr>
      </w:pPr>
      <w:r w:rsidRPr="00695BE7">
        <w:rPr>
          <w:snapToGrid w:val="0"/>
        </w:rPr>
        <w:lastRenderedPageBreak/>
        <w:t>–</w:t>
      </w:r>
      <w:r w:rsidRPr="00695BE7">
        <w:rPr>
          <w:snapToGrid w:val="0"/>
        </w:rPr>
        <w:tab/>
        <w:t xml:space="preserve">ņemot vērā </w:t>
      </w:r>
      <w:r w:rsidRPr="00695BE7">
        <w:rPr>
          <w:shd w:val="clear" w:color="auto" w:fill="FFFFFF"/>
        </w:rPr>
        <w:t>Komisijas 2022. gada 4. februāra paziņojumu</w:t>
      </w:r>
      <w:r w:rsidRPr="00695BE7">
        <w:t> </w:t>
      </w:r>
      <w:r w:rsidRPr="00695BE7">
        <w:rPr>
          <w:shd w:val="clear" w:color="auto" w:fill="FFFFFF"/>
        </w:rPr>
        <w:t>par 8. kohēzijas ziņojumu — Kohēzija Eiropā 2050. gada perspektīvā (COM(2022)0034),</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 xml:space="preserve">ņemot vērā Komisijas 2021. gada 30. jūnija paziņojumu "Ilgtermiņa redzējums par ES lauku apvidiem: kāds ceļš ejams, lai līdz 2040. gadam lauku apvidi kļūtu spēcīgāki, savienoti, </w:t>
      </w:r>
      <w:proofErr w:type="spellStart"/>
      <w:r w:rsidRPr="00695BE7">
        <w:rPr>
          <w:snapToGrid w:val="0"/>
        </w:rPr>
        <w:t>izturētspējīgi</w:t>
      </w:r>
      <w:proofErr w:type="spellEnd"/>
      <w:r w:rsidRPr="00695BE7">
        <w:rPr>
          <w:snapToGrid w:val="0"/>
        </w:rPr>
        <w:t xml:space="preserve"> un pārtikuši" (COM(2021)0345),</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Komisijas 2021. gada 3. marta paziņojumu "Savienība, kurā valda līdztiesība: personu ar invaliditāti tiesību stratēģija 2021.–2030. gadam" (COM(2021)0101),</w:t>
      </w:r>
    </w:p>
    <w:p w:rsidR="0051072E" w:rsidRPr="00695BE7" w:rsidRDefault="0051072E" w:rsidP="0051072E">
      <w:pPr>
        <w:widowControl/>
        <w:spacing w:after="240"/>
        <w:ind w:left="567" w:hanging="567"/>
        <w:rPr>
          <w:rFonts w:eastAsia="Calibri" w:cs="Calibri"/>
          <w:szCs w:val="24"/>
        </w:rPr>
      </w:pPr>
      <w:r w:rsidRPr="00695BE7">
        <w:rPr>
          <w:snapToGrid w:val="0"/>
        </w:rPr>
        <w:t>–</w:t>
      </w:r>
      <w:r w:rsidRPr="00695BE7">
        <w:rPr>
          <w:snapToGrid w:val="0"/>
        </w:rPr>
        <w:tab/>
        <w:t>ņemot vērā Komisijas 2019. gada 11. decembra paziņojumu par Eiropas zaļo kursu (COM(2019)0640),</w:t>
      </w:r>
      <w:r w:rsidRPr="00695BE7">
        <w:t xml:space="preserve"> </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Komisijas 2020. gada 17. septembra paziņojumu</w:t>
      </w:r>
      <w:r w:rsidRPr="00695BE7">
        <w:t xml:space="preserve"> "Eiropas 2030. gada klimatisko ieceru vēriena kāpināšana. Investīcijas </w:t>
      </w:r>
      <w:proofErr w:type="spellStart"/>
      <w:r w:rsidRPr="00695BE7">
        <w:t>klimatneitrālā</w:t>
      </w:r>
      <w:proofErr w:type="spellEnd"/>
      <w:r w:rsidRPr="00695BE7">
        <w:t xml:space="preserve"> nākotnē cilvēku labā" </w:t>
      </w:r>
      <w:r w:rsidRPr="00695BE7">
        <w:rPr>
          <w:snapToGrid w:val="0"/>
        </w:rPr>
        <w:t>(COM(2020)0562),</w:t>
      </w:r>
    </w:p>
    <w:p w:rsidR="0051072E" w:rsidRPr="00695BE7" w:rsidRDefault="0051072E" w:rsidP="0051072E">
      <w:pPr>
        <w:widowControl/>
        <w:spacing w:after="240"/>
        <w:ind w:left="567" w:hanging="567"/>
        <w:rPr>
          <w:rFonts w:eastAsia="Calibri" w:cs="Calibri"/>
          <w:szCs w:val="24"/>
        </w:rPr>
      </w:pPr>
      <w:r w:rsidRPr="00695BE7">
        <w:rPr>
          <w:snapToGrid w:val="0"/>
        </w:rPr>
        <w:t>–</w:t>
      </w:r>
      <w:r w:rsidRPr="00695BE7">
        <w:rPr>
          <w:snapToGrid w:val="0"/>
        </w:rPr>
        <w:tab/>
        <w:t>ņemot</w:t>
      </w:r>
      <w:r w:rsidRPr="00695BE7">
        <w:t xml:space="preserve"> vērā Komisijas iniciatīvu "Jaunais Eiropas "</w:t>
      </w:r>
      <w:proofErr w:type="spellStart"/>
      <w:r w:rsidRPr="00695BE7">
        <w:t>Bauhaus</w:t>
      </w:r>
      <w:proofErr w:type="spellEnd"/>
      <w:r w:rsidRPr="00695BE7">
        <w:t>"", kas tika uzsākta 2020. gada 16. septembrī,</w:t>
      </w:r>
    </w:p>
    <w:p w:rsidR="0051072E" w:rsidRPr="00695BE7" w:rsidRDefault="0051072E" w:rsidP="0051072E">
      <w:pPr>
        <w:spacing w:after="240"/>
        <w:ind w:left="567" w:hanging="567"/>
      </w:pPr>
      <w:r w:rsidRPr="00695BE7">
        <w:rPr>
          <w:snapToGrid w:val="0"/>
        </w:rPr>
        <w:t>–</w:t>
      </w:r>
      <w:r w:rsidRPr="00695BE7">
        <w:rPr>
          <w:snapToGrid w:val="0"/>
        </w:rPr>
        <w:tab/>
        <w:t xml:space="preserve">ņemot </w:t>
      </w:r>
      <w:r w:rsidRPr="00695BE7">
        <w:t>vērā Komisijas dienestu 2022. gada 17. jūnija darba dokumentu "Jaunā Eiropas "</w:t>
      </w:r>
      <w:proofErr w:type="spellStart"/>
      <w:r w:rsidRPr="00695BE7">
        <w:t>Bauhaus</w:t>
      </w:r>
      <w:proofErr w:type="spellEnd"/>
      <w:r w:rsidRPr="00695BE7">
        <w:t>" teritoriālās attīstības modeļa (</w:t>
      </w:r>
      <w:r w:rsidRPr="00695BE7">
        <w:rPr>
          <w:i/>
        </w:rPr>
        <w:t>NEB TDM</w:t>
      </w:r>
      <w:r w:rsidRPr="00695BE7">
        <w:t>) finanšu instruments" (SWD(2022)0172),</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2022. gada 14. septembra rezolūciju par jauno Eiropas “</w:t>
      </w:r>
      <w:proofErr w:type="spellStart"/>
      <w:r w:rsidRPr="00695BE7">
        <w:rPr>
          <w:snapToGrid w:val="0"/>
        </w:rPr>
        <w:t>Bauhaus</w:t>
      </w:r>
      <w:proofErr w:type="spellEnd"/>
      <w:r w:rsidRPr="00695BE7">
        <w:rPr>
          <w:snapToGrid w:val="0"/>
        </w:rPr>
        <w:t>”</w:t>
      </w:r>
      <w:r w:rsidRPr="00695BE7">
        <w:rPr>
          <w:snapToGrid w:val="0"/>
          <w:vertAlign w:val="superscript"/>
          <w:lang w:eastAsia="en-US"/>
        </w:rPr>
        <w:footnoteReference w:id="8"/>
      </w:r>
      <w:r w:rsidRPr="00695BE7">
        <w:rPr>
          <w:snapToGrid w:val="0"/>
        </w:rPr>
        <w:t>,</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r>
      <w:r w:rsidRPr="00695BE7">
        <w:t>ņemot vērā 2022. gada 13. decembra rezolūciju par ilgtermiņa redzējumu attiecībā uz ES lauku apvidiem– virzība uz spēcīgākiem, labāk savienotiem, noturīgākiem un pārticīgākiem lauku apvidiem līdz 2040. gadam</w:t>
      </w:r>
      <w:r w:rsidRPr="00695BE7">
        <w:rPr>
          <w:snapToGrid w:val="0"/>
          <w:vertAlign w:val="superscript"/>
          <w:lang w:eastAsia="en-US"/>
        </w:rPr>
        <w:footnoteReference w:id="9"/>
      </w:r>
      <w:r w:rsidRPr="00695BE7">
        <w:t>,</w:t>
      </w:r>
      <w:r w:rsidRPr="00695BE7">
        <w:rPr>
          <w:snapToGrid w:val="0"/>
        </w:rPr>
        <w:t xml:space="preserve"> </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 xml:space="preserve">ņemot vērā 2022. gada 15. septembra </w:t>
      </w:r>
      <w:r w:rsidRPr="00695BE7">
        <w:t> </w:t>
      </w:r>
      <w:r w:rsidRPr="00695BE7">
        <w:rPr>
          <w:snapToGrid w:val="0"/>
        </w:rPr>
        <w:t>rezolūciju par ekonomisko, sociālo un teritoriālo kohēziju ES: 8. kohēzijas ziņojums</w:t>
      </w:r>
      <w:r w:rsidRPr="00695BE7">
        <w:rPr>
          <w:snapToGrid w:val="0"/>
          <w:vertAlign w:val="superscript"/>
          <w:lang w:eastAsia="en-US"/>
        </w:rPr>
        <w:footnoteReference w:id="10"/>
      </w:r>
      <w:r w:rsidRPr="00695BE7">
        <w:rPr>
          <w:snapToGrid w:val="0"/>
        </w:rPr>
        <w:t>,</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2022. gada 15. februāra rezolūciju par problēmām pilsētu teritorijās laikā pēc Covid-19 pandēmijas</w:t>
      </w:r>
      <w:r w:rsidRPr="00695BE7">
        <w:rPr>
          <w:snapToGrid w:val="0"/>
          <w:vertAlign w:val="superscript"/>
          <w:lang w:eastAsia="en-US"/>
        </w:rPr>
        <w:footnoteReference w:id="11"/>
      </w:r>
      <w:r w:rsidRPr="00695BE7">
        <w:rPr>
          <w:snapToGrid w:val="0"/>
        </w:rPr>
        <w:t>,</w:t>
      </w:r>
    </w:p>
    <w:p w:rsidR="0051072E" w:rsidRPr="00695BE7" w:rsidRDefault="0051072E" w:rsidP="0051072E">
      <w:pPr>
        <w:widowControl/>
        <w:spacing w:after="240"/>
        <w:ind w:left="567" w:hanging="567"/>
      </w:pPr>
      <w:r w:rsidRPr="00695BE7">
        <w:rPr>
          <w:snapToGrid w:val="0"/>
        </w:rPr>
        <w:t>–</w:t>
      </w:r>
      <w:r w:rsidRPr="00695BE7">
        <w:rPr>
          <w:snapToGrid w:val="0"/>
        </w:rPr>
        <w:tab/>
      </w:r>
      <w:r w:rsidRPr="00695BE7">
        <w:t>ņemot vērā 2021. gada 20. maija rezolūciju par ES reģionos vērojamo demogrāfisko tendenču apvēršanu pretējā virzienā, izmantojot kohēzijas politikas instrumentus</w:t>
      </w:r>
      <w:r w:rsidRPr="00695BE7">
        <w:rPr>
          <w:rStyle w:val="FootnoteReference"/>
        </w:rPr>
        <w:footnoteReference w:id="12"/>
      </w:r>
      <w:r w:rsidRPr="00695BE7">
        <w:t>,</w:t>
      </w:r>
    </w:p>
    <w:p w:rsidR="0051072E" w:rsidRPr="00695BE7" w:rsidRDefault="0051072E" w:rsidP="0051072E">
      <w:pPr>
        <w:widowControl/>
        <w:spacing w:after="240"/>
        <w:ind w:left="567" w:hanging="567"/>
      </w:pPr>
      <w:r w:rsidRPr="00695BE7">
        <w:rPr>
          <w:snapToGrid w:val="0"/>
        </w:rPr>
        <w:t>–</w:t>
      </w:r>
      <w:r w:rsidRPr="00695BE7">
        <w:rPr>
          <w:snapToGrid w:val="0"/>
        </w:rPr>
        <w:tab/>
      </w:r>
      <w:r w:rsidRPr="00695BE7">
        <w:t>ņemot vērā 2021. gada 25. marta rezolūciju par kohēzijas politiku un reģionālajām vides stratēģijām cīņā pret klimata pārmaiņām</w:t>
      </w:r>
      <w:r w:rsidRPr="00695BE7">
        <w:rPr>
          <w:rStyle w:val="FootnoteReference"/>
        </w:rPr>
        <w:footnoteReference w:id="13"/>
      </w:r>
      <w:r w:rsidRPr="00695BE7">
        <w:t>,</w:t>
      </w:r>
    </w:p>
    <w:p w:rsidR="0051072E" w:rsidRPr="00695BE7" w:rsidRDefault="0051072E" w:rsidP="0051072E">
      <w:pPr>
        <w:widowControl/>
        <w:spacing w:after="240"/>
        <w:ind w:left="567" w:hanging="567"/>
        <w:rPr>
          <w:snapToGrid w:val="0"/>
        </w:rPr>
      </w:pPr>
      <w:r w:rsidRPr="00695BE7">
        <w:rPr>
          <w:snapToGrid w:val="0"/>
        </w:rPr>
        <w:lastRenderedPageBreak/>
        <w:t>–</w:t>
      </w:r>
      <w:r w:rsidRPr="00695BE7">
        <w:rPr>
          <w:snapToGrid w:val="0"/>
        </w:rPr>
        <w:tab/>
        <w:t>ņemot vērā 2018. gada 13. marta rezolūciju par ES reģionu un pilsētu lomu COP 21 Parīzes klimata nolīguma īstenošanā</w:t>
      </w:r>
      <w:r w:rsidRPr="00695BE7">
        <w:rPr>
          <w:snapToGrid w:val="0"/>
          <w:vertAlign w:val="superscript"/>
          <w:lang w:eastAsia="en-US"/>
        </w:rPr>
        <w:footnoteReference w:id="14"/>
      </w:r>
      <w:r w:rsidRPr="00695BE7">
        <w:rPr>
          <w:snapToGrid w:val="0"/>
        </w:rPr>
        <w:t>,</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r>
      <w:r w:rsidRPr="00695BE7">
        <w:t xml:space="preserve">ņemot vērā Eiropas Ekonomikas un sociālo lietu komitejas 2020. gada 18. septembra atzinumu “ES teritoriālās attīstības programmas, Leipcigas hartas un ES </w:t>
      </w:r>
      <w:proofErr w:type="spellStart"/>
      <w:r w:rsidRPr="00695BE7">
        <w:t>pilsētprogrammas</w:t>
      </w:r>
      <w:proofErr w:type="spellEnd"/>
      <w:r w:rsidRPr="00695BE7">
        <w:t xml:space="preserve"> pārskatīšana”</w:t>
      </w:r>
      <w:r w:rsidRPr="00695BE7">
        <w:rPr>
          <w:rStyle w:val="FootnoteReference"/>
          <w:rFonts w:eastAsia="Calibri"/>
          <w:szCs w:val="24"/>
          <w:lang w:eastAsia="en-US"/>
        </w:rPr>
        <w:footnoteReference w:id="15"/>
      </w:r>
      <w:r w:rsidRPr="00695BE7">
        <w:t>,</w:t>
      </w:r>
    </w:p>
    <w:p w:rsidR="0051072E" w:rsidRPr="00695BE7" w:rsidRDefault="0051072E" w:rsidP="0051072E">
      <w:pPr>
        <w:widowControl/>
        <w:spacing w:after="240"/>
        <w:ind w:left="567" w:hanging="567"/>
        <w:rPr>
          <w:szCs w:val="32"/>
        </w:rPr>
      </w:pPr>
      <w:r w:rsidRPr="00695BE7">
        <w:rPr>
          <w:snapToGrid w:val="0"/>
        </w:rPr>
        <w:t>–</w:t>
      </w:r>
      <w:r w:rsidRPr="00695BE7">
        <w:rPr>
          <w:snapToGrid w:val="0"/>
        </w:rPr>
        <w:tab/>
        <w:t xml:space="preserve">ņemot vērā </w:t>
      </w:r>
      <w:r w:rsidRPr="00695BE7">
        <w:t>padziļināto analīzi "Teritoriālās attīstības programma 2030. gadam – īstenošanas pārskats", ko 2023. gada 7. jūnijā publicējis EP Iekšpolitikas ģenerāldirektorāts</w:t>
      </w:r>
      <w:r w:rsidRPr="00695BE7">
        <w:rPr>
          <w:rStyle w:val="FootnoteReference"/>
          <w:szCs w:val="32"/>
        </w:rPr>
        <w:footnoteReference w:id="16"/>
      </w:r>
      <w:r w:rsidRPr="00695BE7">
        <w:t>,</w:t>
      </w:r>
    </w:p>
    <w:p w:rsidR="0051072E" w:rsidRPr="00695BE7" w:rsidRDefault="0051072E" w:rsidP="0051072E">
      <w:pPr>
        <w:widowControl/>
        <w:spacing w:after="240"/>
        <w:ind w:left="567" w:hanging="567"/>
        <w:rPr>
          <w:szCs w:val="32"/>
        </w:rPr>
      </w:pPr>
      <w:r w:rsidRPr="00695BE7">
        <w:rPr>
          <w:snapToGrid w:val="0"/>
        </w:rPr>
        <w:t>–</w:t>
      </w:r>
      <w:r w:rsidRPr="00695BE7">
        <w:rPr>
          <w:snapToGrid w:val="0"/>
        </w:rPr>
        <w:tab/>
        <w:t xml:space="preserve">ņemot vērā </w:t>
      </w:r>
      <w:r w:rsidRPr="00695BE7">
        <w:t xml:space="preserve">Komisijas Reģionālās politikas un </w:t>
      </w:r>
      <w:proofErr w:type="spellStart"/>
      <w:r w:rsidRPr="00695BE7">
        <w:t>pilsētpolitikas</w:t>
      </w:r>
      <w:proofErr w:type="spellEnd"/>
      <w:r w:rsidRPr="00695BE7">
        <w:t xml:space="preserve"> ģenerāldirektorāta (</w:t>
      </w:r>
      <w:r w:rsidRPr="00695BE7">
        <w:rPr>
          <w:snapToGrid w:val="0"/>
        </w:rPr>
        <w:t>REGIO ĢD</w:t>
      </w:r>
      <w:r w:rsidRPr="00695BE7">
        <w:t>) uzdevumā veikto pētījumu “Integrētās teritoriālās un pilsētvides stratēģijas: kā ESI fondi rada pievienoto vērtību 2014.–2020. gadā”, kas publicēts 2017. gada decembrī</w:t>
      </w:r>
      <w:r w:rsidRPr="00695BE7">
        <w:rPr>
          <w:rFonts w:eastAsia="Calibri"/>
          <w:szCs w:val="24"/>
          <w:vertAlign w:val="superscript"/>
          <w:lang w:eastAsia="en-US"/>
        </w:rPr>
        <w:footnoteReference w:id="17"/>
      </w:r>
      <w:r w:rsidRPr="00695BE7">
        <w:t>,</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 xml:space="preserve">ņemot </w:t>
      </w:r>
      <w:r w:rsidRPr="00695BE7">
        <w:t xml:space="preserve">vērā </w:t>
      </w:r>
      <w:r w:rsidRPr="00695BE7">
        <w:rPr>
          <w:snapToGrid w:val="0"/>
        </w:rPr>
        <w:t>Eiropas Komisijas Kopīgā pētniecības centra (JRC) un Reģionālās politikas ģenerāldirektorāta (REGIO ĢD) izstrādāto interaktīvo rīku STRAT-</w:t>
      </w:r>
      <w:proofErr w:type="spellStart"/>
      <w:r w:rsidRPr="00695BE7">
        <w:rPr>
          <w:snapToGrid w:val="0"/>
        </w:rPr>
        <w:t>Board</w:t>
      </w:r>
      <w:proofErr w:type="spellEnd"/>
      <w:r w:rsidRPr="00695BE7">
        <w:rPr>
          <w:snapToGrid w:val="0"/>
        </w:rPr>
        <w:t>, kas parāda, kā Eiropas strukturālie un investīciju fondi (ESI fondi) atbalsta integrēto pieeju pilsētu un teritoriālajai attīstībai</w:t>
      </w:r>
      <w:r w:rsidRPr="00695BE7">
        <w:rPr>
          <w:rStyle w:val="FootnoteReference"/>
          <w:snapToGrid w:val="0"/>
          <w:lang w:eastAsia="en-US"/>
        </w:rPr>
        <w:footnoteReference w:id="18"/>
      </w:r>
      <w:r w:rsidRPr="00695BE7">
        <w:rPr>
          <w:snapToGrid w:val="0"/>
        </w:rPr>
        <w:t>,</w:t>
      </w:r>
    </w:p>
    <w:p w:rsidR="0051072E" w:rsidRPr="00695BE7" w:rsidRDefault="0051072E" w:rsidP="0051072E">
      <w:pPr>
        <w:widowControl/>
        <w:spacing w:after="240"/>
        <w:ind w:left="567" w:hanging="567"/>
      </w:pPr>
      <w:r w:rsidRPr="00695BE7">
        <w:rPr>
          <w:snapToGrid w:val="0"/>
        </w:rPr>
        <w:t>–</w:t>
      </w:r>
      <w:r w:rsidRPr="00695BE7">
        <w:rPr>
          <w:snapToGrid w:val="0"/>
        </w:rPr>
        <w:tab/>
        <w:t xml:space="preserve">ņemot vērā </w:t>
      </w:r>
      <w:r w:rsidRPr="00695BE7">
        <w:t>Teritoriālās un vietējās attīstības stratēģiju rokasgrāmatu</w:t>
      </w:r>
      <w:r w:rsidRPr="00695BE7">
        <w:rPr>
          <w:vertAlign w:val="superscript"/>
        </w:rPr>
        <w:footnoteReference w:id="19"/>
      </w:r>
      <w:r w:rsidRPr="00695BE7">
        <w:t xml:space="preserve"> un Ilgtspējīgas pilsētvides attīstības stratēģiju rokasgrāmatu</w:t>
      </w:r>
      <w:r w:rsidR="0095242A" w:rsidRPr="00695BE7">
        <w:rPr>
          <w:rStyle w:val="FootnoteReference"/>
        </w:rPr>
        <w:footnoteReference w:id="20"/>
      </w:r>
      <w:r w:rsidRPr="00695BE7">
        <w:t>, ko publicējis JRC,</w:t>
      </w:r>
    </w:p>
    <w:p w:rsidR="0051072E" w:rsidRPr="00695BE7" w:rsidRDefault="0051072E" w:rsidP="0051072E">
      <w:pPr>
        <w:pStyle w:val="NormalBold"/>
        <w:spacing w:after="240"/>
        <w:ind w:left="567" w:hanging="567"/>
        <w:jc w:val="both"/>
      </w:pPr>
      <w:r w:rsidRPr="00695BE7">
        <w:rPr>
          <w:b w:val="0"/>
        </w:rPr>
        <w:t>–</w:t>
      </w:r>
      <w:r w:rsidRPr="00695BE7">
        <w:rPr>
          <w:b w:val="0"/>
        </w:rPr>
        <w:tab/>
        <w:t>ņemot vērā REGIO ĢD 2023. gada martā publicēto darba dokumentu “ES neapmierinātības ģeogrāfija un reģionālās attīstības strupceļš”,</w:t>
      </w:r>
    </w:p>
    <w:p w:rsidR="0051072E" w:rsidRPr="00695BE7" w:rsidRDefault="0051072E" w:rsidP="0051072E">
      <w:pPr>
        <w:pStyle w:val="NormalBold"/>
        <w:spacing w:after="240"/>
        <w:ind w:left="567" w:hanging="567"/>
        <w:jc w:val="both"/>
        <w:rPr>
          <w:b w:val="0"/>
        </w:rPr>
      </w:pPr>
      <w:r w:rsidRPr="00695BE7">
        <w:rPr>
          <w:b w:val="0"/>
        </w:rPr>
        <w:t>–</w:t>
      </w:r>
      <w:r w:rsidRPr="00695BE7">
        <w:rPr>
          <w:b w:val="0"/>
        </w:rPr>
        <w:tab/>
        <w:t xml:space="preserve">ņemot vērā Eiropas Pašvaldību un reģionu padomes uzdevumā veikto pētījumu “ITI un </w:t>
      </w:r>
      <w:r w:rsidRPr="00695BE7">
        <w:rPr>
          <w:b w:val="0"/>
          <w:i/>
          <w:iCs/>
        </w:rPr>
        <w:t>CLLD</w:t>
      </w:r>
      <w:r w:rsidRPr="00695BE7">
        <w:rPr>
          <w:b w:val="0"/>
        </w:rPr>
        <w:t xml:space="preserve"> — integrētu teritoriālo instrumentu izmantošana kohēzijas politikā”, kas publicēts 2022. gada decembrī,</w:t>
      </w:r>
    </w:p>
    <w:p w:rsidR="0051072E" w:rsidRPr="00695BE7" w:rsidRDefault="0051072E" w:rsidP="0051072E">
      <w:pPr>
        <w:pStyle w:val="NormalBold"/>
        <w:spacing w:after="240"/>
        <w:ind w:left="567" w:hanging="567"/>
        <w:jc w:val="both"/>
        <w:rPr>
          <w:b w:val="0"/>
        </w:rPr>
      </w:pPr>
      <w:r w:rsidRPr="00695BE7">
        <w:rPr>
          <w:b w:val="0"/>
        </w:rPr>
        <w:t>–</w:t>
      </w:r>
      <w:r w:rsidRPr="00695BE7">
        <w:rPr>
          <w:b w:val="0"/>
        </w:rPr>
        <w:tab/>
        <w:t>ņemot vērā 2007. gada Leipcigas Hartu par ilgtspējīgām Eiropas pilsētām un 2020. gada 30. novembra jauno Leipcigas hartu par pilsētu pārveidojošo spēku vispārējas labklājības labā,</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 vērā Reglamenta 54. pantu, kā arī 1. panta 1. punkta e) apakšpunktu un 3. pielikumu Priekšsēdētāju konferences 2002. gada 12. decembra lēmumā par procedūru patstāvīgo ziņojumu sagatavošanas atļaujas piešķiršanai,</w:t>
      </w:r>
    </w:p>
    <w:p w:rsidR="0051072E" w:rsidRPr="00695BE7" w:rsidRDefault="0051072E" w:rsidP="0051072E">
      <w:pPr>
        <w:widowControl/>
        <w:spacing w:after="240"/>
        <w:ind w:left="567" w:hanging="567"/>
        <w:rPr>
          <w:snapToGrid w:val="0"/>
        </w:rPr>
      </w:pPr>
      <w:r w:rsidRPr="00695BE7">
        <w:rPr>
          <w:snapToGrid w:val="0"/>
        </w:rPr>
        <w:t>–</w:t>
      </w:r>
      <w:r w:rsidRPr="00695BE7">
        <w:rPr>
          <w:snapToGrid w:val="0"/>
        </w:rPr>
        <w:tab/>
        <w:t>ņemot</w:t>
      </w:r>
      <w:r w:rsidRPr="00695BE7">
        <w:t xml:space="preserve"> vērā Lauksaimniecības un lauku attīstības komitejas atzinumu,</w:t>
      </w:r>
    </w:p>
    <w:p w:rsidR="0051072E" w:rsidRPr="00695BE7" w:rsidRDefault="0051072E" w:rsidP="0051072E">
      <w:pPr>
        <w:widowControl/>
        <w:spacing w:after="240"/>
        <w:ind w:left="567" w:hanging="567"/>
        <w:rPr>
          <w:snapToGrid w:val="0"/>
        </w:rPr>
      </w:pPr>
      <w:r w:rsidRPr="00695BE7">
        <w:rPr>
          <w:snapToGrid w:val="0"/>
        </w:rPr>
        <w:lastRenderedPageBreak/>
        <w:t>–</w:t>
      </w:r>
      <w:r w:rsidRPr="00695BE7">
        <w:rPr>
          <w:snapToGrid w:val="0"/>
        </w:rPr>
        <w:tab/>
      </w:r>
      <w:r w:rsidRPr="00695BE7">
        <w:t>ņemot vērā Reģionālās attīstības komitejas ziņojumu (A9-0420/2023),</w:t>
      </w:r>
    </w:p>
    <w:p w:rsidR="0051072E" w:rsidRPr="00695BE7" w:rsidRDefault="0051072E" w:rsidP="0051072E">
      <w:pPr>
        <w:pStyle w:val="NormalHanging12a"/>
        <w:ind w:hanging="709"/>
      </w:pPr>
      <w:r w:rsidRPr="00695BE7">
        <w:t>A.</w:t>
      </w:r>
      <w:r w:rsidRPr="00695BE7">
        <w:tab/>
        <w:t>tā kā kohēzijas politika joprojām ir un tai arī turpmāk vajadzētu būt galvenajai ES reģionu un pilsētu ieguldījumu politikai un tās mērķis nav nepārtraukti kalpot par pirmo finansiālās palīdzības izvēli, lai reaģētu uz neparedzētiem notikumiem, kas satricina mūsu sociāli ekonomisko situāciju; tā kā Teritoriālās attīstības programma ir ES teritoriālās politikas vadošais instruments, kā atspoguļots tās valstu programmās un projektos, kas sniedz ievirzi stratēģiskai teritoriālajai plānošanai un reģionālajai attīstībai, aicina stiprināt nozaru politikas teritoriālo dimensiju visos pārvaldības līmeņos un censties veicināt iekļaujošu un ilgtspējīgu nākotni visām vietām un palīdzēt Eiropā sasniegt IAM;</w:t>
      </w:r>
    </w:p>
    <w:p w:rsidR="0051072E" w:rsidRPr="00695BE7" w:rsidRDefault="0051072E" w:rsidP="0051072E">
      <w:pPr>
        <w:pStyle w:val="NormalHanging12a"/>
        <w:rPr>
          <w:szCs w:val="24"/>
        </w:rPr>
      </w:pPr>
      <w:r w:rsidRPr="00695BE7">
        <w:t>B.</w:t>
      </w:r>
      <w:r w:rsidRPr="00695BE7">
        <w:tab/>
        <w:t>tā kā problēmas, ar kurām saskaras ES reģioni, tiek apzinātas un pārvaldītas teritoriālā līmenī;</w:t>
      </w:r>
    </w:p>
    <w:p w:rsidR="0051072E" w:rsidRPr="00695BE7" w:rsidRDefault="0051072E" w:rsidP="0051072E">
      <w:pPr>
        <w:pStyle w:val="NormalHanging12a"/>
      </w:pPr>
      <w:r w:rsidRPr="00695BE7">
        <w:t>C.</w:t>
      </w:r>
      <w:r w:rsidRPr="00695BE7">
        <w:tab/>
        <w:t xml:space="preserve">tā kā iepriekšējās un pašreizējās Kopīgo noteikumu regulās nav konkrētas atsauces attiecīgi uz Teritoriālās attīstības programmu 2020. gadam vai 2030. gadam; tā kā pašreizējās Kopīgo noteikumu regulas III sadaļas II nodaļa nodrošina pamatu kohēzijas politikas fondu izmantošanai, īstenojot teritoriālās attīstības stratēģijas; tā kā Regulas (ES) </w:t>
      </w:r>
      <w:r w:rsidR="00FA7463">
        <w:t>Nr. </w:t>
      </w:r>
      <w:r w:rsidRPr="00695BE7">
        <w:t>1301/2013</w:t>
      </w:r>
      <w:r w:rsidRPr="00695BE7">
        <w:rPr>
          <w:rStyle w:val="FootnoteReference"/>
        </w:rPr>
        <w:footnoteReference w:id="21"/>
      </w:r>
      <w:r w:rsidRPr="00695BE7">
        <w:t xml:space="preserve"> 7. pantā kā pamats atsevišķu darbību atlasei ir minēta ilgtspējīga pilsētu attīstība, kuras pamatā ir integrētas ilgtspējīgas pilsētu stratēģijas;</w:t>
      </w:r>
    </w:p>
    <w:p w:rsidR="0051072E" w:rsidRPr="00695BE7" w:rsidRDefault="0051072E" w:rsidP="0051072E">
      <w:pPr>
        <w:pStyle w:val="NormalHanging12a"/>
        <w:rPr>
          <w:szCs w:val="24"/>
        </w:rPr>
      </w:pPr>
      <w:r w:rsidRPr="00695BE7">
        <w:t>D</w:t>
      </w:r>
      <w:r w:rsidR="00FA7463">
        <w:t>.</w:t>
      </w:r>
      <w:r w:rsidRPr="00695BE7">
        <w:tab/>
        <w:t>tā kā konkrētai vietai pielāgotas pieejas politikas veidošanai, kuras pamatā ir integrēta teritoriālā attīstība, mērķis ir atraisīt unikālu potenciālu, kas saistīts ar teritoriālajiem resursiem, zināšanām un aktīviem, vienlaikus atzīstot, ka ir vajadzīgi pielāgoti risinājumi dažāda veida teritorijās;</w:t>
      </w:r>
    </w:p>
    <w:p w:rsidR="0051072E" w:rsidRPr="00695BE7" w:rsidRDefault="0051072E" w:rsidP="0051072E">
      <w:pPr>
        <w:pStyle w:val="NormalHanging12a"/>
        <w:ind w:hanging="640"/>
      </w:pPr>
      <w:r w:rsidRPr="00695BE7">
        <w:t>E.</w:t>
      </w:r>
      <w:r w:rsidRPr="00695BE7">
        <w:tab/>
        <w:t>tā kā šķiet, ka laikposmā no 2014. līdz 2020. gadam vietējās un reģionālās iestādes un pilsoniskā sabi</w:t>
      </w:r>
      <w:bookmarkStart w:id="8" w:name="_GoBack"/>
      <w:bookmarkEnd w:id="8"/>
      <w:r w:rsidRPr="00695BE7">
        <w:t xml:space="preserve">edrība </w:t>
      </w:r>
      <w:proofErr w:type="spellStart"/>
      <w:r w:rsidRPr="00695BE7">
        <w:t>saskārās</w:t>
      </w:r>
      <w:proofErr w:type="spellEnd"/>
      <w:r w:rsidRPr="00695BE7">
        <w:t xml:space="preserve"> galvenokārt ar tādām grūtībām kā nepietiekams tehniskais un administratīvais atbalsts, nesamērīgi birokrātiskie šķēršļi, prasmju un apmācības trūkums, zināšanu un spēju veidošanas trūkums un vāja sadarbība starp dažādiem pārvaldības līmeņiem, kā arī lēna līdzekļu apguve; </w:t>
      </w:r>
    </w:p>
    <w:p w:rsidR="0051072E" w:rsidRPr="00695BE7" w:rsidRDefault="0051072E" w:rsidP="0051072E">
      <w:pPr>
        <w:pStyle w:val="NormalHanging12a"/>
        <w:rPr>
          <w:szCs w:val="24"/>
        </w:rPr>
      </w:pPr>
      <w:r w:rsidRPr="00695BE7">
        <w:t>F.</w:t>
      </w:r>
      <w:r w:rsidRPr="00695BE7">
        <w:tab/>
        <w:t>tā kā šķiet, ka reģionos un administratīvajās vienībās, kur tiek īstenots LEADER, obligāti ieceļams vietējās rīcības grupas vadītājs palīdz uzlabot reģionālā finansējuma sniegumu un apguvi;</w:t>
      </w:r>
    </w:p>
    <w:p w:rsidR="0051072E" w:rsidRPr="00695BE7" w:rsidRDefault="0051072E" w:rsidP="0051072E">
      <w:pPr>
        <w:pStyle w:val="NormalHanging12a"/>
        <w:rPr>
          <w:szCs w:val="24"/>
        </w:rPr>
      </w:pPr>
      <w:r w:rsidRPr="00695BE7">
        <w:t>G.</w:t>
      </w:r>
      <w:r w:rsidRPr="00695BE7">
        <w:tab/>
        <w:t>tā kā ES teritoriālās daudzveidības bagātība būtu jāskata kā dinamiska un sarežģīta sistēma, kurā katrs reģions saskaras ar attīstības problēmām atbilstoši savām īpatnībām; tā kā pieaugošā nevienlīdzība starp vietām un starp iedzīvotājiem ir sasniegusi kritisku līmeni un ir vajadzīga saskaņota rīcība visos ģeogrāfiskajos un pārvaldības līmeņos, lai nodrošinātu pozitīvas nākotnes perspektīvas visiem iedzīvotājiem un vietām visā ES;</w:t>
      </w:r>
    </w:p>
    <w:p w:rsidR="0051072E" w:rsidRPr="00695BE7" w:rsidRDefault="0051072E" w:rsidP="0051072E">
      <w:pPr>
        <w:pStyle w:val="NormalHanging12a"/>
        <w:ind w:left="570" w:hanging="570"/>
      </w:pPr>
      <w:r w:rsidRPr="00695BE7">
        <w:t>H.</w:t>
      </w:r>
      <w:r w:rsidRPr="00695BE7">
        <w:tab/>
        <w:t>tā kā Teritoriālās un vietējās attīstības stratēģiju rokasgrāmata piedāvā metodisku atbalstu visos līmeņos;</w:t>
      </w:r>
    </w:p>
    <w:p w:rsidR="0051072E" w:rsidRPr="00695BE7" w:rsidRDefault="0051072E" w:rsidP="0051072E">
      <w:pPr>
        <w:pStyle w:val="NormalHanging12a"/>
        <w:rPr>
          <w:szCs w:val="24"/>
        </w:rPr>
      </w:pPr>
      <w:r w:rsidRPr="00695BE7">
        <w:t>I.</w:t>
      </w:r>
      <w:r w:rsidRPr="00695BE7">
        <w:tab/>
        <w:t xml:space="preserve">tā kā </w:t>
      </w:r>
      <w:proofErr w:type="spellStart"/>
      <w:r w:rsidRPr="00695BE7">
        <w:t>mikrokohēzija</w:t>
      </w:r>
      <w:proofErr w:type="spellEnd"/>
      <w:r w:rsidRPr="00695BE7">
        <w:t xml:space="preserve"> ir veids, kā panākt līdzsvaru mazāk attīstītās teritorijās attīstītākos </w:t>
      </w:r>
      <w:r w:rsidRPr="00695BE7">
        <w:lastRenderedPageBreak/>
        <w:t>reģionos; tā kā Teritoriālās attīstības programmā (TAP2030), īpaši koncentrējoties uz „vietām un cilvēkiem”, līdztekus teritoriālajai kohēzijai ir izvirzīta priekšplānā „</w:t>
      </w:r>
      <w:proofErr w:type="spellStart"/>
      <w:r w:rsidRPr="00695BE7">
        <w:t>starppersonu</w:t>
      </w:r>
      <w:proofErr w:type="spellEnd"/>
      <w:r w:rsidRPr="00695BE7">
        <w:t xml:space="preserve"> kohēzijas ideja”, ņemot vērā to, ka šīs atšķirības var novērst, tikai pievēršot lielāku uzmanību teritoriju daudzveidībai un potenciālam, kā arī izstrādājot konkrētai vietai pielāgotu politiku un stratēģijas ar mērķi labāk integrēt teritoriālo dimensiju visos ES fondos;</w:t>
      </w:r>
    </w:p>
    <w:p w:rsidR="0051072E" w:rsidRPr="00695BE7" w:rsidRDefault="0051072E" w:rsidP="0051072E">
      <w:pPr>
        <w:pStyle w:val="NormalHanging12a"/>
        <w:rPr>
          <w:szCs w:val="24"/>
        </w:rPr>
      </w:pPr>
      <w:r w:rsidRPr="00695BE7">
        <w:t>J.</w:t>
      </w:r>
      <w:r w:rsidRPr="00695BE7">
        <w:tab/>
        <w:t>tā kā KNR 28. pantā ir noteikts, ka integrētas teritoriālās investīcijas (ITI) un sabiedrības virzīta vietējā attīstība (</w:t>
      </w:r>
      <w:r w:rsidRPr="00695BE7">
        <w:rPr>
          <w:i/>
          <w:iCs/>
        </w:rPr>
        <w:t>CLLD</w:t>
      </w:r>
      <w:r w:rsidRPr="00695BE7">
        <w:t>) ir instrumenti teritoriālās attīstības stratēģiju īstenošanai, un tiek aicināts nodrošināt saskaņotību un koordināciju starp fondiem, ja vairākus no tiem piemēro vienai un tai pašai reģionālās vai vietējās attīstības stratēģijai; tā kā šo instrumentu mērķis ir augšupēja teritoriālā attīstība un tie pastiprina vietējo ieinteresēto personu aktīvu līdzdalību;</w:t>
      </w:r>
    </w:p>
    <w:p w:rsidR="0051072E" w:rsidRPr="00695BE7" w:rsidRDefault="0051072E" w:rsidP="0051072E">
      <w:pPr>
        <w:pStyle w:val="NormalHanging12a"/>
        <w:ind w:left="570" w:hanging="570"/>
      </w:pPr>
      <w:r w:rsidRPr="00695BE7">
        <w:t>K.</w:t>
      </w:r>
      <w:r w:rsidRPr="00695BE7">
        <w:tab/>
        <w:t>tā kā laikposmā no 2014. līdz 2020. gadam tobrīd 28 dalībvalstīs tika ieplānotas 1975 stratēģijas, ko finansēja ar 19 miljardiem EUR no Eiropas Reģionālās attīstības fonda (ERAF), no kuriem 13,8 miljardi EUR tika piešķirti ITI deviņās dalībvalstīs;</w:t>
      </w:r>
    </w:p>
    <w:p w:rsidR="0051072E" w:rsidRPr="00695BE7" w:rsidRDefault="0051072E" w:rsidP="0051072E">
      <w:pPr>
        <w:pStyle w:val="NormalHanging12a"/>
      </w:pPr>
      <w:r w:rsidRPr="00695BE7">
        <w:t>L.</w:t>
      </w:r>
      <w:r w:rsidRPr="00695BE7">
        <w:tab/>
        <w:t xml:space="preserve">tā kā </w:t>
      </w:r>
      <w:r w:rsidRPr="00695BE7">
        <w:rPr>
          <w:i/>
          <w:iCs/>
        </w:rPr>
        <w:t>CLLD</w:t>
      </w:r>
      <w:r w:rsidRPr="00695BE7">
        <w:t xml:space="preserve"> bija otrais instruments, ko dalībvalstis visvairāk izmantoja teritoriālo vai vietējo stratēģiju izstrādei laikposmā no 2014. līdz 2020. gadam, un garantē, ka vietējās un reģionālās pašvaldības un ieinteresētās personas tiks cieši iesaistītas saņemto ES līdzekļu sagatavošanā, īstenošanā un uzraudzībā; tā kā 2021.–2027. gada plānošanas periodā </w:t>
      </w:r>
      <w:r w:rsidRPr="00695BE7">
        <w:rPr>
          <w:i/>
          <w:iCs/>
        </w:rPr>
        <w:t>CLLD</w:t>
      </w:r>
      <w:r w:rsidRPr="00695BE7">
        <w:t xml:space="preserve"> izmantošanai nav paredzēti līdzekļi;</w:t>
      </w:r>
    </w:p>
    <w:p w:rsidR="0051072E" w:rsidRPr="00695BE7" w:rsidRDefault="0051072E" w:rsidP="0051072E">
      <w:pPr>
        <w:pStyle w:val="NormalHanging12a"/>
      </w:pPr>
      <w:r w:rsidRPr="00695BE7">
        <w:t>M.</w:t>
      </w:r>
      <w:r w:rsidRPr="00695BE7">
        <w:tab/>
        <w:t xml:space="preserve">tā kā ITI un </w:t>
      </w:r>
      <w:r w:rsidRPr="00695BE7">
        <w:rPr>
          <w:i/>
          <w:iCs/>
        </w:rPr>
        <w:t>CLLD</w:t>
      </w:r>
      <w:r w:rsidRPr="00695BE7">
        <w:t xml:space="preserve"> īstenošana ES joprojām ir nevienmērīga un vairākas dalībvalstis un vadošās iestādes neizrāda lielu apņēmību tos īstenot; tā kā 5. politikas mērķa “Iedzīvotājiem tuvāka Eiropa” (PM Nr. 5) interpretācija un īstenošana dalībvalstīs atšķiras, kā rezultātā ITI un </w:t>
      </w:r>
      <w:r w:rsidRPr="00695BE7">
        <w:rPr>
          <w:i/>
          <w:iCs/>
        </w:rPr>
        <w:t>CLLD</w:t>
      </w:r>
      <w:r w:rsidRPr="00695BE7">
        <w:t xml:space="preserve"> īstenošanas līmenis ir zems; tā kā likumdevējiem nākotnē būtu jāapsver elastīgāka PM Nr. 5 īstenošana bez stingrām prasībām attiecībā uz stratēģijām un pārvaldību, palīdzot panākt, lai tā būtu atvērta visu veidu iniciatīvām, kas veicina reģionālo un vietējo attīstību;</w:t>
      </w:r>
    </w:p>
    <w:p w:rsidR="0051072E" w:rsidRPr="00695BE7" w:rsidRDefault="0051072E" w:rsidP="0051072E">
      <w:pPr>
        <w:pStyle w:val="NormalHanging12a"/>
        <w:rPr>
          <w:szCs w:val="24"/>
        </w:rPr>
      </w:pPr>
      <w:r w:rsidRPr="00695BE7">
        <w:t>N.</w:t>
      </w:r>
      <w:r w:rsidRPr="00695BE7">
        <w:tab/>
        <w:t xml:space="preserve">tā kā ITI un </w:t>
      </w:r>
      <w:r w:rsidRPr="00695BE7">
        <w:rPr>
          <w:i/>
          <w:iCs/>
        </w:rPr>
        <w:t>CLLD</w:t>
      </w:r>
      <w:r w:rsidRPr="00695BE7">
        <w:t xml:space="preserve"> ir instrumenti, kuru mērķim vajadzētu būt vērstam ne tikai uz to, lai veicinātu augšupēju pieeju teritoriālajai attīstībai, no paša sākuma iesaistot vietējās un reģionālās pašvaldības, bet arī veicinot dialogu starp dažādām ieinteresētajām personām un palielinot sadarbību publiskajā un privātajā sektorā, kā arī veicinot sadarbību un informācijas nodošanu visos pārvaldes līmeņos;</w:t>
      </w:r>
    </w:p>
    <w:p w:rsidR="0051072E" w:rsidRPr="00695BE7" w:rsidRDefault="0051072E" w:rsidP="0051072E">
      <w:pPr>
        <w:pStyle w:val="NormalHanging12a"/>
      </w:pPr>
      <w:r w:rsidRPr="00695BE7">
        <w:t>O.</w:t>
      </w:r>
      <w:r w:rsidRPr="00695BE7">
        <w:tab/>
        <w:t>tā kā TAP2030 aicina Parlamentu un tā Reģionālās attīstības komiteju, kas ir atbildīga par ekonomisko, sociālo un teritoriālo kohēziju, ņemt vērā tās mērķus, aizstāvot savas prioritātes ES likumdošanas procesos;</w:t>
      </w:r>
    </w:p>
    <w:p w:rsidR="0051072E" w:rsidRPr="00695BE7" w:rsidRDefault="0051072E" w:rsidP="0051072E">
      <w:pPr>
        <w:pStyle w:val="NormalHanging12a"/>
      </w:pPr>
      <w:r w:rsidRPr="00695BE7">
        <w:t>P.</w:t>
      </w:r>
      <w:r w:rsidRPr="00695BE7">
        <w:tab/>
        <w:t>tā kā ITI un konkrētai vietai pielāgota politika ir priekšnosacījumi, lai sasniegtu ES stratēģiskos mērķus, piemēram, zaļo un digitālo pārkārtošanos; tā kā teritoriāla politika var palīdzēt teritorijām izkļūt no ilgtermiņa ekonomiskās lejupslīdes un “reģionālās attīstības strupceļa”, kurā reģions nespēj saglabāt savu ekonomisko dinamiku ienākumu, produktivitātes un nodarbinātības ziņā;</w:t>
      </w:r>
    </w:p>
    <w:p w:rsidR="0051072E" w:rsidRPr="00695BE7" w:rsidRDefault="0051072E" w:rsidP="0051072E">
      <w:pPr>
        <w:pStyle w:val="NormalHanging12a"/>
      </w:pPr>
      <w:r w:rsidRPr="00695BE7">
        <w:t>Q.</w:t>
      </w:r>
      <w:r w:rsidRPr="00695BE7">
        <w:tab/>
        <w:t xml:space="preserve">tā kā TAP2030 ir noteikti divi visaptveroši mērķi – “Taisnīga Eiropa” un “Zaļa Eiropa”, kuriem ir sešas prioritātes (līdzsvarota Eiropa, funkcionējoši reģioni, integrācija pāri robežām, veselīga vide, aprites ekonomika un ilgtspējīgi savienojumi) visas Eiropas </w:t>
      </w:r>
      <w:r w:rsidRPr="00695BE7">
        <w:lastRenderedPageBreak/>
        <w:t xml:space="preserve">teritorijas attīstīšanai kopā ar visām tās vietām; tā kā TAP2030 vēl vairāk saskaņo ES teritoriālās attīstības mērķus ar ANO Ilgtspējīgas attīstības programmu 2030. gadam un Eiropas zaļo kursu; tā kā Eiropas </w:t>
      </w:r>
      <w:proofErr w:type="spellStart"/>
      <w:r w:rsidRPr="00695BE7">
        <w:t>pilsētprogramma</w:t>
      </w:r>
      <w:proofErr w:type="spellEnd"/>
      <w:r w:rsidRPr="00695BE7">
        <w:t>, izmantojot Leipcigas Hartu, atbalsta TAP2030 mērķus;</w:t>
      </w:r>
    </w:p>
    <w:p w:rsidR="0051072E" w:rsidRPr="00695BE7" w:rsidRDefault="0051072E" w:rsidP="0051072E">
      <w:pPr>
        <w:pStyle w:val="NormalHanging12a"/>
        <w:rPr>
          <w:szCs w:val="24"/>
        </w:rPr>
      </w:pPr>
      <w:r w:rsidRPr="00695BE7">
        <w:t>R.</w:t>
      </w:r>
      <w:r w:rsidRPr="00695BE7">
        <w:tab/>
        <w:t>tā kā spēcīga kopējā teritoriālā attīstība, izmantojot KNR un TAP2030 īstenošanu, var kalpot par līdzekli solidaritātes un demokrātisko procesu stiprināšanai un taisnīgai un zaļai ES; tā kā teritoriālās pieejas rada pievienoto vērtību, piemērojot stratēģisku, telpisku skatījumu, kas aptver konkrētas sociālo, institucionālo, ekonomisko un vides problēmu un iespēju kombinācijas, kas ietekmē visu veidu teritoriju attīstību;</w:t>
      </w:r>
    </w:p>
    <w:p w:rsidR="0051072E" w:rsidRPr="00695BE7" w:rsidRDefault="0051072E" w:rsidP="0051072E">
      <w:pPr>
        <w:pStyle w:val="NormalHanging12a"/>
      </w:pPr>
      <w:r w:rsidRPr="00695BE7">
        <w:t>S.</w:t>
      </w:r>
      <w:r w:rsidRPr="00695BE7">
        <w:tab/>
        <w:t>tā kā TAP2030 prioritāšu īstenošana visā ES joprojām ir nevienmērīga, jo īpaši ņemot vērā telpiskās atšķirības, piemēram, izolētību; tā kā TAP2030 secinājumi uzrāda pieaugošu nevienlīdzību ES, kas pastiprina atšķirības starp cilvēkiem un starp teritorijām;</w:t>
      </w:r>
    </w:p>
    <w:p w:rsidR="0051072E" w:rsidRPr="00695BE7" w:rsidRDefault="0051072E" w:rsidP="0051072E">
      <w:pPr>
        <w:pStyle w:val="NormalHanging12a"/>
      </w:pPr>
      <w:r w:rsidRPr="00695BE7">
        <w:t>T.</w:t>
      </w:r>
      <w:r w:rsidRPr="00695BE7">
        <w:tab/>
        <w:t>tā kā TAP2030 ir prasīts visos pārvaldības līmeņos stiprināt nozaru politikas teritoriālo dimensiju; tā kā TAP2030 pamatprincipi ir ietverti divās prioritātēs “Cilvēki un vietas attālinās” un “Ilgtspējīga attīstība un klimata pārmaiņas”;</w:t>
      </w:r>
    </w:p>
    <w:p w:rsidR="0051072E" w:rsidRPr="00695BE7" w:rsidRDefault="0051072E" w:rsidP="0051072E">
      <w:pPr>
        <w:pStyle w:val="NormalHanging12a"/>
      </w:pPr>
      <w:r w:rsidRPr="00695BE7">
        <w:t>U.</w:t>
      </w:r>
      <w:r w:rsidRPr="00695BE7">
        <w:tab/>
        <w:t>tā kā, pieņemot TAP2030, tika sākti septiņi izmēģinājuma projekti, kas ir piemērs tās mērķu īstenošanai uz vietas vietējā un reģionālā līmenī un iedvesmo kopīgus pasākumus visā ES, proti: “Atpalikušo reģionu nākotne”, “Izpratne par to, kā nozaru politika veido telpisko (ne)līdzsvaru”, “Mazām vietām ir nozīme”, “Pārrobežu telpiskā plānošana”, “</w:t>
      </w:r>
      <w:proofErr w:type="spellStart"/>
      <w:r w:rsidRPr="00695BE7">
        <w:t>Klimatrīcība</w:t>
      </w:r>
      <w:proofErr w:type="spellEnd"/>
      <w:r w:rsidRPr="00695BE7">
        <w:t xml:space="preserve"> Alpu pilsētās”, “Pielāgošanās klimata pārmaiņām un </w:t>
      </w:r>
      <w:proofErr w:type="spellStart"/>
      <w:r w:rsidRPr="00695BE7">
        <w:t>klimatnoturība</w:t>
      </w:r>
      <w:proofErr w:type="spellEnd"/>
      <w:r w:rsidRPr="00695BE7">
        <w:t>, pārkārtojot ainavas” un “Zemes mākslīgas pārveidošanas, pilsētu teritoriju izplešanās un augsnes noslēgšanas samazināšana dažāda lieluma pilsētās un funkcionālās pilsētu teritorijās”;</w:t>
      </w:r>
    </w:p>
    <w:p w:rsidR="0051072E" w:rsidRPr="00695BE7" w:rsidRDefault="0051072E" w:rsidP="0051072E">
      <w:pPr>
        <w:pStyle w:val="NormalHanging12a"/>
        <w:rPr>
          <w:szCs w:val="24"/>
        </w:rPr>
      </w:pPr>
      <w:r w:rsidRPr="00695BE7">
        <w:t>V.</w:t>
      </w:r>
      <w:r w:rsidRPr="00695BE7">
        <w:tab/>
        <w:t xml:space="preserve">tā kā, ņemot vērā ierobežoto ģeogrāfisko līdzsvaru šo izmēģinājuma projektu izstrādē un administratīvās grūtības, ar kurām </w:t>
      </w:r>
      <w:proofErr w:type="spellStart"/>
      <w:r w:rsidRPr="00695BE7">
        <w:t>saskārās</w:t>
      </w:r>
      <w:proofErr w:type="spellEnd"/>
      <w:r w:rsidRPr="00695BE7">
        <w:t>, izmēģinājuma darbības finansējot no vairākām programmām, ir vajadzīga labāka datu vākšana, kā arī saskaņota TAP2030 pārskatīšana,</w:t>
      </w:r>
    </w:p>
    <w:p w:rsidR="0051072E" w:rsidRPr="00695BE7" w:rsidRDefault="0051072E" w:rsidP="00695BE7">
      <w:pPr>
        <w:pStyle w:val="NormalHanging12a"/>
        <w:spacing w:before="120" w:after="120"/>
      </w:pPr>
      <w:r w:rsidRPr="00695BE7">
        <w:t>1.</w:t>
      </w:r>
      <w:r w:rsidRPr="00695BE7">
        <w:tab/>
        <w:t>uzsver, ka laikposmā no 2014. līdz 2020. gadam tikai 28 % pilsētu ilgtspējīgas attīstības stratēģiju tika īstenotas, izmantojot ITI; aicina Komisiju rīkoties, lai veicinātu šādu instrumentu izmantošanu TAP2030 izstrādē, jo īpaši — izmantojot labākus komunikācijas pasākumus;</w:t>
      </w:r>
    </w:p>
    <w:p w:rsidR="0051072E" w:rsidRPr="00695BE7" w:rsidRDefault="0051072E" w:rsidP="00695BE7">
      <w:pPr>
        <w:pStyle w:val="NormalHanging12a"/>
        <w:spacing w:before="120" w:after="120"/>
      </w:pPr>
      <w:r w:rsidRPr="00695BE7">
        <w:t>2.</w:t>
      </w:r>
      <w:r w:rsidRPr="00695BE7">
        <w:tab/>
        <w:t xml:space="preserve">uzsver vērtīgo ieguldījumu teritoriālajā attīstībā, ko sniedz ar </w:t>
      </w:r>
      <w:r w:rsidRPr="00695BE7">
        <w:rPr>
          <w:i/>
          <w:iCs/>
        </w:rPr>
        <w:t>CLLD</w:t>
      </w:r>
      <w:r w:rsidRPr="00695BE7">
        <w:t xml:space="preserve"> starpniecību īstenotas darbības, piemēram, LEADER programmas darbības; aicina Komisiju un dalībvalstis pastiprināt LEADER programmu, palielinot tās budžetu un garantējot vietējām rīcības grupām lielu autonomiju attiecībā uz to izveides un lēmumu pieņemšanas procesiem, kā arī samazinot administratīvo slogu;</w:t>
      </w:r>
    </w:p>
    <w:p w:rsidR="0051072E" w:rsidRPr="00695BE7" w:rsidRDefault="0051072E" w:rsidP="00695BE7">
      <w:pPr>
        <w:pStyle w:val="NormalHanging12a"/>
        <w:spacing w:before="120" w:after="120"/>
        <w:rPr>
          <w:szCs w:val="24"/>
        </w:rPr>
      </w:pPr>
      <w:r w:rsidRPr="00695BE7">
        <w:t>3.</w:t>
      </w:r>
      <w:r w:rsidRPr="00695BE7">
        <w:tab/>
        <w:t xml:space="preserve">aicina Komisiju izmantot rezultātus, kas iekļauti gaidāmajā 2024. gada novērtējuma ziņojumā par 2014.–2020. gada plānošanas periodu, kā arī to darbību rezultātus, kas veiktas, izmantojot </w:t>
      </w:r>
      <w:r w:rsidRPr="00695BE7">
        <w:rPr>
          <w:i/>
          <w:iCs/>
        </w:rPr>
        <w:t>CLLD</w:t>
      </w:r>
      <w:r w:rsidRPr="00695BE7">
        <w:t xml:space="preserve">, piemēram, LEADER programmas ietvaros, lai atbalstītu 2021.–2027. gadam paredzētās programmas; norāda, cik svarīga ir teritoriālās attīstības instrumentu kvalitatīvā analīze; šajā sakarībā pauž nožēlu par Eiropas Revīzijas palātas īpašajā ziņojumā par LEADER un </w:t>
      </w:r>
      <w:r w:rsidRPr="00695BE7">
        <w:rPr>
          <w:i/>
          <w:iCs/>
        </w:rPr>
        <w:t>CLLD</w:t>
      </w:r>
      <w:r w:rsidRPr="00695BE7">
        <w:t xml:space="preserve"> izdarīto secinājumu, ka to sniegtie ieguvumi nav pietiekami pierādīti;</w:t>
      </w:r>
    </w:p>
    <w:p w:rsidR="0051072E" w:rsidRPr="00695BE7" w:rsidRDefault="0051072E" w:rsidP="00695BE7">
      <w:pPr>
        <w:pStyle w:val="NormalHanging12a"/>
        <w:spacing w:before="120" w:after="120"/>
        <w:rPr>
          <w:szCs w:val="24"/>
        </w:rPr>
      </w:pPr>
      <w:r w:rsidRPr="00695BE7">
        <w:lastRenderedPageBreak/>
        <w:t>4.</w:t>
      </w:r>
      <w:r w:rsidRPr="00695BE7">
        <w:tab/>
        <w:t>atzinīgi vērtē Teritoriālo un attīstības stratēģiju rokasgrāmatu un Ilgtspējīgas pilsētu attīstības stratēģiju rokasgrāmatu kā vadlīnijas visiem administratīvajiem līmeņiem teritoriālo un vietējo, tostarp pilsētu, attīstības stratēģiju izstrādei, īstenošanai un uzraudzībai; uzskata, ka būtu jāveicina labas prakses izplatīšana, lai nodrošinātu projektu efektivitāti un ilgtspēju; tomēr pauž nožēlu par šo rokasgrāmatu novēlotu publicēšanu un mudina Komisiju savlaicīgi izstrādāt pamatnostādnes, lai vienkāršotu programmu izstrādes procesu; uzsver, ka ir jāsniedz dalībvalstīm vairāk norādījumu un lielāka elastība attiecībā uz PM Nr. 5 “Iedzīvotājiem tuvāka Eiropa” īstenošanu un darbībām tā sasniegšanai, kā arī jāsaskaņo tās ar TAP2030 un jārada stimuli piešķirt lielāku finansējumu PM Nr. 5;</w:t>
      </w:r>
    </w:p>
    <w:p w:rsidR="0051072E" w:rsidRPr="00695BE7" w:rsidRDefault="0051072E" w:rsidP="00695BE7">
      <w:pPr>
        <w:pStyle w:val="NormalHanging12a"/>
        <w:spacing w:before="120" w:after="120"/>
      </w:pPr>
      <w:r w:rsidRPr="00695BE7">
        <w:t>5.</w:t>
      </w:r>
      <w:r w:rsidRPr="00695BE7">
        <w:tab/>
        <w:t xml:space="preserve">aicina dalībvalstis veicināt stratēģisko teritoriālo plānošanu, kurā ņemtas vērā ne tikai lielpilsētu, pilsētu un funkcionālās pilsētu teritorijas, bet teritorijas kopumā; turklāt aicina dalībvalstis stiprināt lauku un pilsētu saiknes, lai panāktu līdzsvarotāku teritoriālo attīstību visā ES, un apsvērt pārrobežu plānošanu un īstenošanu, izmantojot augšupējas pieejas, piemēram, </w:t>
      </w:r>
      <w:r w:rsidRPr="00695BE7">
        <w:rPr>
          <w:i/>
          <w:iCs/>
        </w:rPr>
        <w:t>CLLD</w:t>
      </w:r>
      <w:r w:rsidRPr="00695BE7">
        <w:t>/ITI;</w:t>
      </w:r>
    </w:p>
    <w:p w:rsidR="0051072E" w:rsidRPr="00695BE7" w:rsidRDefault="0051072E" w:rsidP="00695BE7">
      <w:pPr>
        <w:pStyle w:val="NormalHanging12a"/>
        <w:spacing w:before="120" w:after="120"/>
        <w:rPr>
          <w:szCs w:val="24"/>
        </w:rPr>
      </w:pPr>
      <w:r w:rsidRPr="00695BE7">
        <w:t>6.</w:t>
      </w:r>
      <w:r w:rsidRPr="00695BE7">
        <w:tab/>
        <w:t xml:space="preserve">aicina Komisiju un Padomi piešķirt finansējumu lauku apgabaliem un reģioniem, kas cieš no pastāvīgiem nelabvēlīgiem dabas vai demogrāfiskiem apstākļiem, tādā pašā veidā, ka 8 % no kohēzijas politikas līdzekļiem tiek piešķirti programmu izstrādei saskaņā ar </w:t>
      </w:r>
      <w:proofErr w:type="spellStart"/>
      <w:r w:rsidRPr="00695BE7">
        <w:t>pilsētprogrammu</w:t>
      </w:r>
      <w:proofErr w:type="spellEnd"/>
      <w:r w:rsidRPr="00695BE7">
        <w:t>; norāda, ka šie līdzekļi galvenokārt būtu jāizmanto, izmantojot integrētus teritoriālās attīstības instrumentus;</w:t>
      </w:r>
    </w:p>
    <w:p w:rsidR="0051072E" w:rsidRPr="00695BE7" w:rsidRDefault="0051072E" w:rsidP="00695BE7">
      <w:pPr>
        <w:pStyle w:val="NormalHanging12a"/>
        <w:spacing w:before="120" w:after="120"/>
        <w:rPr>
          <w:szCs w:val="24"/>
        </w:rPr>
      </w:pPr>
      <w:r w:rsidRPr="00695BE7">
        <w:t>7.</w:t>
      </w:r>
      <w:r w:rsidRPr="00695BE7">
        <w:tab/>
        <w:t xml:space="preserve">ņem vērā vietējo un reģionālo pašvaldību apliecinātās spējas teritoriālo instrumentu īstenošanā un pārvaldībā un uzskata, ka ir nepieciešama paradigmas maiņa, lai vietējās un reģionālās pašvaldības iesaistītu teritoriālo instrumentu plānošanā, īstenošanā un pārvaldībā; aicina pirms ITI un </w:t>
      </w:r>
      <w:r w:rsidRPr="00695BE7">
        <w:rPr>
          <w:i/>
          <w:iCs/>
        </w:rPr>
        <w:t>CLLD</w:t>
      </w:r>
      <w:r w:rsidRPr="00695BE7">
        <w:t xml:space="preserve"> pasākumu noteikšanas efektīvi īstenot partnerības principu un padziļināti apspriesties ar vietējām un reģionālajām pašvaldībām un citām ieinteresētajām personām; uzsver, cik svarīga ir augšupēja pieeja teritoriālajai attīstībai, vienlaikus dodot iedzīvotājiem iespēju uzņemties atbildību par savu teritoriju attīstību; </w:t>
      </w:r>
    </w:p>
    <w:p w:rsidR="0051072E" w:rsidRPr="00695BE7" w:rsidRDefault="0051072E" w:rsidP="00695BE7">
      <w:pPr>
        <w:pStyle w:val="NormalHanging12a"/>
        <w:spacing w:before="120" w:after="120"/>
      </w:pPr>
      <w:r w:rsidRPr="00695BE7">
        <w:t>8.</w:t>
      </w:r>
      <w:r w:rsidRPr="00695BE7">
        <w:tab/>
        <w:t>lai novērstu kavēšanos un administratīvus šķēršļus, aicina apvienot (saskaņā ar KNR 28. pantu un, ja nepieciešams, ar Komisijas atbalstu) teritoriālās vai vietējās attīstības stratēģijas, ko finansē vairāk nekā viena programma; atzinīgi vērtē 2021.–2027. gada plānošanas periodā ieviesto iespēju izraudzīties vadošo fondu stratēģijām, ko finansē vairāk nekā viens fonds;</w:t>
      </w:r>
    </w:p>
    <w:p w:rsidR="0051072E" w:rsidRPr="00695BE7" w:rsidRDefault="0051072E" w:rsidP="00695BE7">
      <w:pPr>
        <w:pStyle w:val="NormalHanging12a"/>
        <w:spacing w:before="120" w:after="120"/>
        <w:rPr>
          <w:szCs w:val="24"/>
        </w:rPr>
      </w:pPr>
      <w:r w:rsidRPr="00695BE7">
        <w:t>9.</w:t>
      </w:r>
      <w:r w:rsidRPr="00695BE7">
        <w:tab/>
        <w:t xml:space="preserve">uzsver, ka tādi teritoriālie instrumenti kā </w:t>
      </w:r>
      <w:r w:rsidRPr="00695BE7">
        <w:rPr>
          <w:i/>
          <w:iCs/>
        </w:rPr>
        <w:t>CLLD</w:t>
      </w:r>
      <w:r w:rsidRPr="00695BE7">
        <w:t xml:space="preserve"> un ITI ir pārbaudīti rīki, kas ļauj tuvināt ES tās iedzīvotājiem; norāda, ka STRAT-</w:t>
      </w:r>
      <w:proofErr w:type="spellStart"/>
      <w:r w:rsidRPr="00695BE7">
        <w:t>Board</w:t>
      </w:r>
      <w:proofErr w:type="spellEnd"/>
      <w:r w:rsidRPr="00695BE7">
        <w:t xml:space="preserve"> dati par laikposmu no 2014. līdz 2020. gadam liecina, ka </w:t>
      </w:r>
      <w:r w:rsidRPr="00695BE7">
        <w:rPr>
          <w:i/>
          <w:iCs/>
        </w:rPr>
        <w:t>CLLD</w:t>
      </w:r>
      <w:r w:rsidRPr="00695BE7">
        <w:t xml:space="preserve"> ir bijusi nozīmīga loma teritoriālo stratēģiju izstrādē, uzsverot lielo ieinteresētību vietējā līmenī aktīvi piedalīties šo stratēģiju izstrādē; aicina dalībvalstis un Komisiju vienkāršot fondu administratīvo pārvaldību, jo īpaši gadījumos, kad </w:t>
      </w:r>
      <w:r w:rsidRPr="00695BE7">
        <w:rPr>
          <w:i/>
          <w:iCs/>
        </w:rPr>
        <w:t>CLLD</w:t>
      </w:r>
      <w:r w:rsidRPr="00695BE7">
        <w:t xml:space="preserve"> tiek finansēta no vairāk nekā viena fonda; uzsver, ka ITI ir galvenais instruments, ko izmanto dalībvalstis ar lielāku ERAF līdzekļu piešķīrumu, jo tās var ātri apgūt summas un spēj aptvert vairākas galvenās asis vienā vai vairākās programmās;</w:t>
      </w:r>
    </w:p>
    <w:p w:rsidR="0051072E" w:rsidRPr="00695BE7" w:rsidRDefault="0051072E" w:rsidP="00695BE7">
      <w:pPr>
        <w:pStyle w:val="NormalHanging12a"/>
        <w:spacing w:before="120" w:after="120"/>
      </w:pPr>
      <w:r w:rsidRPr="00695BE7">
        <w:t>10.</w:t>
      </w:r>
      <w:r w:rsidRPr="00695BE7">
        <w:tab/>
        <w:t xml:space="preserve">uzsver, ka ir skaidri jānošķir dalībvalstis, kuras ir apņēmušās izstrādāt ITI vai </w:t>
      </w:r>
      <w:r w:rsidRPr="00695BE7">
        <w:rPr>
          <w:i/>
          <w:iCs/>
        </w:rPr>
        <w:t>CLLD</w:t>
      </w:r>
      <w:r w:rsidRPr="00695BE7">
        <w:t>, un tās, kuras to nedara; aicina Komisiju precizēt šo diferenciāciju, lai izvairītos no ģeogrāfiskām atšķirībām, un sniegt pielāgotu tehnisko atbalstu tām dalībvalstīm, kuras nav izmantojušas šos teritoriālos instrumentus; mudina visas dalībvalstis vairāk izmantot integrētas teritoriālās attīstības instrumentus, kā noteikts KNR 28. pantā, un nodrošināt, ka tiek ievērota partnerība, kā noteikts KNR 8. pantā; uzskata, ka integrētas teritoriālās attīstības instrumentiem vajadzētu būt dalībvalstīm obligātiem;</w:t>
      </w:r>
    </w:p>
    <w:p w:rsidR="0051072E" w:rsidRPr="00695BE7" w:rsidRDefault="0051072E" w:rsidP="00695BE7">
      <w:pPr>
        <w:pStyle w:val="NormalHanging12a"/>
        <w:spacing w:before="120" w:after="120"/>
        <w:rPr>
          <w:szCs w:val="24"/>
        </w:rPr>
      </w:pPr>
      <w:r w:rsidRPr="00695BE7">
        <w:lastRenderedPageBreak/>
        <w:t>11.</w:t>
      </w:r>
      <w:r w:rsidRPr="00695BE7">
        <w:tab/>
        <w:t xml:space="preserve">atzinīgi vērtē 2021.–2027. gada plānošanas periodā ieviestos teritoriālās attīstības tehniskos vienkāršojumus; tomēr aicina Komisiju un dalībvalstis līdz minimumam samazināt nepieciešamos papildu administratīvos noteikumus un vairāk koncentrēties uz proporcionalitāti, jo maziem projektiem pašlaik ir proporcionāli lielāks administratīvais slogs (saņēmējiem) un administratīvās izmaksas (programmas iestādēm) nekā lielākiem projektiem; </w:t>
      </w:r>
    </w:p>
    <w:p w:rsidR="0051072E" w:rsidRPr="00695BE7" w:rsidRDefault="0051072E" w:rsidP="00695BE7">
      <w:pPr>
        <w:pStyle w:val="NormalHanging12a"/>
        <w:spacing w:before="120" w:after="120"/>
      </w:pPr>
      <w:r w:rsidRPr="00695BE7">
        <w:t>12.</w:t>
      </w:r>
      <w:r w:rsidRPr="00695BE7">
        <w:tab/>
        <w:t>uzskata, ka TAP2030 ir reāls un atbilstošs instruments, kura mērķis ir samazināt nevienlīdzību telpiskajā ziņā un nodrošināt ES kohēziju, pārvaldot katru reģionu ar tam piemītošajām īpatnībām; tādēļ uzskata, ka sabiedrība un teritorijas būtu vairāk jāiesaista šīs programmas nozīmes atzīšanā; aicina Komisiju mainīt TAP2030 lomu, neaprobežojoties ar to, ka tā ir teritoriālās pārvaldības rokasgrāmata;</w:t>
      </w:r>
    </w:p>
    <w:p w:rsidR="0051072E" w:rsidRPr="00695BE7" w:rsidRDefault="0051072E" w:rsidP="00695BE7">
      <w:pPr>
        <w:pStyle w:val="NormalHanging12a"/>
        <w:spacing w:before="120" w:after="120"/>
      </w:pPr>
      <w:r w:rsidRPr="00695BE7">
        <w:t>13.</w:t>
      </w:r>
      <w:r w:rsidRPr="00695BE7">
        <w:tab/>
        <w:t>norāda, ka TAP2030 ne tikai atbalsta teritoriālus politiskus risinājumus teritoriālajām problēmām, bet arī paredz teritoriālās kohēzijas mērķa redzējumu un vērienīgumu, labāk iesaistot vietējās un reģionālās pašvaldības un iedzīvotājus;</w:t>
      </w:r>
    </w:p>
    <w:p w:rsidR="0051072E" w:rsidRPr="00695BE7" w:rsidRDefault="0051072E" w:rsidP="00695BE7">
      <w:pPr>
        <w:pStyle w:val="NormalHanging12a"/>
        <w:spacing w:before="120" w:after="120"/>
      </w:pPr>
      <w:r w:rsidRPr="00695BE7">
        <w:t>14.</w:t>
      </w:r>
      <w:r w:rsidRPr="00695BE7">
        <w:tab/>
        <w:t xml:space="preserve">uzsver — lai gan </w:t>
      </w:r>
      <w:proofErr w:type="spellStart"/>
      <w:r w:rsidRPr="00695BE7">
        <w:t>daudzfinansējums</w:t>
      </w:r>
      <w:proofErr w:type="spellEnd"/>
      <w:r w:rsidRPr="00695BE7">
        <w:t xml:space="preserve"> ir viens no galvenajiem teritoriāli integrēto instrumentu mērķiem, pašreizējie konstatējumi liecina, ka vairākās valstīs </w:t>
      </w:r>
      <w:proofErr w:type="spellStart"/>
      <w:r w:rsidRPr="00695BE7">
        <w:t>daudzfinansējuma</w:t>
      </w:r>
      <w:proofErr w:type="spellEnd"/>
      <w:r w:rsidRPr="00695BE7">
        <w:t xml:space="preserve"> izmantošana joprojām var izrādīties sarežģīta, jo īpaši tāpēc, ka pašreizējā periodā ELFLA (lauku attīstība) vairs nav iekļauts KNR un tāpēc būtu vajadzīgi papildu un īpaši pasākumi, lai saskaņotu ELFLA un citu kohēzijas politikas fondu noteikumus (t. i., dažādu ES fondu izmantošana integrētiem projektiem vietējā līmenī, kas vērsti uz vairākiem politikas mērķiem);</w:t>
      </w:r>
    </w:p>
    <w:p w:rsidR="0051072E" w:rsidRPr="00695BE7" w:rsidRDefault="0051072E" w:rsidP="00695BE7">
      <w:pPr>
        <w:pStyle w:val="NormalHanging12a"/>
        <w:spacing w:before="120" w:after="120"/>
      </w:pPr>
      <w:r w:rsidRPr="00695BE7">
        <w:t>15.</w:t>
      </w:r>
      <w:r w:rsidRPr="00695BE7">
        <w:tab/>
        <w:t>aicina dalībvalstis aktīvi veicināt integrētu pieeju dzimumu līdztiesībai TAP2030 izmēģinājuma projektu sagatavošanā un īstenošanā uz vietas;</w:t>
      </w:r>
    </w:p>
    <w:p w:rsidR="0095242A" w:rsidRPr="00695BE7" w:rsidRDefault="0051072E" w:rsidP="0095242A">
      <w:pPr>
        <w:widowControl/>
        <w:spacing w:before="120" w:after="120"/>
        <w:ind w:left="567" w:hanging="567"/>
      </w:pPr>
      <w:r w:rsidRPr="00695BE7">
        <w:t>16.</w:t>
      </w:r>
      <w:r w:rsidRPr="00695BE7">
        <w:tab/>
        <w:t xml:space="preserve">uzsver, ka taisnīgi un </w:t>
      </w:r>
      <w:proofErr w:type="spellStart"/>
      <w:r w:rsidRPr="00695BE7">
        <w:t>cieņpilni</w:t>
      </w:r>
      <w:proofErr w:type="spellEnd"/>
      <w:r w:rsidRPr="00695BE7">
        <w:t xml:space="preserve"> ienākumi un dzīves kvalitāte iedzīvotājiem un viņu ģimenēm lauku apvidos ir būtiska, lai nodrošinātu sociālo progresu un sekmīgu teritoriālo un vietējo attīstību; uzstāj, ka ES reģionos ir jānodrošina pienācīgi darba un dzīves apstākļi un sociālā aizsardzība visiem;</w:t>
      </w:r>
    </w:p>
    <w:p w:rsidR="0095242A" w:rsidRPr="00695BE7" w:rsidRDefault="0051072E" w:rsidP="0095242A">
      <w:pPr>
        <w:widowControl/>
        <w:spacing w:before="120" w:after="120"/>
        <w:ind w:left="567" w:hanging="567"/>
      </w:pPr>
      <w:r w:rsidRPr="00695BE7">
        <w:t>17.</w:t>
      </w:r>
      <w:r w:rsidRPr="00695BE7">
        <w:tab/>
        <w:t xml:space="preserve">uzsver, ka ir svarīgi uzlabot politikas saskaņotību un īstenot turpmākās ES integrētās teritoriālās attīstības un citu attiecīgu iniciatīvu lauku aspektu nostiprināšanu, lai novērtētu ES politikas virzienu saskaņotību un </w:t>
      </w:r>
      <w:proofErr w:type="spellStart"/>
      <w:r w:rsidRPr="00695BE7">
        <w:t>papildināmību</w:t>
      </w:r>
      <w:proofErr w:type="spellEnd"/>
      <w:r w:rsidRPr="00695BE7">
        <w:t xml:space="preserve"> un to iespējamo ietekmi uz lauku apvidiem, tādējādi efektīvi novēršot lauku iedzīvotāju skaita samazināšanos un veicinot paaudžu maiņu, vienlīdzīgu piekļuvi kvalitatīviem pamatpakalpojumiem un darbvietu radīšanu lauku apvidos; uzsver lauku aspektu nostiprināšanas mehānisma nozīmi arī tad, kad dalībvalstis novērtē ierosināto tiesību aktu ietekmi uz lauku apvidiem; uzsver, ka ir svarīgi iesaistīt vietējās un reģionālās pašvaldības lauku aspektu nostiprināšanas mehānismu definēšanā un īstenošanā, kā arī to pārvaldībā gan ES, gan valstu līmenī, lai apkarotu ar transportu saistītu sociālo atstumtību un uzlabotu attiecīgo apvidu teritoriālo pieejamību nolūkā uzlabot pārrobežu un lauku un pilsētu sadarbību, piekļuvi platjoslas internetam un atbilstošiem pakalpojumiem, jo īpaši veselības aprūpei un izglītībai, kā arī lauku ekonomikas dažādošanu un lauku apvidu atdzīvināšanu, palielinot šo teritoriju pievilcību, kā arī nodrošinot šo kopienu ilgtspējīgu nākotni;</w:t>
      </w:r>
    </w:p>
    <w:p w:rsidR="0051072E" w:rsidRPr="00695BE7" w:rsidRDefault="0051072E" w:rsidP="00695BE7">
      <w:pPr>
        <w:pStyle w:val="NormalHanging12a"/>
        <w:spacing w:before="120" w:after="120"/>
        <w:rPr>
          <w:szCs w:val="24"/>
        </w:rPr>
      </w:pPr>
      <w:r w:rsidRPr="00695BE7">
        <w:t>18.</w:t>
      </w:r>
      <w:r w:rsidRPr="00695BE7">
        <w:tab/>
        <w:t>uzsver, ka TAP2030 darbībām vajadzētu atvēlēt centrālo lomu partnerības nolīgumos un programmās; norāda, ka šiem pasākumiem vajadzētu būt izlēmīgākiem līdzekļu piešķiršanā un ka ir jāveicina TAP2030 integrācija ES politikā, galveno uzmanību pievēršot pārvaldības līmeņiem, kas ir tuvāki vietējai situācijai; uzskata, ka nākamajā daudzgadu finanšu shēmā būtu jānodrošina TAP2030 pienācīgs finansējums un piešķiršanas metodika;</w:t>
      </w:r>
    </w:p>
    <w:p w:rsidR="0051072E" w:rsidRPr="00695BE7" w:rsidRDefault="0051072E" w:rsidP="00695BE7">
      <w:pPr>
        <w:pStyle w:val="NormalHanging12a"/>
        <w:spacing w:before="120" w:after="120"/>
        <w:rPr>
          <w:szCs w:val="24"/>
        </w:rPr>
      </w:pPr>
      <w:r w:rsidRPr="00695BE7">
        <w:lastRenderedPageBreak/>
        <w:t>19.</w:t>
      </w:r>
      <w:r w:rsidRPr="00695BE7">
        <w:tab/>
        <w:t>uzsver, ka ir būtiski iekļaut TAP2030 prioritātes un mērķus kohēzijas politikas fondu juridiskajos instrumentos un programmās, kas būtu jāpielāgo katrai teritorijai; atzinīgi vērtē izstrādātos TAP2030 izmēģinājuma projektus un aicina dalībvalstis un Komisiju turpināt ieguldīt šajos pasākumos, uzlabojot to ģeogrāfisko līdzsvaru un labāk saskaņojot tos ar TAP2030 principiem;</w:t>
      </w:r>
    </w:p>
    <w:p w:rsidR="0051072E" w:rsidRPr="00695BE7" w:rsidRDefault="0051072E" w:rsidP="00695BE7">
      <w:pPr>
        <w:pStyle w:val="NormalHanging12a"/>
        <w:spacing w:before="120" w:after="120"/>
        <w:rPr>
          <w:szCs w:val="24"/>
        </w:rPr>
      </w:pPr>
      <w:r w:rsidRPr="00695BE7">
        <w:t>20.</w:t>
      </w:r>
      <w:r w:rsidRPr="00695BE7">
        <w:tab/>
        <w:t xml:space="preserve">uzsver, ka izmēģinājuma projektos ir jāiesaista Parlaments, jo īpaši tā kompetentā Reģionālās attīstības komiteja, lai nodrošinātu, ka tie atbilst pašreizējām ES prioritātēm, popularizētu izmēģinājuma projektu rezultātus un informētu par tiem ES līmenī, tos integrējot un koordinējot ar tādām iniciatīvām kā kohēzijas politika, jo īpaši ERAF un </w:t>
      </w:r>
      <w:proofErr w:type="spellStart"/>
      <w:r w:rsidRPr="00695BE7">
        <w:rPr>
          <w:i/>
          <w:iCs/>
        </w:rPr>
        <w:t>Interreg</w:t>
      </w:r>
      <w:proofErr w:type="spellEnd"/>
      <w:r w:rsidRPr="00695BE7">
        <w:t>;</w:t>
      </w:r>
    </w:p>
    <w:p w:rsidR="0051072E" w:rsidRPr="00695BE7" w:rsidRDefault="0051072E" w:rsidP="00695BE7">
      <w:pPr>
        <w:pStyle w:val="NormalHanging12a"/>
        <w:spacing w:before="120" w:after="120"/>
      </w:pPr>
      <w:r w:rsidRPr="00695BE7">
        <w:t>21.</w:t>
      </w:r>
      <w:r w:rsidRPr="00695BE7">
        <w:tab/>
        <w:t>aicina izstrādāt stratēģiju, lai veicinātu sinerģiju starp dažādiem ES fondiem projektiem, ko īsteno, izmantojot teritoriālos instrumentus, un administratīvi vienkāršot izmēģinājuma projektus, ko finansē vairāk nekā viens fonds, lai samazinātu administratīvos šķēršļus un atvieglotu pieteikumu iesniegšanu šiem projektiem;</w:t>
      </w:r>
    </w:p>
    <w:p w:rsidR="0051072E" w:rsidRPr="00695BE7" w:rsidRDefault="0051072E" w:rsidP="00695BE7">
      <w:pPr>
        <w:pStyle w:val="NormalHanging12a"/>
        <w:spacing w:before="120" w:after="120"/>
      </w:pPr>
      <w:r w:rsidRPr="00695BE7">
        <w:t>22.</w:t>
      </w:r>
      <w:r w:rsidRPr="00695BE7">
        <w:tab/>
        <w:t>uzskata, ka uzņēmumiem varētu būt svarīga nozīme teritoriālās attīstības stratēģijās; aicina Komisiju atbalstīt sadarbības pasākumus starp uzņēmumiem un vietējām un reģionālajām pašvaldībām, lai izstrādātu teritoriālās attīstības projektus, kas veicina darbvietu radīšanu un ekonomikas izaugsmi;</w:t>
      </w:r>
    </w:p>
    <w:p w:rsidR="0051072E" w:rsidRPr="00695BE7" w:rsidRDefault="0051072E" w:rsidP="00695BE7">
      <w:pPr>
        <w:pStyle w:val="NormalHanging12a"/>
        <w:spacing w:before="120" w:after="120"/>
        <w:rPr>
          <w:szCs w:val="24"/>
        </w:rPr>
      </w:pPr>
      <w:r w:rsidRPr="00695BE7">
        <w:t>23.</w:t>
      </w:r>
      <w:r w:rsidRPr="00695BE7">
        <w:tab/>
        <w:t xml:space="preserve">norāda uz TAP2030 un tās pašreizējo un turpmāko izmēģinājuma projektu milzīgo potenciālu risināt ļoti atšķirīgās vajadzības </w:t>
      </w:r>
      <w:proofErr w:type="spellStart"/>
      <w:r w:rsidRPr="00695BE7">
        <w:t>ārpuspilsētu</w:t>
      </w:r>
      <w:proofErr w:type="spellEnd"/>
      <w:r w:rsidRPr="00695BE7">
        <w:t xml:space="preserve"> teritorijās, tostarp lauku apvidos, kalnu apvidos, salās un piekrastes teritorijās, attālos un mazapdzīvotos apgabalos un daudzu citu veidu teritorijās, kurās vienlaikus pastāv pilsētu un lauku teritoriju apvienojums; jo īpaši uzsver, ka lauku apvidi bieži saskaras ar demogrāfiskām problēmām, zemu iedzīvotāju blīvumu un ierobežotu piekļuvi vispārējas nozīmes pakalpojumiem un ierobežotu to kvalitāti, bet šie lauku apvidi ne vienmēr spēj izstrādāt un īstenot inovatīvus risinājumus, tādējādi tiem lielu labumu var sniegt </w:t>
      </w:r>
      <w:proofErr w:type="spellStart"/>
      <w:r w:rsidRPr="00695BE7">
        <w:t>paraugprakses</w:t>
      </w:r>
      <w:proofErr w:type="spellEnd"/>
      <w:r w:rsidRPr="00695BE7">
        <w:t xml:space="preserve"> apmaiņa;</w:t>
      </w:r>
    </w:p>
    <w:p w:rsidR="0051072E" w:rsidRPr="00695BE7" w:rsidRDefault="0051072E" w:rsidP="00695BE7">
      <w:pPr>
        <w:pStyle w:val="NormalHanging12a"/>
        <w:spacing w:before="120" w:after="120"/>
        <w:rPr>
          <w:szCs w:val="24"/>
        </w:rPr>
      </w:pPr>
      <w:r w:rsidRPr="00695BE7">
        <w:t>24.</w:t>
      </w:r>
      <w:r w:rsidRPr="00695BE7">
        <w:tab/>
        <w:t xml:space="preserve">uzsver nepieciešamību plašāk izplatīt izmēģinājuma projektu darbības un sasniegumus kā ES līdzekļu izmantošanas piemērus; atbalsta ideju reizi divos gados rīkot konferenci, lai iepazīstinātu vietējās un reģionālās pašvaldības, kā arī attiecīgos dalībniekus valstu un ES līmenī ar izmēģinājuma programmām, saistot to ar citiem pasākumiem, piemēram, Lauku </w:t>
      </w:r>
      <w:proofErr w:type="spellStart"/>
      <w:r w:rsidRPr="00695BE7">
        <w:t>pakta</w:t>
      </w:r>
      <w:proofErr w:type="spellEnd"/>
      <w:r w:rsidRPr="00695BE7">
        <w:t xml:space="preserve"> vai Pilsētu foruma pasākumiem;</w:t>
      </w:r>
    </w:p>
    <w:p w:rsidR="0051072E" w:rsidRPr="00695BE7" w:rsidRDefault="0051072E" w:rsidP="00695BE7">
      <w:pPr>
        <w:pStyle w:val="NormalHanging12a"/>
        <w:spacing w:before="120" w:after="120"/>
      </w:pPr>
      <w:r w:rsidRPr="00695BE7">
        <w:t>25.</w:t>
      </w:r>
      <w:r w:rsidRPr="00695BE7">
        <w:tab/>
        <w:t xml:space="preserve">aicina dalībvalstis izstrādāt savas teritoriālās attīstības programmas saskaņā ar TAP2030 kā pamatu savu teritoriālo stratēģiju plānošanai, kurās ņem vērā katra no to reģioniem īpatnības un ļoti dažādās vajadzības un kas kalpo par pamudinājumu, kā arī lai stimulētu lēmumu pieņemšanas procesu un teritoriālās un </w:t>
      </w:r>
      <w:proofErr w:type="spellStart"/>
      <w:r w:rsidRPr="00695BE7">
        <w:t>pilsētpolitikas</w:t>
      </w:r>
      <w:proofErr w:type="spellEnd"/>
      <w:r w:rsidRPr="00695BE7">
        <w:t xml:space="preserve"> izstrādi; turklāt aicina dalībvalstis darīt iespējamas atšķirīgas teritoriālās stratēģijas visiem ES reģioniem, tostarp lauku apvidiem, tādiem apvidiem, kurus skar rūpniecības restrukturizācija, reģioniem, kas cieš no smagiem un pastāvīgiem nelabvēlīgiem dabas vai demogrāfiskiem apstākļiem, piemēram, vistālākajiem ziemeļu reģioniem un reģioniem ar ļoti mazu iedzīvotāju blīvumu, salām, pārrobežu reģioniem un kalnainiem reģioniem;</w:t>
      </w:r>
    </w:p>
    <w:p w:rsidR="0051072E" w:rsidRPr="00695BE7" w:rsidRDefault="0051072E" w:rsidP="00695BE7">
      <w:pPr>
        <w:pStyle w:val="NormalHanging12a"/>
        <w:spacing w:before="120" w:after="120"/>
      </w:pPr>
      <w:r w:rsidRPr="00695BE7">
        <w:t>26.</w:t>
      </w:r>
      <w:r w:rsidRPr="00695BE7">
        <w:tab/>
        <w:t xml:space="preserve">uzsver, ka pārvaldības struktūru laba darbība var noteikt optimālu ieguldījumu prioritāšu kombināciju, lai panāktu nepieciešamo </w:t>
      </w:r>
      <w:proofErr w:type="spellStart"/>
      <w:r w:rsidRPr="00695BE7">
        <w:t>daudzlīmeņu</w:t>
      </w:r>
      <w:proofErr w:type="spellEnd"/>
      <w:r w:rsidRPr="00695BE7">
        <w:t xml:space="preserve"> vertikālo un horizontālo koordināciju integrētas attīstības stratēģiju izstrādei un īstenošanai;</w:t>
      </w:r>
    </w:p>
    <w:p w:rsidR="0051072E" w:rsidRPr="00695BE7" w:rsidRDefault="0051072E" w:rsidP="00695BE7">
      <w:pPr>
        <w:pStyle w:val="NormalHanging12a"/>
        <w:spacing w:before="120" w:after="120"/>
      </w:pPr>
      <w:r w:rsidRPr="00695BE7">
        <w:t>27.</w:t>
      </w:r>
      <w:r w:rsidRPr="00695BE7">
        <w:tab/>
        <w:t xml:space="preserve">aicina dalībvalstis un Komisiju veicināt TAP2030 īstenošanu papildus izmēģinājuma projektiem, padarot šo instrumentu par pamatprincipu kopumu rīcībai, kas sniedz konkrētas un pielāgotas pamatnostādnes ES teritorijām nolūkā uzlabot to sniegumu; </w:t>
      </w:r>
      <w:r w:rsidRPr="00695BE7">
        <w:lastRenderedPageBreak/>
        <w:t>uzsver iespēju piesaistīt reģionālo finansējumu TAP2030 prioritāšu īstenošanai un aicina Komisiju izstrādāt uzraudzības rādītājus, kas sasaista TAP2030 un kohēzijas politikas fondu, konkrētāk, ERAF, izmantošanu;</w:t>
      </w:r>
    </w:p>
    <w:p w:rsidR="0051072E" w:rsidRPr="00695BE7" w:rsidRDefault="0051072E" w:rsidP="00695BE7">
      <w:pPr>
        <w:pStyle w:val="NormalHanging12a"/>
        <w:spacing w:before="120" w:after="120"/>
      </w:pPr>
      <w:r w:rsidRPr="00695BE7">
        <w:t>28.</w:t>
      </w:r>
      <w:r w:rsidRPr="00695BE7">
        <w:tab/>
        <w:t xml:space="preserve">atkārtoti uzsver nepieciešamību steidzami stiprināt ES politiku attiecībā uz </w:t>
      </w:r>
      <w:proofErr w:type="spellStart"/>
      <w:r w:rsidRPr="00695BE7">
        <w:t>mitigāciju</w:t>
      </w:r>
      <w:proofErr w:type="spellEnd"/>
      <w:r w:rsidRPr="00695BE7">
        <w:t xml:space="preserve"> un pielāgošanos klimata pārmaiņām, ņemot vērā arī to, ka pēdējos gados un mēnešos ES ir palielinājusies ekstremālo laikapstākļu tendence; tādēļ aicina iestādes turpināt cīņu pret klimata pārmaiņām; šajā sakarībā uzsver, ka ir jāpalielina izmēģinājuma projektu vēriens un kvalitāte saistībā ar mērķi par zaļāku Eiropu un tā pirmo prioritāti — veselīgāku vidi; uzsver, ka teritoriālā attīstība ir būtiska, lai veidotu noturīgus reģionus un nodrošinātu kohēzijas politikas finansējuma ilgtspējīgu īstenošanu;</w:t>
      </w:r>
    </w:p>
    <w:p w:rsidR="0051072E" w:rsidRPr="00695BE7" w:rsidRDefault="0051072E" w:rsidP="00695BE7">
      <w:pPr>
        <w:pStyle w:val="NormalHanging12a"/>
        <w:spacing w:before="120" w:after="120"/>
        <w:ind w:hanging="425"/>
      </w:pPr>
      <w:r w:rsidRPr="00695BE7">
        <w:t>29.</w:t>
      </w:r>
      <w:r w:rsidRPr="00695BE7">
        <w:tab/>
        <w:t xml:space="preserve">atzinīgi vērtē Eiropas Ekonomikas un sociālo lietu komitejas priekšlikumu veicināt Eiropas mēroga hartu par lauku un pilsētu tiesībām un pienākumiem; turklāt pauž pārliecību, ka ir vajadzīga ciešāka sadarbība ar pilsētu teritorijām, lai nodrošinātu, ka neviena teritorija un iedzīvotājs netiek atstāts novārtā taisnīgas pārkārtošanās procesā uz </w:t>
      </w:r>
      <w:proofErr w:type="spellStart"/>
      <w:r w:rsidRPr="00695BE7">
        <w:t>klimatneitrālu</w:t>
      </w:r>
      <w:proofErr w:type="spellEnd"/>
      <w:r w:rsidRPr="00695BE7">
        <w:t>, ilgtspējīgu un pārticīgu Eiropas Savienību, cenšoties panākt lauku un pilsētu apņemšanos īstenot taisnīgu pieeju un apliecinot pievienoto vērtību, ko sniedz lauku un pilsētu organizāciju sadarbība;</w:t>
      </w:r>
    </w:p>
    <w:p w:rsidR="0051072E" w:rsidRPr="00695BE7" w:rsidRDefault="0051072E" w:rsidP="00695BE7">
      <w:pPr>
        <w:pStyle w:val="NormalHanging12a"/>
        <w:spacing w:before="120" w:after="120"/>
      </w:pPr>
      <w:r w:rsidRPr="00695BE7">
        <w:t>30.</w:t>
      </w:r>
      <w:r w:rsidRPr="00695BE7">
        <w:tab/>
        <w:t>uzsver, ka ir jānodrošina līdzsvarotāka ES reģionu attīstība, nodrošinot ES līdzekļu, tostarp kopējās lauksaimniecības politikas atbalsta, labāku sadali dalībvalstīs un starp tām; uzsver, ka nav iespējams panākt ilgtspējīgu un ilgtermiņa teritoriālo attīstību, ja atbalsts dažādiem reģioniem tiek piešķirts, pamatojoties uz vēsturiskiem datiem;</w:t>
      </w:r>
    </w:p>
    <w:p w:rsidR="0051072E" w:rsidRPr="00695BE7" w:rsidRDefault="0051072E" w:rsidP="00695BE7">
      <w:pPr>
        <w:pStyle w:val="NormalHanging12a"/>
        <w:spacing w:before="120" w:after="120"/>
      </w:pPr>
      <w:r w:rsidRPr="00695BE7">
        <w:t>31.</w:t>
      </w:r>
      <w:r w:rsidRPr="00695BE7">
        <w:tab/>
        <w:t>norāda, ka arvien vairāk cilvēku izvēlas dzīvot pilsētās un strādāt lauku apvidos; aicina Komisiju izstrādāt programmas, kurās būtu ņemtas vērā visas teritorijas, tostarp lielpilsētu, pilsētu un funkcionālās teritorijas; mudina Komisiju izstrādāt LEADER tā, lai to varētu izmantot mazās pilsētas;</w:t>
      </w:r>
    </w:p>
    <w:p w:rsidR="0051072E" w:rsidRPr="00695BE7" w:rsidRDefault="0051072E" w:rsidP="00695BE7">
      <w:pPr>
        <w:pStyle w:val="NormalHanging12a"/>
        <w:spacing w:before="120" w:after="120"/>
      </w:pPr>
      <w:r w:rsidRPr="00695BE7">
        <w:t>32.</w:t>
      </w:r>
      <w:r w:rsidRPr="00695BE7">
        <w:tab/>
        <w:t>aicina Komisiju sasaistīt TAP2030 īstenošanā gūto pieredzi ar turpmāko kohēzijas politiku un augsta līmeņa darba grupas par kohēzijas politikas nākotni ieteikumiem, lai efektīvāk novērstu teritoriālo nelīdzsvarotību un funkcionālās neatbilstības; norāda uz TAP2030 sniegto iespēju kā instrumentu kohēzijas politikas ietekmes novērtēšanai attiecībā uz teritoriālās kohēzijas mērķi;</w:t>
      </w:r>
    </w:p>
    <w:p w:rsidR="0051072E" w:rsidRPr="00695BE7" w:rsidRDefault="0051072E" w:rsidP="00695BE7">
      <w:pPr>
        <w:pStyle w:val="NormalHanging12a"/>
        <w:spacing w:before="120" w:after="120"/>
        <w:rPr>
          <w:szCs w:val="24"/>
        </w:rPr>
      </w:pPr>
      <w:r w:rsidRPr="00695BE7">
        <w:t>33.</w:t>
      </w:r>
      <w:r w:rsidRPr="00695BE7">
        <w:tab/>
        <w:t>aicina Komisiju un dalībvalstis līdz 2024. gada beigām veikt saskaņotu TAP2030 pārskatīšanu, tostarp rūpīgi pārskatīt tās pārvaldības sistēmu, tās īstenošanā panākto progresu un tās prioritāšu atbilstību, kā izklāstīts TAP2030;</w:t>
      </w:r>
    </w:p>
    <w:p w:rsidR="0051072E" w:rsidRPr="00695BE7" w:rsidRDefault="0051072E" w:rsidP="00695BE7">
      <w:pPr>
        <w:pStyle w:val="NormalHanging12a"/>
        <w:spacing w:before="120" w:after="120"/>
      </w:pPr>
      <w:r w:rsidRPr="00695BE7">
        <w:t>34.</w:t>
      </w:r>
      <w:r w:rsidRPr="00695BE7">
        <w:tab/>
        <w:t xml:space="preserve">atzinīgi vērtē teritoriālās un vietējās attīstības stratēģiju rokasgrāmatā aprakstītās metodikas saistošo raksturu, piešķirot teritoriālajai politikai tādu pašu nozīmi kā </w:t>
      </w:r>
      <w:proofErr w:type="spellStart"/>
      <w:r w:rsidRPr="00695BE7">
        <w:t>pilsētpolitikai</w:t>
      </w:r>
      <w:proofErr w:type="spellEnd"/>
      <w:r w:rsidRPr="00695BE7">
        <w:t>;</w:t>
      </w:r>
    </w:p>
    <w:p w:rsidR="0051072E" w:rsidRPr="00695BE7" w:rsidRDefault="0051072E" w:rsidP="00695BE7">
      <w:pPr>
        <w:pStyle w:val="NormalHanging12a"/>
        <w:spacing w:before="120" w:after="120"/>
      </w:pPr>
      <w:r w:rsidRPr="00695BE7">
        <w:t>35.</w:t>
      </w:r>
      <w:r w:rsidRPr="00695BE7">
        <w:tab/>
        <w:t>aicina izveidot vienotu satvaru stratēģijām, kas vērstas gan uz pilsētu, gan plašāku teritoriālo attīstību, aplūkojot teritoriālās prasības kopumā; uzsver, ka tas varētu būtiski samazināt birokrātiskos šķēršļus līdzekļu apguvē;</w:t>
      </w:r>
    </w:p>
    <w:p w:rsidR="0051072E" w:rsidRPr="00695BE7" w:rsidRDefault="0051072E" w:rsidP="00695BE7">
      <w:pPr>
        <w:pStyle w:val="NormalHanging12a"/>
        <w:spacing w:before="120" w:after="120"/>
      </w:pPr>
      <w:r w:rsidRPr="00695BE7">
        <w:t>36.</w:t>
      </w:r>
      <w:r w:rsidRPr="00695BE7">
        <w:tab/>
        <w:t xml:space="preserve">aicina Komisiju nodrošināt fondu līdzekļu pienācīgu izmantošanu un teritoriālo instrumentu īstenošanu, veicinot efektīvu pārvaldību bez nesamērīgas birokrātijas; uzsver, ka ir jāvienkāršo piekļuve līdzekļiem, nosakot „vienas pieturas aģentūras” potenciālajiem saņēmējiem no ES Kohēzijas fonda ITI vai </w:t>
      </w:r>
      <w:r w:rsidRPr="00695BE7">
        <w:rPr>
          <w:i/>
          <w:iCs/>
        </w:rPr>
        <w:t>CLLD</w:t>
      </w:r>
      <w:r w:rsidRPr="00695BE7">
        <w:t xml:space="preserve"> projektiem, jo īpaši, lai piekļūtu informācijai par finansējuma veidu, administratīvajām prasībām un atbilstību;</w:t>
      </w:r>
    </w:p>
    <w:p w:rsidR="0051072E" w:rsidRPr="00695BE7" w:rsidRDefault="0051072E" w:rsidP="00695BE7">
      <w:pPr>
        <w:pStyle w:val="NormalHanging12a"/>
        <w:spacing w:before="120" w:after="120"/>
      </w:pPr>
      <w:r w:rsidRPr="00695BE7">
        <w:t>37.</w:t>
      </w:r>
      <w:r w:rsidRPr="00695BE7">
        <w:tab/>
        <w:t xml:space="preserve">atzīst Eiropadomes lomu dalībvalstu teritoriālo darbību attīstībā; aicina dalībvalstis </w:t>
      </w:r>
      <w:r w:rsidRPr="00695BE7">
        <w:lastRenderedPageBreak/>
        <w:t xml:space="preserve">nodrošināt pietiekamus cilvēkresursus gan vadošajām iestādēm, gan īstenošanas struktūrām, kas atbild par ITI vai </w:t>
      </w:r>
      <w:r w:rsidRPr="00695BE7">
        <w:rPr>
          <w:i/>
          <w:iCs/>
        </w:rPr>
        <w:t>CLLD</w:t>
      </w:r>
      <w:r w:rsidRPr="00695BE7">
        <w:t>, lai nodrošinātu tehnisko atbalstu un konsultāciju pakalpojumus tieši vietējām rīcības grupām un ITI partneriem un nodrošinātu atbilstību noteikumiem;</w:t>
      </w:r>
    </w:p>
    <w:p w:rsidR="0051072E" w:rsidRPr="00695BE7" w:rsidRDefault="0051072E" w:rsidP="00695BE7">
      <w:pPr>
        <w:pStyle w:val="NormalHanging12a"/>
        <w:spacing w:before="120" w:after="120"/>
      </w:pPr>
      <w:r w:rsidRPr="00695BE7">
        <w:t>38.</w:t>
      </w:r>
      <w:r w:rsidRPr="00695BE7">
        <w:tab/>
        <w:t xml:space="preserve">aicina Komisiju vairāk iesaistīties teritoriālajā politikā, izmantojot kohēzijas politiku, un stiprināt reģionu pārvaldību nolūkā veicināt kohēziju un </w:t>
      </w:r>
      <w:proofErr w:type="spellStart"/>
      <w:r w:rsidRPr="00695BE7">
        <w:t>mikrokohēziju</w:t>
      </w:r>
      <w:proofErr w:type="spellEnd"/>
      <w:r w:rsidRPr="00695BE7">
        <w:t>, ņemot vērā katra reģiona īpatnības, uzlabojot lēmumu pieņemšanu vietējā un reģionālajā līmenī un izmantojot spēkā esošos instrumentus, kas ļautu uzlabot likumdošanas instrumentu pārvaldību; turklāt aicina Komisiju un dalībvalstis turpināt atbalstīt kohēzijas politikas fondus, lai palielinātu teritoriālās attīstības noturību, jo īpaši lai spētu mazināt neparedzētu notikumu sekas, novērstu to, ka reģioni cieš no sekām, un ievērotu principu “nekaitēt kohēzijai”;</w:t>
      </w:r>
    </w:p>
    <w:p w:rsidR="0051072E" w:rsidRPr="00695BE7" w:rsidRDefault="0051072E" w:rsidP="00695BE7">
      <w:pPr>
        <w:pStyle w:val="NormalHanging12a"/>
        <w:spacing w:before="120" w:after="120"/>
        <w:rPr>
          <w:szCs w:val="24"/>
        </w:rPr>
      </w:pPr>
      <w:r w:rsidRPr="00695BE7">
        <w:t>39.</w:t>
      </w:r>
      <w:r w:rsidRPr="00695BE7">
        <w:tab/>
        <w:t xml:space="preserve">apzinās ES pusgada lēmumu ietekmi uz teritoriālo kohēziju un līdz ar to uz spēju izstrādāt teritoriālās programmas; tādēļ atkārtoti uzsver nepieciešamību stiprināt Eiropas pusgada teritoriālo dimensiju un uzlabot atbilstību starp kohēzijas politiku un Eiropas ekonomikas pārvaldību, iesaistot vietējās un reģionālās pašvaldības visos procedūru posmos, kas saistītas ar Eiropas pusgadu un konkrētām valstīm adresētajiem ieteikumiem; </w:t>
      </w:r>
    </w:p>
    <w:p w:rsidR="0051072E" w:rsidRPr="00695BE7" w:rsidRDefault="0051072E" w:rsidP="00695BE7">
      <w:pPr>
        <w:pStyle w:val="NormalHanging12a"/>
        <w:spacing w:before="120" w:after="120"/>
        <w:rPr>
          <w:szCs w:val="24"/>
        </w:rPr>
      </w:pPr>
      <w:r w:rsidRPr="00695BE7">
        <w:t>40.</w:t>
      </w:r>
      <w:r w:rsidRPr="00695BE7">
        <w:tab/>
        <w:t xml:space="preserve">aicina Eiropas Reģionu komiteju un Eiropas Ekonomikas un sociālo lietu komiteju aktīvāk iesaistīties TAP2030 pārraudzības </w:t>
      </w:r>
      <w:proofErr w:type="spellStart"/>
      <w:r w:rsidRPr="00695BE7">
        <w:t>pēcpasākumos</w:t>
      </w:r>
      <w:proofErr w:type="spellEnd"/>
      <w:r w:rsidRPr="00695BE7">
        <w:t xml:space="preserve"> un turpmākajā attīstībā; aicina Komisiju veikt pētījumu par katra reģiona spēju mazināt nākotnes globālās problēmas, kas ietekmē teritoriālo kohēziju; norāda, ka tas nodrošinātu ātrās reaģēšanas instrumentu, kas ļautu rīkoties elastīgi, piešķirot vai palielinot resursus atkarībā no reālā laika situācijas ES reģionos;</w:t>
      </w:r>
    </w:p>
    <w:p w:rsidR="0051072E" w:rsidRPr="00695BE7" w:rsidRDefault="0051072E" w:rsidP="00695BE7">
      <w:pPr>
        <w:pStyle w:val="NormalHanging12a"/>
        <w:spacing w:before="120" w:after="120"/>
        <w:rPr>
          <w:szCs w:val="24"/>
        </w:rPr>
      </w:pPr>
      <w:r w:rsidRPr="00695BE7">
        <w:t>41.</w:t>
      </w:r>
      <w:r w:rsidRPr="00695BE7">
        <w:tab/>
        <w:t xml:space="preserve">uzsver teritoriālo instrumentu nozīmi pilsoniskās sabiedrības un vietējo un reģionālo pašvaldību lielākai un iekļaujošai līdzdalībai; aicina Komisiju izpētīt jaunus veidus, kā palielināt informētību par to loģisko pamatojumu un būtiski palielināt ITI un </w:t>
      </w:r>
      <w:r w:rsidRPr="00695BE7">
        <w:rPr>
          <w:i/>
          <w:iCs/>
        </w:rPr>
        <w:t>CLLD</w:t>
      </w:r>
      <w:r w:rsidRPr="00695BE7">
        <w:t xml:space="preserve"> izmantošanu, arī potenciāli paredzot procentuālo daļu, kas izmantojama kohēzijas politikas satvarā laikposmam pēc 2027. gada;</w:t>
      </w:r>
    </w:p>
    <w:p w:rsidR="0051072E" w:rsidRPr="00695BE7" w:rsidRDefault="0051072E" w:rsidP="00695BE7">
      <w:pPr>
        <w:pStyle w:val="NormalHanging12a"/>
        <w:spacing w:before="120" w:after="120"/>
        <w:rPr>
          <w:szCs w:val="24"/>
        </w:rPr>
      </w:pPr>
      <w:r w:rsidRPr="00695BE7">
        <w:t>42.</w:t>
      </w:r>
      <w:r w:rsidRPr="00695BE7">
        <w:tab/>
        <w:t xml:space="preserve">aicina Eiropas Investīciju banku palielināt finanšu piešķīrumu, kas paredzēts kohēzijas politikas fondiem, kuri paredzēti reģionu līdzsvara un pienācīgas darbības nodrošināšanai; </w:t>
      </w:r>
    </w:p>
    <w:p w:rsidR="00E365E1" w:rsidRPr="00695BE7" w:rsidRDefault="0051072E" w:rsidP="00695BE7">
      <w:pPr>
        <w:spacing w:before="120" w:after="120"/>
        <w:ind w:left="567" w:hanging="567"/>
      </w:pPr>
      <w:r w:rsidRPr="00695BE7">
        <w:t>43.</w:t>
      </w:r>
      <w:r w:rsidRPr="00695BE7">
        <w:tab/>
        <w:t>uzdod priekšsēdētājai nosūtīt šo rezolūciju Padomei, Komisijai, kā arī dalībvalstu nacionālajiem un reģionālajiem parlamentiem.</w:t>
      </w:r>
      <w:bookmarkStart w:id="9" w:name="TextBodyEnd"/>
      <w:bookmarkEnd w:id="9"/>
    </w:p>
    <w:sectPr w:rsidR="00E365E1" w:rsidRPr="00695BE7" w:rsidSect="007439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135" w:rsidRPr="0074392D" w:rsidRDefault="00665135">
      <w:r w:rsidRPr="0074392D">
        <w:separator/>
      </w:r>
    </w:p>
  </w:endnote>
  <w:endnote w:type="continuationSeparator" w:id="0">
    <w:p w:rsidR="00665135" w:rsidRPr="0074392D" w:rsidRDefault="00665135">
      <w:r w:rsidRPr="007439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39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39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39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135" w:rsidRPr="0074392D" w:rsidRDefault="00665135">
      <w:r w:rsidRPr="0074392D">
        <w:separator/>
      </w:r>
    </w:p>
  </w:footnote>
  <w:footnote w:type="continuationSeparator" w:id="0">
    <w:p w:rsidR="00665135" w:rsidRPr="0074392D" w:rsidRDefault="00665135">
      <w:r w:rsidRPr="0074392D">
        <w:continuationSeparator/>
      </w:r>
    </w:p>
  </w:footnote>
  <w:footnote w:id="1">
    <w:p w:rsidR="0051072E" w:rsidRPr="00695BE7" w:rsidRDefault="0051072E" w:rsidP="0074392D">
      <w:pPr>
        <w:pStyle w:val="FootnoteText1"/>
        <w:ind w:left="567" w:hanging="567"/>
        <w:jc w:val="left"/>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hyperlink r:id="rId1" w:history="1">
        <w:r w:rsidRPr="00695BE7">
          <w:rPr>
            <w:sz w:val="24"/>
            <w:szCs w:val="24"/>
            <w:lang w:val="sv-SE"/>
          </w:rPr>
          <w:t>OV</w:t>
        </w:r>
      </w:hyperlink>
      <w:r w:rsidRPr="00695BE7">
        <w:rPr>
          <w:sz w:val="24"/>
          <w:szCs w:val="24"/>
          <w:lang w:val="lv-LV"/>
        </w:rPr>
        <w:t> L 231, 30.6.2021., 159. lpp.</w:t>
      </w:r>
    </w:p>
  </w:footnote>
  <w:footnote w:id="2">
    <w:p w:rsidR="0051072E" w:rsidRPr="00695BE7" w:rsidRDefault="0051072E" w:rsidP="0074392D">
      <w:pPr>
        <w:pStyle w:val="FootnoteText1"/>
        <w:ind w:left="567" w:hanging="567"/>
        <w:jc w:val="left"/>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hyperlink r:id="rId2" w:history="1">
        <w:r w:rsidRPr="00695BE7">
          <w:rPr>
            <w:sz w:val="24"/>
            <w:szCs w:val="24"/>
            <w:lang w:val="sv-SE"/>
          </w:rPr>
          <w:t>OV</w:t>
        </w:r>
      </w:hyperlink>
      <w:r w:rsidRPr="00695BE7">
        <w:rPr>
          <w:sz w:val="24"/>
          <w:szCs w:val="24"/>
          <w:lang w:val="lv-LV"/>
        </w:rPr>
        <w:t> L 231, 30.6.2021., 60. lpp.</w:t>
      </w:r>
    </w:p>
  </w:footnote>
  <w:footnote w:id="3">
    <w:p w:rsidR="0051072E" w:rsidRPr="00695BE7" w:rsidRDefault="0051072E" w:rsidP="0074392D">
      <w:pPr>
        <w:pStyle w:val="FootnoteText1"/>
        <w:ind w:left="567" w:hanging="567"/>
        <w:jc w:val="left"/>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hyperlink r:id="rId3" w:history="1">
        <w:r w:rsidRPr="00695BE7">
          <w:rPr>
            <w:sz w:val="24"/>
            <w:szCs w:val="24"/>
            <w:lang w:val="sv-SE"/>
          </w:rPr>
          <w:t>OV</w:t>
        </w:r>
      </w:hyperlink>
      <w:r w:rsidRPr="00695BE7">
        <w:rPr>
          <w:sz w:val="24"/>
          <w:szCs w:val="24"/>
          <w:lang w:val="lv-LV"/>
        </w:rPr>
        <w:t> L 231, 30.6.2021., 94. lpp.</w:t>
      </w:r>
    </w:p>
  </w:footnote>
  <w:footnote w:id="4">
    <w:p w:rsidR="0051072E" w:rsidRPr="00695BE7" w:rsidRDefault="0051072E" w:rsidP="0074392D">
      <w:pPr>
        <w:pStyle w:val="FootnoteText"/>
        <w:ind w:left="567" w:hanging="567"/>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r w:rsidRPr="00695BE7">
        <w:rPr>
          <w:sz w:val="24"/>
          <w:szCs w:val="24"/>
          <w:lang w:val="lv-LV"/>
        </w:rPr>
        <w:t>OV L 231, 30.6.2021., 1. lpp.</w:t>
      </w:r>
    </w:p>
  </w:footnote>
  <w:footnote w:id="5">
    <w:p w:rsidR="0051072E" w:rsidRPr="0074392D" w:rsidRDefault="0051072E" w:rsidP="0074392D">
      <w:pPr>
        <w:pStyle w:val="FootnoteText"/>
        <w:ind w:left="567" w:hanging="567"/>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L 435, 6.12.2021., 1. lpp.</w:t>
      </w:r>
    </w:p>
  </w:footnote>
  <w:footnote w:id="6">
    <w:p w:rsidR="0051072E" w:rsidRPr="0074392D" w:rsidRDefault="0051072E" w:rsidP="0074392D">
      <w:pPr>
        <w:pStyle w:val="FootnoteText"/>
        <w:ind w:left="567" w:hanging="567"/>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L 437, 28.12.2020., 1. lpp.</w:t>
      </w:r>
    </w:p>
  </w:footnote>
  <w:footnote w:id="7">
    <w:p w:rsidR="0051072E" w:rsidRPr="0074392D" w:rsidRDefault="0051072E" w:rsidP="0074392D">
      <w:pPr>
        <w:pStyle w:val="FootnoteText1"/>
        <w:ind w:left="567" w:hanging="567"/>
        <w:jc w:val="left"/>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L 347, 20.12.2013., 320. lpp.</w:t>
      </w:r>
    </w:p>
  </w:footnote>
  <w:footnote w:id="8">
    <w:p w:rsidR="0051072E" w:rsidRPr="0074392D" w:rsidRDefault="0051072E" w:rsidP="0074392D">
      <w:pPr>
        <w:pStyle w:val="FootnoteText1"/>
        <w:ind w:left="567" w:hanging="567"/>
        <w:jc w:val="left"/>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C 125, 5.4.2023., 56. lpp.</w:t>
      </w:r>
    </w:p>
  </w:footnote>
  <w:footnote w:id="9">
    <w:p w:rsidR="0051072E" w:rsidRPr="0074392D" w:rsidRDefault="0051072E" w:rsidP="0074392D">
      <w:pPr>
        <w:pStyle w:val="FootnoteText1"/>
        <w:ind w:left="567" w:hanging="567"/>
        <w:jc w:val="left"/>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C 177, 17.5.2023., 35. lpp.</w:t>
      </w:r>
    </w:p>
  </w:footnote>
  <w:footnote w:id="10">
    <w:p w:rsidR="0051072E" w:rsidRPr="0074392D" w:rsidRDefault="0051072E" w:rsidP="0074392D">
      <w:pPr>
        <w:pStyle w:val="FootnoteText1"/>
        <w:ind w:left="567" w:hanging="567"/>
        <w:jc w:val="left"/>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C 125, 5.4.2023., 100. lpp.</w:t>
      </w:r>
    </w:p>
  </w:footnote>
  <w:footnote w:id="11">
    <w:p w:rsidR="0051072E" w:rsidRPr="0074392D" w:rsidRDefault="0051072E" w:rsidP="0074392D">
      <w:pPr>
        <w:pStyle w:val="FootnoteText1"/>
        <w:ind w:left="567" w:hanging="567"/>
        <w:jc w:val="left"/>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C 342, 6.9.2022., 2. lpp.</w:t>
      </w:r>
    </w:p>
  </w:footnote>
  <w:footnote w:id="12">
    <w:p w:rsidR="0051072E" w:rsidRPr="0074392D" w:rsidRDefault="0051072E" w:rsidP="0074392D">
      <w:pPr>
        <w:pStyle w:val="FootnoteText"/>
        <w:ind w:left="567" w:hanging="567"/>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C 15, 12.1.2022., 125. lpp.</w:t>
      </w:r>
    </w:p>
  </w:footnote>
  <w:footnote w:id="13">
    <w:p w:rsidR="0051072E" w:rsidRPr="0074392D" w:rsidRDefault="0051072E" w:rsidP="0074392D">
      <w:pPr>
        <w:pStyle w:val="FootnoteText"/>
        <w:ind w:left="567" w:hanging="567"/>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OV C 494, 8.12.2021., 26. lpp.</w:t>
      </w:r>
    </w:p>
  </w:footnote>
  <w:footnote w:id="14">
    <w:p w:rsidR="0051072E" w:rsidRPr="00695BE7" w:rsidRDefault="0051072E" w:rsidP="0074392D">
      <w:pPr>
        <w:pStyle w:val="FootnoteText1"/>
        <w:ind w:left="567" w:hanging="567"/>
        <w:jc w:val="left"/>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hyperlink r:id="rId4" w:history="1">
        <w:r w:rsidRPr="00695BE7">
          <w:rPr>
            <w:sz w:val="24"/>
            <w:szCs w:val="24"/>
            <w:lang w:val="sv-SE" w:eastAsia="fr-FR"/>
          </w:rPr>
          <w:t>OV</w:t>
        </w:r>
      </w:hyperlink>
      <w:r w:rsidRPr="00695BE7">
        <w:rPr>
          <w:sz w:val="24"/>
          <w:szCs w:val="24"/>
          <w:lang w:val="lv-LV" w:eastAsia="fr-FR"/>
        </w:rPr>
        <w:t xml:space="preserve"> </w:t>
      </w:r>
      <w:r w:rsidRPr="00695BE7">
        <w:rPr>
          <w:sz w:val="24"/>
          <w:szCs w:val="24"/>
          <w:lang w:val="lv-LV"/>
        </w:rPr>
        <w:t>C 162, 10.5.2019., 31. lpp.</w:t>
      </w:r>
    </w:p>
  </w:footnote>
  <w:footnote w:id="15">
    <w:p w:rsidR="0051072E" w:rsidRPr="00695BE7" w:rsidRDefault="0051072E" w:rsidP="0074392D">
      <w:pPr>
        <w:pStyle w:val="FootnoteText"/>
        <w:ind w:left="567" w:hanging="567"/>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r w:rsidRPr="00695BE7">
        <w:rPr>
          <w:sz w:val="24"/>
          <w:szCs w:val="24"/>
          <w:lang w:val="lv-LV"/>
        </w:rPr>
        <w:t>OV C 429, 11.12.2020., 145. lpp.</w:t>
      </w:r>
    </w:p>
  </w:footnote>
  <w:footnote w:id="16">
    <w:p w:rsidR="0051072E" w:rsidRPr="00695BE7" w:rsidRDefault="0051072E" w:rsidP="0074392D">
      <w:pPr>
        <w:pStyle w:val="FootnoteText"/>
        <w:ind w:left="567" w:hanging="567"/>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r w:rsidRPr="00695BE7">
        <w:rPr>
          <w:sz w:val="24"/>
          <w:szCs w:val="24"/>
          <w:lang w:val="lv-LV"/>
        </w:rPr>
        <w:t>Padziļināta analīze "Teritoriālās attīstības programma 2030. gadam – īstenošanas pārskats", Eiropas Parlaments, Iekšpolitikas ģenerāldirektorāts, B politikas departaments — Struktūrpolitika un kohēzijas politika, 2023. gada 7. jūnijs.</w:t>
      </w:r>
    </w:p>
  </w:footnote>
  <w:footnote w:id="17">
    <w:p w:rsidR="0051072E" w:rsidRPr="00695BE7" w:rsidRDefault="0051072E" w:rsidP="0074392D">
      <w:pPr>
        <w:pStyle w:val="FootnoteText1"/>
        <w:ind w:left="567" w:hanging="567"/>
        <w:jc w:val="left"/>
        <w:rPr>
          <w:sz w:val="24"/>
          <w:szCs w:val="24"/>
          <w:u w:val="single"/>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r w:rsidRPr="00695BE7">
        <w:rPr>
          <w:sz w:val="24"/>
          <w:szCs w:val="24"/>
          <w:lang w:val="lv-LV"/>
        </w:rPr>
        <w:t>Eiropas Komisija, ‘</w:t>
      </w:r>
      <w:proofErr w:type="spellStart"/>
      <w:r w:rsidRPr="00695BE7">
        <w:fldChar w:fldCharType="begin"/>
      </w:r>
      <w:r w:rsidRPr="00695BE7">
        <w:rPr>
          <w:sz w:val="24"/>
          <w:szCs w:val="24"/>
          <w:lang w:val="lv-LV"/>
        </w:rPr>
        <w:instrText xml:space="preserve"> HYPERLINK "https://ec.europa.eu/regional_policy/sources/studies/integrated_strategies/integrated_strategies_en.pdf" </w:instrText>
      </w:r>
      <w:r w:rsidRPr="00695BE7">
        <w:fldChar w:fldCharType="separate"/>
      </w:r>
      <w:r w:rsidRPr="00695BE7">
        <w:rPr>
          <w:rStyle w:val="Hyperlink"/>
          <w:sz w:val="24"/>
          <w:szCs w:val="24"/>
          <w:lang w:val="lv-LV"/>
        </w:rPr>
        <w:t>Integrated</w:t>
      </w:r>
      <w:proofErr w:type="spellEnd"/>
      <w:r w:rsidRPr="00695BE7">
        <w:rPr>
          <w:rStyle w:val="Hyperlink"/>
          <w:sz w:val="24"/>
          <w:szCs w:val="24"/>
          <w:lang w:val="lv-LV"/>
        </w:rPr>
        <w:t xml:space="preserve"> </w:t>
      </w:r>
      <w:proofErr w:type="spellStart"/>
      <w:r w:rsidRPr="00695BE7">
        <w:rPr>
          <w:rStyle w:val="Hyperlink"/>
          <w:sz w:val="24"/>
          <w:szCs w:val="24"/>
          <w:lang w:val="lv-LV"/>
        </w:rPr>
        <w:t>territorial</w:t>
      </w:r>
      <w:proofErr w:type="spellEnd"/>
      <w:r w:rsidRPr="00695BE7">
        <w:rPr>
          <w:rStyle w:val="Hyperlink"/>
          <w:sz w:val="24"/>
          <w:szCs w:val="24"/>
          <w:lang w:val="lv-LV"/>
        </w:rPr>
        <w:t xml:space="preserve"> </w:t>
      </w:r>
      <w:proofErr w:type="spellStart"/>
      <w:r w:rsidRPr="00695BE7">
        <w:rPr>
          <w:rStyle w:val="Hyperlink"/>
          <w:sz w:val="24"/>
          <w:szCs w:val="24"/>
          <w:lang w:val="lv-LV"/>
        </w:rPr>
        <w:t>and</w:t>
      </w:r>
      <w:proofErr w:type="spellEnd"/>
      <w:r w:rsidRPr="00695BE7">
        <w:rPr>
          <w:rStyle w:val="Hyperlink"/>
          <w:sz w:val="24"/>
          <w:szCs w:val="24"/>
          <w:lang w:val="lv-LV"/>
        </w:rPr>
        <w:t xml:space="preserve"> </w:t>
      </w:r>
      <w:proofErr w:type="spellStart"/>
      <w:r w:rsidRPr="00695BE7">
        <w:rPr>
          <w:rStyle w:val="Hyperlink"/>
          <w:sz w:val="24"/>
          <w:szCs w:val="24"/>
          <w:lang w:val="lv-LV"/>
        </w:rPr>
        <w:t>urban</w:t>
      </w:r>
      <w:proofErr w:type="spellEnd"/>
      <w:r w:rsidRPr="00695BE7">
        <w:rPr>
          <w:rStyle w:val="Hyperlink"/>
          <w:sz w:val="24"/>
          <w:szCs w:val="24"/>
          <w:lang w:val="lv-LV"/>
        </w:rPr>
        <w:t xml:space="preserve"> </w:t>
      </w:r>
      <w:proofErr w:type="spellStart"/>
      <w:r w:rsidRPr="00695BE7">
        <w:rPr>
          <w:rStyle w:val="Hyperlink"/>
          <w:sz w:val="24"/>
          <w:szCs w:val="24"/>
          <w:lang w:val="lv-LV"/>
        </w:rPr>
        <w:t>strategies</w:t>
      </w:r>
      <w:proofErr w:type="spellEnd"/>
      <w:r w:rsidRPr="00695BE7">
        <w:rPr>
          <w:rStyle w:val="Hyperlink"/>
          <w:sz w:val="24"/>
          <w:szCs w:val="24"/>
          <w:lang w:val="lv-LV"/>
        </w:rPr>
        <w:t>:</w:t>
      </w:r>
      <w:r w:rsidRPr="00695BE7">
        <w:rPr>
          <w:rStyle w:val="Hyperlink"/>
          <w:sz w:val="24"/>
          <w:szCs w:val="24"/>
          <w:lang w:val="lv-LV"/>
        </w:rPr>
        <w:fldChar w:fldCharType="end"/>
      </w:r>
      <w:hyperlink r:id="rId5" w:history="1">
        <w:r w:rsidRPr="00695BE7">
          <w:rPr>
            <w:rStyle w:val="Hyperlink"/>
            <w:sz w:val="24"/>
            <w:szCs w:val="24"/>
            <w:lang w:val="lv-LV"/>
          </w:rPr>
          <w:t xml:space="preserve"> </w:t>
        </w:r>
        <w:proofErr w:type="spellStart"/>
        <w:r w:rsidRPr="00695BE7">
          <w:rPr>
            <w:rStyle w:val="Hyperlink"/>
            <w:sz w:val="24"/>
            <w:szCs w:val="24"/>
            <w:lang w:val="lv-LV"/>
          </w:rPr>
          <w:t>how</w:t>
        </w:r>
        <w:proofErr w:type="spellEnd"/>
        <w:r w:rsidRPr="00695BE7">
          <w:rPr>
            <w:rStyle w:val="Hyperlink"/>
            <w:sz w:val="24"/>
            <w:szCs w:val="24"/>
            <w:lang w:val="lv-LV"/>
          </w:rPr>
          <w:t xml:space="preserve"> </w:t>
        </w:r>
        <w:proofErr w:type="spellStart"/>
        <w:r w:rsidRPr="00695BE7">
          <w:rPr>
            <w:rStyle w:val="Hyperlink"/>
            <w:sz w:val="24"/>
            <w:szCs w:val="24"/>
            <w:lang w:val="lv-LV"/>
          </w:rPr>
          <w:t>are</w:t>
        </w:r>
        <w:proofErr w:type="spellEnd"/>
        <w:r w:rsidRPr="00695BE7">
          <w:rPr>
            <w:rStyle w:val="Hyperlink"/>
            <w:sz w:val="24"/>
            <w:szCs w:val="24"/>
            <w:lang w:val="lv-LV"/>
          </w:rPr>
          <w:t xml:space="preserve"> ESIF </w:t>
        </w:r>
        <w:proofErr w:type="spellStart"/>
        <w:r w:rsidRPr="00695BE7">
          <w:rPr>
            <w:rStyle w:val="Hyperlink"/>
            <w:sz w:val="24"/>
            <w:szCs w:val="24"/>
            <w:lang w:val="lv-LV"/>
          </w:rPr>
          <w:t>adding</w:t>
        </w:r>
        <w:proofErr w:type="spellEnd"/>
        <w:r w:rsidRPr="00695BE7">
          <w:rPr>
            <w:rStyle w:val="Hyperlink"/>
            <w:sz w:val="24"/>
            <w:szCs w:val="24"/>
            <w:lang w:val="lv-LV"/>
          </w:rPr>
          <w:t xml:space="preserve"> </w:t>
        </w:r>
        <w:proofErr w:type="spellStart"/>
        <w:r w:rsidRPr="00695BE7">
          <w:rPr>
            <w:rStyle w:val="Hyperlink"/>
            <w:sz w:val="24"/>
            <w:szCs w:val="24"/>
            <w:lang w:val="lv-LV"/>
          </w:rPr>
          <w:t>value</w:t>
        </w:r>
        <w:proofErr w:type="spellEnd"/>
        <w:r w:rsidRPr="00695BE7">
          <w:rPr>
            <w:rStyle w:val="Hyperlink"/>
            <w:sz w:val="24"/>
            <w:szCs w:val="24"/>
            <w:lang w:val="lv-LV"/>
          </w:rPr>
          <w:t xml:space="preserve"> </w:t>
        </w:r>
        <w:proofErr w:type="spellStart"/>
        <w:r w:rsidRPr="00695BE7">
          <w:rPr>
            <w:rStyle w:val="Hyperlink"/>
            <w:sz w:val="24"/>
            <w:szCs w:val="24"/>
            <w:lang w:val="lv-LV"/>
          </w:rPr>
          <w:t>in</w:t>
        </w:r>
        <w:proofErr w:type="spellEnd"/>
        <w:r w:rsidRPr="00695BE7">
          <w:rPr>
            <w:rStyle w:val="Hyperlink"/>
            <w:sz w:val="24"/>
            <w:szCs w:val="24"/>
            <w:lang w:val="lv-LV"/>
          </w:rPr>
          <w:t xml:space="preserve"> 2014-2020?</w:t>
        </w:r>
      </w:hyperlink>
      <w:hyperlink r:id="rId6" w:history="1">
        <w:r w:rsidRPr="00695BE7">
          <w:rPr>
            <w:rStyle w:val="Hyperlink"/>
            <w:sz w:val="24"/>
            <w:szCs w:val="24"/>
            <w:lang w:val="lv-LV"/>
          </w:rPr>
          <w:t xml:space="preserve"> – </w:t>
        </w:r>
        <w:proofErr w:type="spellStart"/>
        <w:r w:rsidRPr="00695BE7">
          <w:rPr>
            <w:rStyle w:val="Hyperlink"/>
            <w:sz w:val="24"/>
            <w:szCs w:val="24"/>
            <w:lang w:val="lv-LV"/>
          </w:rPr>
          <w:t>Final</w:t>
        </w:r>
        <w:proofErr w:type="spellEnd"/>
        <w:r w:rsidRPr="00695BE7">
          <w:rPr>
            <w:rStyle w:val="Hyperlink"/>
            <w:sz w:val="24"/>
            <w:szCs w:val="24"/>
            <w:lang w:val="lv-LV"/>
          </w:rPr>
          <w:t xml:space="preserve"> </w:t>
        </w:r>
        <w:proofErr w:type="spellStart"/>
        <w:r w:rsidRPr="00695BE7">
          <w:rPr>
            <w:rStyle w:val="Hyperlink"/>
            <w:sz w:val="24"/>
            <w:szCs w:val="24"/>
            <w:lang w:val="lv-LV"/>
          </w:rPr>
          <w:t>Report</w:t>
        </w:r>
        <w:proofErr w:type="spellEnd"/>
      </w:hyperlink>
      <w:r w:rsidRPr="00695BE7">
        <w:rPr>
          <w:sz w:val="24"/>
          <w:szCs w:val="24"/>
          <w:u w:val="single"/>
          <w:lang w:val="lv-LV"/>
        </w:rPr>
        <w:t xml:space="preserve">’, 2017. gada decembris. </w:t>
      </w:r>
    </w:p>
  </w:footnote>
  <w:footnote w:id="18">
    <w:p w:rsidR="0051072E" w:rsidRPr="00695BE7" w:rsidRDefault="0051072E" w:rsidP="0074392D">
      <w:pPr>
        <w:pStyle w:val="FootnoteText"/>
        <w:ind w:left="567" w:hanging="567"/>
        <w:rPr>
          <w:sz w:val="24"/>
          <w:szCs w:val="24"/>
          <w:lang w:val="lv-LV"/>
        </w:rPr>
      </w:pPr>
      <w:r w:rsidRPr="00695BE7">
        <w:rPr>
          <w:rStyle w:val="FootnoteReference"/>
          <w:sz w:val="24"/>
          <w:szCs w:val="24"/>
          <w:lang w:val="lv-LV"/>
        </w:rPr>
        <w:footnoteRef/>
      </w:r>
      <w:r w:rsidR="0074392D" w:rsidRPr="00695BE7">
        <w:rPr>
          <w:sz w:val="24"/>
          <w:szCs w:val="24"/>
          <w:lang w:val="lv-LV"/>
        </w:rPr>
        <w:t xml:space="preserve"> </w:t>
      </w:r>
      <w:r w:rsidR="0074392D" w:rsidRPr="00695BE7">
        <w:rPr>
          <w:sz w:val="24"/>
          <w:szCs w:val="24"/>
          <w:lang w:val="lv-LV"/>
        </w:rPr>
        <w:tab/>
      </w:r>
      <w:r w:rsidRPr="00695BE7">
        <w:rPr>
          <w:sz w:val="24"/>
          <w:szCs w:val="24"/>
          <w:lang w:val="lv-LV"/>
        </w:rPr>
        <w:t>Eiropas Komisija, ‘</w:t>
      </w:r>
      <w:hyperlink r:id="rId7" w:history="1">
        <w:r w:rsidR="0095242A" w:rsidRPr="00695BE7">
          <w:rPr>
            <w:rStyle w:val="Hyperlink"/>
            <w:sz w:val="24"/>
            <w:szCs w:val="24"/>
            <w:u w:val="none"/>
            <w:lang w:val="lv-LV"/>
          </w:rPr>
          <w:t>STRAT-</w:t>
        </w:r>
        <w:proofErr w:type="spellStart"/>
        <w:r w:rsidR="0095242A" w:rsidRPr="00695BE7">
          <w:rPr>
            <w:rStyle w:val="Hyperlink"/>
            <w:sz w:val="24"/>
            <w:szCs w:val="24"/>
            <w:u w:val="none"/>
            <w:lang w:val="lv-LV"/>
          </w:rPr>
          <w:t>Board</w:t>
        </w:r>
        <w:proofErr w:type="spellEnd"/>
        <w:r w:rsidRPr="00695BE7">
          <w:rPr>
            <w:rStyle w:val="Hyperlink"/>
            <w:sz w:val="24"/>
            <w:szCs w:val="24"/>
            <w:u w:val="none"/>
            <w:lang w:val="lv-LV"/>
          </w:rPr>
          <w:t>’</w:t>
        </w:r>
      </w:hyperlink>
      <w:r w:rsidRPr="00695BE7">
        <w:rPr>
          <w:rStyle w:val="Hyperlink"/>
          <w:sz w:val="24"/>
          <w:szCs w:val="24"/>
          <w:u w:val="none"/>
          <w:lang w:val="lv-LV"/>
        </w:rPr>
        <w:t>.</w:t>
      </w:r>
    </w:p>
  </w:footnote>
  <w:footnote w:id="19">
    <w:p w:rsidR="0051072E" w:rsidRPr="00695BE7" w:rsidRDefault="0051072E" w:rsidP="0095242A">
      <w:pPr>
        <w:pStyle w:val="FootnoteText1"/>
        <w:ind w:left="567" w:hanging="567"/>
        <w:jc w:val="left"/>
        <w:rPr>
          <w:sz w:val="24"/>
          <w:szCs w:val="24"/>
          <w:vertAlign w:val="superscript"/>
          <w:lang w:val="lv-LV"/>
        </w:rPr>
      </w:pPr>
      <w:r w:rsidRPr="00695BE7">
        <w:rPr>
          <w:rStyle w:val="FootnoteReference"/>
          <w:sz w:val="24"/>
          <w:szCs w:val="24"/>
        </w:rPr>
        <w:footnoteRef/>
      </w:r>
      <w:r w:rsidR="0074392D" w:rsidRPr="00695BE7">
        <w:rPr>
          <w:sz w:val="24"/>
          <w:szCs w:val="24"/>
          <w:lang w:val="lv-LV"/>
        </w:rPr>
        <w:t xml:space="preserve"> </w:t>
      </w:r>
      <w:r w:rsidR="0074392D" w:rsidRPr="00695BE7">
        <w:rPr>
          <w:sz w:val="24"/>
          <w:szCs w:val="24"/>
          <w:lang w:val="lv-LV"/>
        </w:rPr>
        <w:tab/>
      </w:r>
      <w:r w:rsidRPr="00695BE7">
        <w:rPr>
          <w:sz w:val="24"/>
          <w:szCs w:val="24"/>
          <w:lang w:val="lv-LV"/>
        </w:rPr>
        <w:t>Eiropas Komisija, ‘</w:t>
      </w:r>
      <w:proofErr w:type="spellStart"/>
      <w:r w:rsidRPr="00695BE7">
        <w:fldChar w:fldCharType="begin"/>
      </w:r>
      <w:r w:rsidRPr="00695BE7">
        <w:rPr>
          <w:sz w:val="24"/>
          <w:szCs w:val="24"/>
          <w:lang w:val="lv-LV"/>
        </w:rPr>
        <w:instrText xml:space="preserve"> HYPERLINK "https://urban.jrc.ec.europa.eu/territorialstrategies/executive-summary" \l "the-chapter" </w:instrText>
      </w:r>
      <w:r w:rsidRPr="00695BE7">
        <w:fldChar w:fldCharType="separate"/>
      </w:r>
      <w:r w:rsidRPr="00695BE7">
        <w:rPr>
          <w:rStyle w:val="Hyperlink"/>
          <w:sz w:val="24"/>
          <w:szCs w:val="24"/>
          <w:u w:val="none"/>
          <w:lang w:val="lv-LV"/>
        </w:rPr>
        <w:t>Handbook</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of</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territorial</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and</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local</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development</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strategies</w:t>
      </w:r>
      <w:proofErr w:type="spellEnd"/>
      <w:r w:rsidRPr="00695BE7">
        <w:rPr>
          <w:rStyle w:val="Hyperlink"/>
          <w:sz w:val="24"/>
          <w:szCs w:val="24"/>
          <w:u w:val="none"/>
          <w:lang w:val="lv-LV"/>
        </w:rPr>
        <w:t>’</w:t>
      </w:r>
      <w:r w:rsidRPr="00695BE7">
        <w:rPr>
          <w:rStyle w:val="Hyperlink"/>
          <w:sz w:val="24"/>
          <w:szCs w:val="24"/>
          <w:u w:val="none"/>
        </w:rPr>
        <w:fldChar w:fldCharType="end"/>
      </w:r>
      <w:r w:rsidRPr="00695BE7">
        <w:rPr>
          <w:rStyle w:val="Hyperlink"/>
          <w:sz w:val="24"/>
          <w:szCs w:val="24"/>
          <w:u w:val="none"/>
          <w:lang w:val="lv-LV"/>
        </w:rPr>
        <w:t>.</w:t>
      </w:r>
    </w:p>
  </w:footnote>
  <w:footnote w:id="20">
    <w:p w:rsidR="0095242A" w:rsidRPr="00695BE7" w:rsidRDefault="0095242A" w:rsidP="00695BE7">
      <w:pPr>
        <w:pStyle w:val="FootnoteText"/>
        <w:ind w:left="567" w:hanging="567"/>
        <w:rPr>
          <w:sz w:val="24"/>
          <w:szCs w:val="24"/>
          <w:lang w:val="lv-LV"/>
        </w:rPr>
      </w:pPr>
      <w:r w:rsidRPr="00695BE7">
        <w:rPr>
          <w:rStyle w:val="FootnoteReference"/>
          <w:sz w:val="24"/>
          <w:szCs w:val="24"/>
        </w:rPr>
        <w:footnoteRef/>
      </w:r>
      <w:r w:rsidRPr="00695BE7">
        <w:rPr>
          <w:sz w:val="24"/>
          <w:szCs w:val="24"/>
          <w:lang w:val="en-GB"/>
        </w:rPr>
        <w:t xml:space="preserve"> </w:t>
      </w:r>
      <w:r w:rsidRPr="00695BE7">
        <w:rPr>
          <w:sz w:val="24"/>
          <w:szCs w:val="24"/>
          <w:lang w:val="lv-LV"/>
        </w:rPr>
        <w:tab/>
      </w:r>
      <w:r w:rsidRPr="00695BE7">
        <w:rPr>
          <w:sz w:val="24"/>
          <w:szCs w:val="24"/>
          <w:lang w:val="lv-LV"/>
        </w:rPr>
        <w:t>Eiropas Komisija, ‘</w:t>
      </w:r>
      <w:proofErr w:type="spellStart"/>
      <w:r w:rsidRPr="00695BE7">
        <w:fldChar w:fldCharType="begin"/>
      </w:r>
      <w:r w:rsidRPr="00695BE7">
        <w:rPr>
          <w:sz w:val="24"/>
          <w:szCs w:val="24"/>
          <w:lang w:val="lv-LV"/>
        </w:rPr>
        <w:instrText xml:space="preserve"> HYPERLINK "https://urban.jrc.ec.europa.eu/urbanstrategies/" </w:instrText>
      </w:r>
      <w:r w:rsidRPr="00695BE7">
        <w:fldChar w:fldCharType="separate"/>
      </w:r>
      <w:r w:rsidRPr="00695BE7">
        <w:rPr>
          <w:rStyle w:val="Hyperlink"/>
          <w:sz w:val="24"/>
          <w:szCs w:val="24"/>
          <w:u w:val="none"/>
          <w:lang w:val="lv-LV"/>
        </w:rPr>
        <w:t>Handbook</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of</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Sustainable</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Urban</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Development</w:t>
      </w:r>
      <w:proofErr w:type="spellEnd"/>
      <w:r w:rsidRPr="00695BE7">
        <w:rPr>
          <w:rStyle w:val="Hyperlink"/>
          <w:sz w:val="24"/>
          <w:szCs w:val="24"/>
          <w:u w:val="none"/>
          <w:lang w:val="lv-LV"/>
        </w:rPr>
        <w:t xml:space="preserve"> </w:t>
      </w:r>
      <w:proofErr w:type="spellStart"/>
      <w:r w:rsidRPr="00695BE7">
        <w:rPr>
          <w:rStyle w:val="Hyperlink"/>
          <w:sz w:val="24"/>
          <w:szCs w:val="24"/>
          <w:u w:val="none"/>
          <w:lang w:val="lv-LV"/>
        </w:rPr>
        <w:t>Strategies</w:t>
      </w:r>
      <w:proofErr w:type="spellEnd"/>
      <w:r w:rsidRPr="00695BE7">
        <w:rPr>
          <w:rStyle w:val="Hyperlink"/>
          <w:sz w:val="24"/>
          <w:szCs w:val="24"/>
          <w:u w:val="none"/>
          <w:lang w:val="lv-LV"/>
        </w:rPr>
        <w:t>’</w:t>
      </w:r>
      <w:r w:rsidRPr="00695BE7">
        <w:rPr>
          <w:rStyle w:val="Hyperlink"/>
          <w:sz w:val="24"/>
          <w:szCs w:val="24"/>
          <w:u w:val="none"/>
          <w:lang w:val="lv-LV"/>
        </w:rPr>
        <w:fldChar w:fldCharType="end"/>
      </w:r>
      <w:r w:rsidRPr="00695BE7">
        <w:rPr>
          <w:rStyle w:val="Hyperlink"/>
          <w:sz w:val="24"/>
          <w:szCs w:val="24"/>
          <w:u w:val="none"/>
          <w:lang w:val="lv-LV"/>
        </w:rPr>
        <w:t>.</w:t>
      </w:r>
    </w:p>
  </w:footnote>
  <w:footnote w:id="21">
    <w:p w:rsidR="0051072E" w:rsidRPr="0074392D" w:rsidRDefault="0051072E" w:rsidP="0074392D">
      <w:pPr>
        <w:pStyle w:val="FootnoteText"/>
        <w:ind w:left="567" w:hanging="567"/>
        <w:rPr>
          <w:sz w:val="24"/>
          <w:lang w:val="lv-LV"/>
        </w:rPr>
      </w:pPr>
      <w:r w:rsidRPr="0074392D">
        <w:rPr>
          <w:rStyle w:val="FootnoteReference"/>
          <w:sz w:val="24"/>
          <w:lang w:val="lv-LV"/>
        </w:rPr>
        <w:footnoteRef/>
      </w:r>
      <w:r w:rsidR="0074392D" w:rsidRPr="0074392D">
        <w:rPr>
          <w:sz w:val="24"/>
          <w:lang w:val="lv-LV"/>
        </w:rPr>
        <w:t xml:space="preserve"> </w:t>
      </w:r>
      <w:r w:rsidR="0074392D" w:rsidRPr="0074392D">
        <w:rPr>
          <w:sz w:val="24"/>
          <w:lang w:val="lv-LV"/>
        </w:rPr>
        <w:tab/>
      </w:r>
      <w:r w:rsidRPr="0074392D">
        <w:rPr>
          <w:sz w:val="24"/>
          <w:lang w:val="lv-LV"/>
        </w:rPr>
        <w:t>Eiropas Parlamenta un Padomes Regula (ES) Nr. 1301/2013 (2013. gada 17. decembris) par Eiropas Reģionālās attīstības fondu un īpašiem noteikumiem attiecībā uz mērķi “Investīcijas izaugsmei un nodarbinātībai” un ar ko atceļ Regulu (EK) Nr. 1080/2006 (OV L 347, 20.12.2013., 289.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39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39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39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LV"/>
    <w:docVar w:name="dvnumam" w:val="0"/>
    <w:docVar w:name="dvpe" w:val="750.084"/>
    <w:docVar w:name="dvrapporteur" w:val="Referents: "/>
    <w:docVar w:name="dvtitre" w:val="Eiropas Parlamenta 2024. gada XX. XXX  rezolūcija par teritoriālās attīstības īstenošanu (KNR III sadaļas II nodaļa) un tās piemērošanu Eiropas Teritoriālās attīstības programmā 2030. gadam(2023/2048(INI))"/>
  </w:docVars>
  <w:rsids>
    <w:rsidRoot w:val="0066513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72E"/>
    <w:rsid w:val="00514517"/>
    <w:rsid w:val="00545827"/>
    <w:rsid w:val="00560270"/>
    <w:rsid w:val="005C2568"/>
    <w:rsid w:val="006037C0"/>
    <w:rsid w:val="006631B6"/>
    <w:rsid w:val="00665135"/>
    <w:rsid w:val="00680577"/>
    <w:rsid w:val="00695BE7"/>
    <w:rsid w:val="006F74FA"/>
    <w:rsid w:val="00731ADD"/>
    <w:rsid w:val="00734777"/>
    <w:rsid w:val="0074392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42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46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EDDD9"/>
  <w15:chartTrackingRefBased/>
  <w15:docId w15:val="{4FEEF424-909B-4CD8-BE2E-0EBE74FF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1072E"/>
    <w:rPr>
      <w:b/>
    </w:rPr>
  </w:style>
  <w:style w:type="paragraph" w:customStyle="1" w:styleId="NormalHanging12a">
    <w:name w:val="NormalHanging12a"/>
    <w:basedOn w:val="Normal"/>
    <w:link w:val="NormalHanging12aChar"/>
    <w:rsid w:val="0051072E"/>
    <w:pPr>
      <w:spacing w:after="240"/>
      <w:ind w:left="567" w:hanging="567"/>
    </w:pPr>
  </w:style>
  <w:style w:type="character" w:styleId="Hyperlink">
    <w:name w:val="Hyperlink"/>
    <w:basedOn w:val="DefaultParagraphFont"/>
    <w:uiPriority w:val="99"/>
    <w:unhideWhenUsed/>
    <w:rsid w:val="0051072E"/>
    <w:rPr>
      <w:color w:val="0000FF"/>
      <w:u w:val="single"/>
    </w:rPr>
  </w:style>
  <w:style w:type="paragraph" w:customStyle="1" w:styleId="FootnoteText1">
    <w:name w:val="Footnote Text1"/>
    <w:basedOn w:val="Normal"/>
    <w:next w:val="FootnoteText"/>
    <w:semiHidden/>
    <w:rsid w:val="0051072E"/>
    <w:pPr>
      <w:widowControl/>
      <w:jc w:val="both"/>
    </w:pPr>
    <w:rPr>
      <w:sz w:val="20"/>
      <w:lang w:val="en-GB"/>
    </w:rPr>
  </w:style>
  <w:style w:type="character" w:customStyle="1" w:styleId="FootnoteTextChar1">
    <w:name w:val="Footnote Text Char1"/>
    <w:basedOn w:val="DefaultParagraphFont"/>
    <w:locked/>
    <w:rsid w:val="0051072E"/>
    <w:rPr>
      <w:lang w:val="lv-LV"/>
    </w:rPr>
  </w:style>
  <w:style w:type="character" w:customStyle="1" w:styleId="NormalHanging12aChar">
    <w:name w:val="NormalHanging12a Char"/>
    <w:basedOn w:val="DefaultParagraphFont"/>
    <w:link w:val="NormalHanging12a"/>
    <w:rsid w:val="0051072E"/>
    <w:rPr>
      <w:sz w:val="24"/>
      <w:lang w:val="lv-LV"/>
    </w:rPr>
  </w:style>
  <w:style w:type="paragraph" w:styleId="BalloonText">
    <w:name w:val="Balloon Text"/>
    <w:basedOn w:val="Normal"/>
    <w:link w:val="BalloonTextChar"/>
    <w:rsid w:val="0095242A"/>
    <w:rPr>
      <w:rFonts w:ascii="Segoe UI" w:hAnsi="Segoe UI" w:cs="Segoe UI"/>
      <w:sz w:val="18"/>
      <w:szCs w:val="18"/>
    </w:rPr>
  </w:style>
  <w:style w:type="character" w:customStyle="1" w:styleId="BalloonTextChar">
    <w:name w:val="Balloon Text Char"/>
    <w:basedOn w:val="DefaultParagraphFont"/>
    <w:link w:val="BalloonText"/>
    <w:rsid w:val="0095242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ALL/?uri=CELEX:32021R1059" TargetMode="External"/><Relationship Id="rId7" Type="http://schemas.openxmlformats.org/officeDocument/2006/relationships/hyperlink" Target="https://urban.jrc.ec.europa.eu/strat-board/?lng=lv" TargetMode="External"/><Relationship Id="rId2" Type="http://schemas.openxmlformats.org/officeDocument/2006/relationships/hyperlink" Target="https://eur-lex.europa.eu/legal-content/LV/ALL/?uri=CELEX:32021R1058" TargetMode="External"/><Relationship Id="rId1" Type="http://schemas.openxmlformats.org/officeDocument/2006/relationships/hyperlink" Target="https://eur-lex.europa.eu/legal-content/lv/TXT/?uri=CELEX:32021R1060" TargetMode="External"/><Relationship Id="rId6" Type="http://schemas.openxmlformats.org/officeDocument/2006/relationships/hyperlink" Target="https://ec.europa.eu/regional_policy/sources/studies/integrated_strategies/integrated_strategies_en.pdf" TargetMode="External"/><Relationship Id="rId5"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www.europarl.europa.eu/doceo/document/TA-8-2018-0068_L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38E8E-3F2E-4CF3-897D-CCE3DAD6A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4532</Words>
  <Characters>30801</Characters>
  <Application>Microsoft Office Word</Application>
  <DocSecurity>0</DocSecurity>
  <Lines>1100</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2024-02-21T11:47:00Z</dcterms:created>
  <dcterms:modified xsi:type="dcterms:W3CDTF">2024-02-21T11:47:00Z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A9-0420/2023</vt:lpwstr>
  </property>
  <property fmtid="{D5CDD505-2E9C-101B-9397-08002B2CF9AE}" pid="4" name="&lt;Type&gt;">
    <vt:lpwstr>RR</vt:lpwstr>
  </property>
</Properties>
</file>