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7D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7D90" w:rsidRDefault="00E97FCD" w:rsidP="0010095E">
            <w:pPr>
              <w:pStyle w:val="EPName"/>
            </w:pPr>
            <w:r w:rsidRPr="00CF7D90">
              <w:t>Parlament Europejski</w:t>
            </w:r>
          </w:p>
          <w:p w:rsidR="00751A4A" w:rsidRPr="00CF7D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7D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7D90" w:rsidRDefault="00187494" w:rsidP="0010095E">
            <w:pPr>
              <w:pStyle w:val="EPLogo"/>
            </w:pPr>
            <w:r w:rsidRPr="00CF7D90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7D90" w:rsidRDefault="00D058B8" w:rsidP="004C5D52">
      <w:pPr>
        <w:pStyle w:val="LineTop"/>
      </w:pPr>
    </w:p>
    <w:p w:rsidR="00680577" w:rsidRPr="00CF7D90" w:rsidRDefault="00E97FCD" w:rsidP="00680577">
      <w:pPr>
        <w:pStyle w:val="EPBodyTA1"/>
      </w:pPr>
      <w:r w:rsidRPr="00CF7D90">
        <w:t>TEKSTY PRZYJĘTE</w:t>
      </w:r>
    </w:p>
    <w:p w:rsidR="00D058B8" w:rsidRPr="00CF7D90" w:rsidRDefault="00D058B8" w:rsidP="00D058B8">
      <w:pPr>
        <w:pStyle w:val="LineBottom"/>
      </w:pPr>
    </w:p>
    <w:p w:rsidR="00E97FCD" w:rsidRPr="00CF7D90" w:rsidRDefault="00E97FCD" w:rsidP="00E97FCD">
      <w:pPr>
        <w:pStyle w:val="ATHeading1"/>
      </w:pPr>
      <w:bookmarkStart w:id="0" w:name="TANumber"/>
      <w:r w:rsidRPr="00CF7D90">
        <w:t>P9_TA(2024)00</w:t>
      </w:r>
      <w:bookmarkEnd w:id="0"/>
      <w:r w:rsidR="00663CF7">
        <w:t>10</w:t>
      </w:r>
    </w:p>
    <w:p w:rsidR="00E97FCD" w:rsidRPr="00CF7D90" w:rsidRDefault="00E97FCD" w:rsidP="00E97FCD">
      <w:pPr>
        <w:pStyle w:val="ATHeading2"/>
      </w:pPr>
      <w:bookmarkStart w:id="1" w:name="title"/>
      <w:r w:rsidRPr="00CF7D90">
        <w:t>Realizacja rozwoju terytorialnego (rozporządzenie w sprawie wspólnych przepisów, tytuł III rozdział II) i jego stosowanie w Agendzie Terytorialnej Unii Europejskiej 2030</w:t>
      </w:r>
      <w:bookmarkEnd w:id="1"/>
    </w:p>
    <w:p w:rsidR="00E97FCD" w:rsidRPr="00CF7D90" w:rsidRDefault="00E97FCD" w:rsidP="00E97FCD">
      <w:pPr>
        <w:rPr>
          <w:i/>
          <w:vanish/>
        </w:rPr>
      </w:pPr>
      <w:r w:rsidRPr="00CF7D90">
        <w:rPr>
          <w:i/>
        </w:rPr>
        <w:fldChar w:fldCharType="begin"/>
      </w:r>
      <w:r w:rsidRPr="00CF7D90">
        <w:rPr>
          <w:i/>
        </w:rPr>
        <w:instrText xml:space="preserve"> TC"(</w:instrText>
      </w:r>
      <w:bookmarkStart w:id="2" w:name="DocNumber"/>
      <w:r w:rsidRPr="00CF7D90">
        <w:rPr>
          <w:i/>
        </w:rPr>
        <w:instrText>A9-0420/2023</w:instrText>
      </w:r>
      <w:bookmarkEnd w:id="2"/>
      <w:r w:rsidRPr="00CF7D90">
        <w:rPr>
          <w:i/>
        </w:rPr>
        <w:instrText xml:space="preserve"> - Sprawozdawca: Marcos Ros Sempere)"\l3 \n&gt; \* MERGEFORMAT </w:instrText>
      </w:r>
      <w:r w:rsidRPr="00CF7D90">
        <w:rPr>
          <w:i/>
        </w:rPr>
        <w:fldChar w:fldCharType="end"/>
      </w:r>
    </w:p>
    <w:p w:rsidR="00E97FCD" w:rsidRPr="00CF7D90" w:rsidRDefault="00E97FCD" w:rsidP="00E97FCD">
      <w:pPr>
        <w:rPr>
          <w:vanish/>
        </w:rPr>
      </w:pPr>
      <w:bookmarkStart w:id="3" w:name="Commission"/>
      <w:r w:rsidRPr="00CF7D90">
        <w:rPr>
          <w:vanish/>
        </w:rPr>
        <w:t>Komisja Rozwoju Regionalnego</w:t>
      </w:r>
      <w:bookmarkEnd w:id="3"/>
    </w:p>
    <w:p w:rsidR="00E97FCD" w:rsidRPr="00CF7D90" w:rsidRDefault="00E97FCD" w:rsidP="00E97FCD">
      <w:pPr>
        <w:rPr>
          <w:vanish/>
        </w:rPr>
      </w:pPr>
      <w:bookmarkStart w:id="4" w:name="PE"/>
      <w:r w:rsidRPr="00CF7D90">
        <w:rPr>
          <w:vanish/>
        </w:rPr>
        <w:t>PE750.084</w:t>
      </w:r>
      <w:bookmarkEnd w:id="4"/>
    </w:p>
    <w:p w:rsidR="00E97FCD" w:rsidRPr="00CF7D90" w:rsidRDefault="00E97FCD" w:rsidP="00E97FCD">
      <w:pPr>
        <w:pStyle w:val="ATHeading3"/>
      </w:pPr>
      <w:bookmarkStart w:id="5" w:name="Sujet"/>
      <w:r w:rsidRPr="00CF7D90">
        <w:t>Rezolucja P</w:t>
      </w:r>
      <w:r w:rsidR="00663CF7">
        <w:t xml:space="preserve">arlamentu Europejskiego z dnia </w:t>
      </w:r>
      <w:r w:rsidR="00F27E3D">
        <w:t xml:space="preserve">16 </w:t>
      </w:r>
      <w:r w:rsidR="007757BF">
        <w:t xml:space="preserve">stycznia </w:t>
      </w:r>
      <w:r w:rsidRPr="00CF7D90">
        <w:t>2024 r. w sprawie realizacji rozwoju terytorialnego (rozporządzenie w sprawie wspólnych przepisów, tytuł III rozdział II) i jego stosowania w Agendzie Terytorialnej Unii Europejskiej 2030</w:t>
      </w:r>
      <w:bookmarkEnd w:id="5"/>
      <w:r w:rsidRPr="00CF7D90">
        <w:t xml:space="preserve"> </w:t>
      </w:r>
      <w:bookmarkStart w:id="6" w:name="References"/>
      <w:r w:rsidRPr="00CF7D90">
        <w:t>(2023/2048(INI))</w:t>
      </w:r>
      <w:bookmarkEnd w:id="6"/>
    </w:p>
    <w:p w:rsidR="00E97FCD" w:rsidRPr="00CF7D90" w:rsidRDefault="00E97FCD" w:rsidP="00E97FCD"/>
    <w:p w:rsidR="00602BC7" w:rsidRPr="00CF7D90" w:rsidRDefault="00602BC7" w:rsidP="00602BC7">
      <w:pPr>
        <w:widowControl/>
        <w:spacing w:after="240"/>
        <w:ind w:left="567" w:hanging="567"/>
      </w:pPr>
      <w:bookmarkStart w:id="7" w:name="TextBodyBegin"/>
      <w:bookmarkEnd w:id="7"/>
      <w:r w:rsidRPr="00CF7D90">
        <w:rPr>
          <w:i/>
        </w:rPr>
        <w:t>Parlament Europejski</w:t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Traktat o funkcjonowaniu Unii Europejskiej, w szczególności jego tytuł XVIII,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 w:rsidRPr="00CF7D90">
        <w:rPr>
          <w:snapToGrid w:val="0"/>
          <w:vertAlign w:val="superscript"/>
          <w:lang w:eastAsia="en-US"/>
        </w:rPr>
        <w:footnoteReference w:id="1"/>
      </w:r>
      <w:r w:rsidRPr="00CF7D90">
        <w:rPr>
          <w:snapToGrid w:val="0"/>
        </w:rPr>
        <w:t xml:space="preserve"> (rozporządzenie w sprawie wspólnych przepisów),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rozporządzenie Parlamentu Europejskiego i Rady (UE) 2021/1058 z dnia 24 czerwca 2021 r. w sprawie Europejskiego Funduszu Rozwoju Regionalnego i Funduszu Spójności</w:t>
      </w:r>
      <w:r w:rsidRPr="00CF7D90">
        <w:rPr>
          <w:snapToGrid w:val="0"/>
          <w:vertAlign w:val="superscript"/>
          <w:lang w:eastAsia="en-US"/>
        </w:rPr>
        <w:footnoteReference w:id="2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rozporządzenie Parlamentu Europejskiego i Rady (UE) 2021/1059 z dnia 24 czerwca 2021 r. w sprawie przepisów szczegółowych dotyczących celu „Europejska </w:t>
      </w:r>
      <w:r w:rsidRPr="00CF7D90">
        <w:rPr>
          <w:snapToGrid w:val="0"/>
        </w:rPr>
        <w:lastRenderedPageBreak/>
        <w:t>współpraca terytorialna” (Interreg) wspieranego w ramach Europejskiego Funduszu Rozwoju Regionalnego oraz instrumentów finansowania zewnętrznego</w:t>
      </w:r>
      <w:r w:rsidRPr="00CF7D90">
        <w:rPr>
          <w:snapToGrid w:val="0"/>
          <w:vertAlign w:val="superscript"/>
          <w:lang w:eastAsia="en-US"/>
        </w:rPr>
        <w:footnoteReference w:id="3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spacing w:after="240"/>
        <w:ind w:left="567" w:hanging="567"/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rozporządzenie Parlamentu Europejskiego i Rady (UE) 2021/1056 z dnia 24 czerwca 2021 r. ustanawiające Fundusz na rzecz Sprawiedliwej Transformacji</w:t>
      </w:r>
      <w:r w:rsidRPr="00CF7D90">
        <w:rPr>
          <w:vertAlign w:val="superscript"/>
        </w:rPr>
        <w:footnoteReference w:id="4"/>
      </w:r>
      <w:r w:rsidRPr="00CF7D90">
        <w:t>,</w:t>
      </w:r>
    </w:p>
    <w:p w:rsidR="00602BC7" w:rsidRPr="00CF7D90" w:rsidRDefault="00602BC7" w:rsidP="00602BC7">
      <w:pPr>
        <w:widowControl/>
        <w:ind w:firstLine="426"/>
        <w:rPr>
          <w:snapToGrid w:val="0"/>
          <w:lang w:eastAsia="en-US"/>
        </w:rPr>
      </w:pPr>
    </w:p>
    <w:p w:rsidR="00602BC7" w:rsidRPr="00CF7D90" w:rsidRDefault="00602BC7" w:rsidP="00602BC7">
      <w:pPr>
        <w:pStyle w:val="NormalBold"/>
        <w:spacing w:after="240"/>
        <w:ind w:left="567" w:hanging="567"/>
        <w:rPr>
          <w:b w:val="0"/>
        </w:rPr>
      </w:pPr>
      <w:r w:rsidRPr="00CF7D90">
        <w:rPr>
          <w:b w:val="0"/>
        </w:rPr>
        <w:t>–</w:t>
      </w:r>
      <w:r w:rsidRPr="00CF7D90">
        <w:rPr>
          <w:b w:val="0"/>
        </w:rPr>
        <w:tab/>
        <w:t>uwzględniając rozporządzenie Parlamentu Europejskiego i Rady (UE) 2021/2115 z dnia 2 grudnia 2021 r. ustanawiające przepisy dotyczące wsparcia na podstawie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  <w:r w:rsidRPr="00CF7D90">
        <w:rPr>
          <w:rStyle w:val="FootnoteReference"/>
          <w:b w:val="0"/>
        </w:rPr>
        <w:footnoteReference w:id="5"/>
      </w:r>
      <w:r w:rsidRPr="00CF7D90">
        <w:rPr>
          <w:b w:val="0"/>
        </w:rPr>
        <w:t xml:space="preserve">, </w:t>
      </w:r>
    </w:p>
    <w:p w:rsidR="00602BC7" w:rsidRPr="00CF7D90" w:rsidRDefault="00602BC7" w:rsidP="00602BC7">
      <w:pPr>
        <w:pStyle w:val="NormalHanging12a"/>
      </w:pPr>
      <w:r w:rsidRPr="00CF7D90">
        <w:t>–</w:t>
      </w:r>
      <w:r w:rsidRPr="00CF7D90">
        <w:tab/>
        <w:t>uwzględniając rozporządzenie Parlamentu Europejskiego i Rady (UE) 2020/2220 z dnia 23 grudnia 2020 r. ustanawiające niektóre przepisy przejściowe dotyczące wsparcia z Europejskiego Funduszu Rolnego na rzecz Rozwoju Obszarów Wiejskich (EFRROW) i z Europejskiego Funduszu Rolniczego Gwarancji (EFRG) w latach 2021 i 2022 oraz zmieniające rozporządzenia (UE) nr 1305/2013, (UE) nr 1306/2013 i (UE) nr 1307/2013 w odniesieniu do zasobów i stosowania w latach 2021 i 2022 oraz rozporządzenie (UE) nr 1308/2013 w odniesieniu do zasobów i rozdziału takiego wsparcia na lata 2021 i 2022</w:t>
      </w:r>
      <w:r w:rsidRPr="00CF7D90">
        <w:rPr>
          <w:vertAlign w:val="superscript"/>
        </w:rPr>
        <w:footnoteReference w:id="6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rozporządzenie Parlamentu Europejskiego i Rady (UE) nr 1303/2013 z dnia 17 grudnia 2013 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</w:t>
      </w:r>
      <w:r w:rsidRPr="00CF7D90">
        <w:rPr>
          <w:snapToGrid w:val="0"/>
          <w:vertAlign w:val="superscript"/>
          <w:lang w:eastAsia="en-US"/>
        </w:rPr>
        <w:footnoteReference w:id="7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porozumienie przyjęte podczas 21. Konferencji Stron Ramowej Konwencji Narodów Zjednoczonych w sprawie Zmian Klimatu (COP21) w Paryżu 12 grudnia 2015 r. (porozumienie paryskie),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Agendę ONZ na rzecz zrównoważonego rozwoju 2030, w szczególności cel zrównoważonego rozwoju nr 11 dotyczący zrównoważonych miast i społeczności,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</w:t>
      </w:r>
      <w:r w:rsidRPr="00CF7D90">
        <w:t xml:space="preserve"> </w:t>
      </w:r>
      <w:r w:rsidRPr="00CF7D90">
        <w:rPr>
          <w:snapToGrid w:val="0"/>
        </w:rPr>
        <w:t>Agendę Terytorialną 2030</w:t>
      </w:r>
      <w:r w:rsidRPr="00CF7D90">
        <w:t xml:space="preserve"> – Przyszłość dla wszystkich obszarów, </w:t>
      </w:r>
      <w:r w:rsidRPr="00CF7D90">
        <w:rPr>
          <w:snapToGrid w:val="0"/>
        </w:rPr>
        <w:t xml:space="preserve">przyjętą na nieformalnym posiedzeniu ministrów odpowiedzialnych za planowanie przestrzenne, rozwój terytorialny </w:t>
      </w:r>
      <w:r w:rsidRPr="00CF7D90">
        <w:t xml:space="preserve">lub spójność terytorialną </w:t>
      </w:r>
      <w:r w:rsidRPr="00CF7D90">
        <w:rPr>
          <w:snapToGrid w:val="0"/>
        </w:rPr>
        <w:t>w dniu 1 grudnia 2020 r.,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lastRenderedPageBreak/>
        <w:t>–</w:t>
      </w:r>
      <w:r w:rsidRPr="00CF7D90">
        <w:rPr>
          <w:snapToGrid w:val="0"/>
        </w:rPr>
        <w:tab/>
        <w:t>uwzględniając pakt amsterdamski ustanawiający agendę miejską dla UE, uzgodniony podczas nieformalnego spotkania ministrów finansów UE odpowiedzialnych za sprawy miejskie w dniu 30 maja 2016 r.,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dokument „New Leipzig Charter – The transformative power of cities for the common good” [Nowa karta lipska – transformacyjna siła miast dla wspólnego dobra], przyjęty</w:t>
      </w:r>
      <w:r w:rsidRPr="00CF7D90">
        <w:t xml:space="preserve"> </w:t>
      </w:r>
      <w:r w:rsidRPr="00CF7D90">
        <w:rPr>
          <w:snapToGrid w:val="0"/>
        </w:rPr>
        <w:t>30 listopada 2020 r. podczas nieformalnego posiedzenia ministerialnego w sprawie obszarów miejskich,</w:t>
      </w:r>
    </w:p>
    <w:p w:rsidR="00602BC7" w:rsidRPr="00CF7D90" w:rsidRDefault="00602BC7" w:rsidP="00602BC7">
      <w:pPr>
        <w:widowControl/>
        <w:spacing w:after="240"/>
        <w:ind w:left="567" w:hanging="567"/>
        <w:rPr>
          <w:rFonts w:eastAsia="Calibri"/>
          <w:szCs w:val="24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</w:t>
      </w:r>
      <w:r w:rsidRPr="00CF7D90">
        <w:t>porozumienie z Lublany przyjęte 26 listopada 2021 r. podczas nieformalnego posiedzenia ministrów odpowiedzialnych za sprawy miejskie,</w:t>
      </w:r>
    </w:p>
    <w:p w:rsidR="00602BC7" w:rsidRPr="00CF7D90" w:rsidRDefault="00602BC7" w:rsidP="00602BC7">
      <w:pPr>
        <w:widowControl/>
        <w:spacing w:after="240"/>
        <w:ind w:left="567" w:hanging="567"/>
        <w:rPr>
          <w:rFonts w:eastAsia="Calibri"/>
          <w:szCs w:val="24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</w:t>
      </w:r>
      <w:r w:rsidRPr="00CF7D90">
        <w:t>Nową agendę miejską przyjętą przez Organizację Narodów Zjednoczonych 20 października 2016 r.,</w:t>
      </w:r>
    </w:p>
    <w:p w:rsidR="00602BC7" w:rsidRPr="00CF7D90" w:rsidRDefault="00602BC7" w:rsidP="00602BC7">
      <w:pPr>
        <w:widowControl/>
        <w:spacing w:after="240"/>
        <w:ind w:left="567" w:hanging="567"/>
        <w:rPr>
          <w:rFonts w:eastAsia="Calibri"/>
          <w:szCs w:val="24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komunikat Komisji z dnia 17 stycznia 2023 r. zatytułowany „Wykorzystanie potencjału talentów w regionach Europy” (COM(2023)0032),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  <w:szCs w:val="24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 xml:space="preserve">uwzględniając </w:t>
      </w:r>
      <w:r w:rsidRPr="00CF7D90">
        <w:rPr>
          <w:shd w:val="clear" w:color="auto" w:fill="FFFFFF"/>
        </w:rPr>
        <w:t>komunikat Komisji Europejskiej z 4 lutego</w:t>
      </w:r>
      <w:r w:rsidRPr="00CF7D90">
        <w:t xml:space="preserve"> 2022 r. zatytułowany „8. </w:t>
      </w:r>
      <w:proofErr w:type="gramStart"/>
      <w:r w:rsidRPr="00CF7D90">
        <w:t>sprawozdanie</w:t>
      </w:r>
      <w:proofErr w:type="gramEnd"/>
      <w:r w:rsidRPr="00CF7D90">
        <w:t xml:space="preserve"> na temat spójności: spójność w Europie do 2050 r.” (COM(2022)0034),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komunikat Komisji z 30 czerwca 2021 r. zatytułowany „Długoterminowa wizja dla obszarów wiejskich UE – W kierunku silniejszych, lepiej skomunikowanych, odpornych i zamożnych obszarów wiejskich do 2040 r.” (COM(2021)0345),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komunikat Komisji z dnia 3 marca 2021 r. zatytułowany „Unia równości: Strategia na rzecz praw osób z niepełnosprawnościam</w:t>
      </w:r>
      <w:r w:rsidR="00563A99">
        <w:rPr>
          <w:snapToGrid w:val="0"/>
        </w:rPr>
        <w:t>i na lata 2021–2030” (COM(2021)0</w:t>
      </w:r>
      <w:r w:rsidRPr="00CF7D90">
        <w:rPr>
          <w:snapToGrid w:val="0"/>
        </w:rPr>
        <w:t>101),</w:t>
      </w:r>
    </w:p>
    <w:p w:rsidR="00602BC7" w:rsidRPr="00CF7D90" w:rsidRDefault="00602BC7" w:rsidP="00602BC7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komunikat Komisji z 11 grudnia 2019 r. zatytułowany „Europejski </w:t>
      </w:r>
      <w:r w:rsidR="00563A99">
        <w:rPr>
          <w:snapToGrid w:val="0"/>
        </w:rPr>
        <w:t>Zielony Ład” (COM(2019)0</w:t>
      </w:r>
      <w:r w:rsidRPr="00CF7D90">
        <w:rPr>
          <w:snapToGrid w:val="0"/>
        </w:rPr>
        <w:t>640),</w:t>
      </w:r>
      <w:r w:rsidRPr="00CF7D90">
        <w:t xml:space="preserve"> 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komunikat Komisji z 17 września 2020 r. zatytułowany: „A</w:t>
      </w:r>
      <w:r w:rsidRPr="00CF7D90">
        <w:t xml:space="preserve">mbitniejszy cel klimatyczny Europy do 2030 r. – Inwestowanie w przyszłość neutralną dla klimatu z korzyścią dla obywateli” </w:t>
      </w:r>
      <w:r w:rsidR="00563A99">
        <w:rPr>
          <w:snapToGrid w:val="0"/>
        </w:rPr>
        <w:t>(COM(2020)0</w:t>
      </w:r>
      <w:r w:rsidRPr="00CF7D90">
        <w:rPr>
          <w:snapToGrid w:val="0"/>
        </w:rPr>
        <w:t>562),</w:t>
      </w:r>
    </w:p>
    <w:p w:rsidR="00602BC7" w:rsidRPr="00CF7D90" w:rsidRDefault="00602BC7" w:rsidP="00602BC7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</w:t>
      </w:r>
      <w:r w:rsidRPr="00CF7D90">
        <w:t>nowy europejski Bauhaus – inicjatywę Komisji uruchomioną 16 września 2020 r.,</w:t>
      </w:r>
    </w:p>
    <w:p w:rsidR="00602BC7" w:rsidRPr="00CF7D90" w:rsidRDefault="00602BC7" w:rsidP="00602BC7">
      <w:pPr>
        <w:spacing w:after="240"/>
        <w:ind w:left="567" w:hanging="567"/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</w:t>
      </w:r>
      <w:r w:rsidRPr="00CF7D90">
        <w:t>dokument roboczy służb Komisji z 17 czerwca 2022 r. zatytułowany „Model rozwoju terytorialnego w ramach nowego europejskiego Bauhausu (NEB TDM) - in</w:t>
      </w:r>
      <w:r w:rsidR="00563A99">
        <w:t>strument finansowy” (SWD(2022)0</w:t>
      </w:r>
      <w:r w:rsidRPr="00CF7D90">
        <w:t>172),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swoją rezolucję z dnia 14 września 2022 r. w sprawie nowego europejskiego Bauhausu</w:t>
      </w:r>
      <w:r w:rsidRPr="00CF7D90">
        <w:rPr>
          <w:snapToGrid w:val="0"/>
          <w:vertAlign w:val="superscript"/>
          <w:lang w:eastAsia="en-US"/>
        </w:rPr>
        <w:footnoteReference w:id="8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lastRenderedPageBreak/>
        <w:t>–</w:t>
      </w:r>
      <w:r w:rsidRPr="00CF7D90">
        <w:rPr>
          <w:snapToGrid w:val="0"/>
        </w:rPr>
        <w:tab/>
      </w:r>
      <w:r w:rsidRPr="00CF7D90">
        <w:t>uwzględniając swoją rezolucję z 13 grudnia 2022 r. w sprawie długoterminowej wizji dla obszarów wiejskich UE – w kierunku silniejszych, lepiej skomunikowanych, odpornych i zamożnych obszarów wiejskich do 2040 r.</w:t>
      </w:r>
      <w:r w:rsidRPr="00CF7D90">
        <w:rPr>
          <w:snapToGrid w:val="0"/>
          <w:vertAlign w:val="superscript"/>
          <w:lang w:eastAsia="en-US"/>
        </w:rPr>
        <w:footnoteReference w:id="9"/>
      </w:r>
      <w:r w:rsidRPr="00CF7D90">
        <w:t>,</w:t>
      </w:r>
      <w:r w:rsidRPr="00CF7D90">
        <w:rPr>
          <w:snapToGrid w:val="0"/>
        </w:rPr>
        <w:t xml:space="preserve"> 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swoją rezolucję z dnia 15 września 2022 r.</w:t>
      </w:r>
      <w:r w:rsidRPr="00CF7D90">
        <w:t xml:space="preserve"> </w:t>
      </w:r>
      <w:r w:rsidRPr="00CF7D90">
        <w:rPr>
          <w:snapToGrid w:val="0"/>
        </w:rPr>
        <w:t xml:space="preserve">w sprawie spójności gospodarczej, społecznej i terytorialnej w UE: 8. </w:t>
      </w:r>
      <w:proofErr w:type="gramStart"/>
      <w:r w:rsidRPr="00CF7D90">
        <w:rPr>
          <w:snapToGrid w:val="0"/>
        </w:rPr>
        <w:t>sprawozdanie</w:t>
      </w:r>
      <w:proofErr w:type="gramEnd"/>
      <w:r w:rsidRPr="00CF7D90">
        <w:rPr>
          <w:snapToGrid w:val="0"/>
        </w:rPr>
        <w:t xml:space="preserve"> na temat spójności</w:t>
      </w:r>
      <w:r w:rsidRPr="00CF7D90">
        <w:rPr>
          <w:snapToGrid w:val="0"/>
          <w:vertAlign w:val="superscript"/>
          <w:lang w:eastAsia="en-US"/>
        </w:rPr>
        <w:footnoteReference w:id="10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swoją rezolucję z dnia 15 lutego 2022 r. w sprawie wyzwań stojących przed obszarami miejskimi w okresie po pandemii COVID‑19</w:t>
      </w:r>
      <w:r w:rsidRPr="00CF7D90">
        <w:rPr>
          <w:snapToGrid w:val="0"/>
          <w:vertAlign w:val="superscript"/>
          <w:lang w:eastAsia="en-US"/>
        </w:rPr>
        <w:footnoteReference w:id="11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ind w:left="426"/>
        <w:rPr>
          <w:snapToGrid w:val="0"/>
          <w:lang w:eastAsia="en-US"/>
        </w:rPr>
      </w:pPr>
    </w:p>
    <w:p w:rsidR="00602BC7" w:rsidRPr="00CF7D90" w:rsidRDefault="00602BC7" w:rsidP="00602BC7">
      <w:pPr>
        <w:widowControl/>
        <w:spacing w:after="240"/>
        <w:ind w:left="567" w:hanging="567"/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swoją rezolucję z 20 maja 2021 r. w sprawie odwrócenia tendencji demograficznych w regionach UE za pomocą instrumentów polityki spójności</w:t>
      </w:r>
      <w:r w:rsidRPr="00CF7D90">
        <w:rPr>
          <w:rStyle w:val="FootnoteReference"/>
        </w:rPr>
        <w:footnoteReference w:id="12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swoją rezolucję z 25 marca 2021 r. w sprawie polityki spójności i regionalnych strategii środowiskowych w walce ze zmianą klimatu</w:t>
      </w:r>
      <w:r w:rsidRPr="00CF7D90">
        <w:rPr>
          <w:rStyle w:val="FootnoteReference"/>
        </w:rPr>
        <w:footnoteReference w:id="13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swoją rezolucję z dnia 13 marca 2018 r. w sprawie roli regionów i miast UE we wdrażaniu porozumienia paryskiego z konferencji COP21 w sprawie zmian klimatu</w:t>
      </w:r>
      <w:r w:rsidRPr="00CF7D90">
        <w:rPr>
          <w:snapToGrid w:val="0"/>
          <w:vertAlign w:val="superscript"/>
          <w:lang w:eastAsia="en-US"/>
        </w:rPr>
        <w:footnoteReference w:id="14"/>
      </w:r>
      <w:r w:rsidRPr="00CF7D90">
        <w:rPr>
          <w:snapToGrid w:val="0"/>
        </w:rPr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opinię z Europejskiego Komitetu Ekonomiczno-Społecznego z dnia 18 września 2020 r. zatytułowaną „Przegląd agendy terytorialnej UE, karty lipskiej i agendy miejskiej dla UE”</w:t>
      </w:r>
      <w:r w:rsidRPr="00CF7D90">
        <w:rPr>
          <w:rStyle w:val="FootnoteReference"/>
          <w:rFonts w:eastAsia="Calibri"/>
          <w:szCs w:val="24"/>
          <w:lang w:eastAsia="en-US"/>
        </w:rPr>
        <w:footnoteReference w:id="15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zCs w:val="32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pogłębioną analizę pt. „Territorial Agenda 2030 – Implementation Review” [Agenda Terytorialna 2030 – Przegląd wdrażania] opublikowaną 7 czerwca 2023 r. przez Dyrekcję Generalną ds. Polityki Wewnętrznej</w:t>
      </w:r>
      <w:r w:rsidRPr="00CF7D90">
        <w:rPr>
          <w:rStyle w:val="FootnoteReference"/>
          <w:szCs w:val="32"/>
        </w:rPr>
        <w:footnoteReference w:id="16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zCs w:val="32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 xml:space="preserve">uwzględniając </w:t>
      </w:r>
      <w:r w:rsidRPr="00CF7D90">
        <w:t>badanie przeprowadzone na zlecenie Dyrekcji Generalnej ds. Polityki Regionalnej i Miejskiej Komisji Europejskiej (</w:t>
      </w:r>
      <w:r w:rsidRPr="00CF7D90">
        <w:rPr>
          <w:snapToGrid w:val="0"/>
        </w:rPr>
        <w:t>DG REGIO</w:t>
      </w:r>
      <w:r w:rsidRPr="00CF7D90">
        <w:t>) zatytułowane „Zintegrowane strategie terytorialne i miejskie: jaką wartość wnoszą europejskie fundusze strukturalne i inwestycyjne na lata 2014–2020”, opublikowane w grudniu 2017 r.</w:t>
      </w:r>
      <w:r w:rsidRPr="00CF7D90">
        <w:rPr>
          <w:rFonts w:eastAsia="Calibri"/>
          <w:szCs w:val="24"/>
          <w:vertAlign w:val="superscript"/>
          <w:lang w:eastAsia="en-US"/>
        </w:rPr>
        <w:footnoteReference w:id="17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 xml:space="preserve">uwzględniając STRAT-Board, interaktywne narzędzie opracowane przez Wspólne Centrum Badawcze (JRC) Komisji Europejskiej i DG REGIO pokazujące, w jaki </w:t>
      </w:r>
      <w:r w:rsidRPr="00CF7D90">
        <w:lastRenderedPageBreak/>
        <w:t>sposób europejskie fundusze strukturalne i inwestycyjne (ESIF) wspierają zintegrowane podejście do rozwoju miejskiego i terytorialnego</w:t>
      </w:r>
      <w:r w:rsidRPr="00CF7D90">
        <w:rPr>
          <w:rStyle w:val="FootnoteReference"/>
          <w:snapToGrid w:val="0"/>
          <w:lang w:eastAsia="en-US"/>
        </w:rPr>
        <w:footnoteReference w:id="18"/>
      </w:r>
      <w:r w:rsidRPr="00CF7D90">
        <w:t>,</w:t>
      </w:r>
    </w:p>
    <w:p w:rsidR="00602BC7" w:rsidRPr="00CF7D90" w:rsidRDefault="00602BC7" w:rsidP="00602BC7">
      <w:pPr>
        <w:widowControl/>
        <w:spacing w:after="240"/>
        <w:ind w:left="567" w:hanging="567"/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Podręcznik strategii rozwoju terytorialnego i lokalnego</w:t>
      </w:r>
      <w:r w:rsidRPr="00CF7D90">
        <w:rPr>
          <w:vertAlign w:val="superscript"/>
        </w:rPr>
        <w:footnoteReference w:id="19"/>
      </w:r>
      <w:r w:rsidRPr="00CF7D90">
        <w:t xml:space="preserve"> oraz Podręcznik strategii zrównoważonego rozwoju obszarów miejskich</w:t>
      </w:r>
      <w:r w:rsidRPr="00CF7D90">
        <w:rPr>
          <w:vertAlign w:val="superscript"/>
        </w:rPr>
        <w:footnoteReference w:id="20"/>
      </w:r>
      <w:r w:rsidRPr="00CF7D90">
        <w:t>, opublikowane przez JRC,</w:t>
      </w:r>
    </w:p>
    <w:p w:rsidR="00602BC7" w:rsidRPr="00CF7D90" w:rsidRDefault="00602BC7" w:rsidP="00602BC7">
      <w:pPr>
        <w:ind w:left="426" w:firstLine="141"/>
      </w:pPr>
    </w:p>
    <w:p w:rsidR="00602BC7" w:rsidRPr="00CF7D90" w:rsidRDefault="00602BC7" w:rsidP="00602BC7">
      <w:pPr>
        <w:pStyle w:val="NormalBold"/>
        <w:spacing w:after="240"/>
        <w:ind w:left="567" w:hanging="567"/>
        <w:jc w:val="both"/>
      </w:pPr>
      <w:r w:rsidRPr="00CF7D90">
        <w:rPr>
          <w:b w:val="0"/>
        </w:rPr>
        <w:t>–</w:t>
      </w:r>
      <w:r w:rsidRPr="00CF7D90">
        <w:rPr>
          <w:b w:val="0"/>
        </w:rPr>
        <w:tab/>
        <w:t>uwzględniając dokument roboczy DG REGIO pt. „The geography of EU discontent and the regional development trap” [Geografia niezadowolenia w UE i pułapka ograniczenia rozwoju regionalnego] opublikowany w marcu 2023 r.,</w:t>
      </w:r>
    </w:p>
    <w:p w:rsidR="00602BC7" w:rsidRPr="00CF7D90" w:rsidRDefault="00602BC7" w:rsidP="00602BC7">
      <w:pPr>
        <w:pStyle w:val="NormalBold"/>
        <w:spacing w:after="240"/>
        <w:ind w:left="567" w:hanging="567"/>
        <w:jc w:val="both"/>
        <w:rPr>
          <w:b w:val="0"/>
        </w:rPr>
      </w:pPr>
      <w:r w:rsidRPr="00CF7D90">
        <w:rPr>
          <w:b w:val="0"/>
        </w:rPr>
        <w:t>–</w:t>
      </w:r>
      <w:r w:rsidRPr="00CF7D90">
        <w:rPr>
          <w:b w:val="0"/>
        </w:rPr>
        <w:tab/>
        <w:t>uwzględniając badanie przeprowadzone dla Rady Gmin i Regionów Europy pt. „ZIT i RLKS – wykorzystanie zintegrowanych narzędzi terytorialnych w polityce spójności” opublikowane w grudniu 2022 r.,</w:t>
      </w:r>
    </w:p>
    <w:p w:rsidR="00602BC7" w:rsidRPr="00CF7D90" w:rsidRDefault="00602BC7" w:rsidP="00602BC7">
      <w:pPr>
        <w:pStyle w:val="NormalBold"/>
        <w:spacing w:after="240"/>
        <w:ind w:left="567" w:hanging="567"/>
        <w:jc w:val="both"/>
        <w:rPr>
          <w:b w:val="0"/>
        </w:rPr>
      </w:pPr>
      <w:r w:rsidRPr="00CF7D90">
        <w:rPr>
          <w:b w:val="0"/>
        </w:rPr>
        <w:t>–</w:t>
      </w:r>
      <w:r w:rsidRPr="00CF7D90">
        <w:rPr>
          <w:b w:val="0"/>
        </w:rPr>
        <w:tab/>
        <w:t>uwzględniając Kartę lipską na rzecz zrównoważonego rozwoju miast europejskich z 2007 r. oraz dokument pt. „New Leipzig Charter – the transformative power of cities for the common good” [Nowa karta lipska – transformacyjna siła miast dla wspólnego dobra] z 30 listopada 2020 r.,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 art. 54 Regulaminu oraz art. 1 ust. 1 lit. e) i załącznik 3 do decyzji Konferencji Przewodniczących z dnia 12 grudnia 2002 r. dotyczącej procedury udzielania zgody na sporządzenie sprawozdań z własnej inicjatywy,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  <w:t>uwzględniając</w:t>
      </w:r>
      <w:r w:rsidRPr="00CF7D90">
        <w:t xml:space="preserve"> opinię Komisji Rolnictwa i Rozwoju Wsi,</w:t>
      </w:r>
    </w:p>
    <w:p w:rsidR="00602BC7" w:rsidRPr="00CF7D90" w:rsidRDefault="00602BC7" w:rsidP="00602BC7">
      <w:pPr>
        <w:widowControl/>
        <w:spacing w:after="240"/>
        <w:ind w:left="567" w:hanging="567"/>
        <w:rPr>
          <w:snapToGrid w:val="0"/>
        </w:rPr>
      </w:pPr>
      <w:r w:rsidRPr="00CF7D90">
        <w:rPr>
          <w:snapToGrid w:val="0"/>
        </w:rPr>
        <w:t>–</w:t>
      </w:r>
      <w:r w:rsidRPr="00CF7D90">
        <w:rPr>
          <w:snapToGrid w:val="0"/>
        </w:rPr>
        <w:tab/>
      </w:r>
      <w:r w:rsidRPr="00CF7D90">
        <w:t>uwzględniając sprawozdanie Komisji Rozwoju Regionalnego (A9-0420/2023),</w:t>
      </w:r>
    </w:p>
    <w:p w:rsidR="00602BC7" w:rsidRPr="00CF7D90" w:rsidRDefault="00602BC7" w:rsidP="00602BC7">
      <w:pPr>
        <w:pStyle w:val="NormalHanging12a"/>
        <w:ind w:hanging="709"/>
      </w:pPr>
      <w:r w:rsidRPr="00CF7D90">
        <w:t>A.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polityka spójności pozostaje i powinna pozostać główną polityką inwestycyjną dla regionów i miast UE oraz że nie ma ona konsekwentnie służyć jako pierwszy wybór pomocy finansowej w obliczu nieprzewidzianych zdarzeń, które zakłócają naszą gospodarkę społeczno-gospodarczą; mając na uwadze, że agenda terytorialna jest instrumentem przewodnim polityki terytorialnej UE i znajduje odzwierciedlenie w krajowych programach i projektach, nadając kierunek strategicznemu planowaniu przestrzennemu i rozwojowi regionalnemu; wzywa się w niej także do umocnienia wymiaru terytorialnego polityki sektorowej na wszystkich szczeblach sprawowania rządów, a także dąży do promowania zrównoważonej przyszłości sprzyjającej włączeniu społecznemu we wszystkich miejscach oraz do wsparcia w </w:t>
      </w:r>
      <w:proofErr w:type="gramStart"/>
      <w:r w:rsidRPr="00CF7D90">
        <w:t>osiągnięciu</w:t>
      </w:r>
      <w:proofErr w:type="gramEnd"/>
      <w:r w:rsidRPr="00CF7D90">
        <w:t xml:space="preserve"> celów zrównoważonego rozwoju w Europie;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B.</w:t>
      </w:r>
      <w:r w:rsidRPr="00CF7D90">
        <w:tab/>
        <w:t>mając na uwadze, że wyzwania stojące przed regionami UE podlegają identyfikacji i zarządzaniu na szczeblu terytorialnym;</w:t>
      </w:r>
    </w:p>
    <w:p w:rsidR="00602BC7" w:rsidRPr="00CF7D90" w:rsidRDefault="00602BC7" w:rsidP="00602BC7">
      <w:pPr>
        <w:pStyle w:val="NormalHanging12a"/>
      </w:pPr>
      <w:r w:rsidRPr="00CF7D90">
        <w:t>C.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poprzednie i obecne rozporządzenie w sprawie wspólnych przepisów nie zawierają żadnych konkretnych odniesień odpowiednio do Agendy </w:t>
      </w:r>
      <w:r w:rsidRPr="00CF7D90">
        <w:lastRenderedPageBreak/>
        <w:t>Terytorialnej UE 2020 ani Agendy Terytorialnej UE 2030; mając na uwadze, że tytuł III rozdział II obowiązującego rozporządzenia w sprawie wspólnych przepisów stanowi podstawę do wykorzystywania funduszy polityki spójności w ramach strategii rozwoju terytorialnego; mając na uwadze, że art. 7 rozporządzenia (UE) nr 1301/2013</w:t>
      </w:r>
      <w:r w:rsidRPr="00CF7D90">
        <w:rPr>
          <w:rStyle w:val="FootnoteReference"/>
        </w:rPr>
        <w:footnoteReference w:id="21"/>
      </w:r>
      <w:r w:rsidRPr="00CF7D90">
        <w:t xml:space="preserve"> odnosi się do zrównoważonego rozwoju obszarów miejskich opartego na zintegrowanych i zrównoważonych strategiach miejskich jako ramach wyboru pojedynczych operacji;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D</w:t>
      </w:r>
      <w:r w:rsidR="00563A99">
        <w:t>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ukierunkowane na konkretny obszar podejście do kształtowania polityki oparte na zintegrowanym rozwoju terytorialnym ma na celu uwolnienie wyjątkowego potencjału związanego z zasobami terytorialnymi, wiedzą i aktywami, przy jednoczesnym uznaniu potrzeby rozwiązań, które byłyby dostosowane do potrzeb różnych obszarów;</w:t>
      </w:r>
    </w:p>
    <w:p w:rsidR="00602BC7" w:rsidRPr="00CF7D90" w:rsidRDefault="00602BC7" w:rsidP="00602BC7">
      <w:pPr>
        <w:pStyle w:val="NormalHanging12a"/>
        <w:ind w:hanging="640"/>
      </w:pPr>
      <w:r w:rsidRPr="00CF7D90">
        <w:t>E.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wydaje się, iż głównymi trudnościami napotykanymi przez instytucje lokalne i regionalne oraz społeczeństwo obywatelskie w latach 2014–2020 były niewystarczające wsparcie techniczne i administracyjne, dysproporcjonalne obciążenia biurokratyczne, a także niedobór umiejętności, szkoleń i wiedzy i budowania zdolności oraz słaba współpraca między poszczególnymi szczeblami władzy, a do tego powolna absorpcja funduszy; 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F.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w regionach i jednostkach administracyjnych, w których wdrażana jest inicjatywa LEADER, obowiązkowo ustanowiony kierownik lokalnej grupy działania przyczynia się do poprawy wyników i absorpcji regionalnego finansowania;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G.</w:t>
      </w:r>
      <w:r w:rsidRPr="00CF7D90">
        <w:tab/>
        <w:t>mając na uwadze, że bogactwo różnorodności terytorialnej UE należy postrzegać jako dynamiczny i złożony system, w którym każdy region boryka się z wyzwaniami rozwojowymi w zależności od jego własnej specyfiki; mając na uwadze, że rosnące nierówności między miejscami i między ludźmi osiągnęły poziom krytyczny oraz że potrzebne są wspólne działania na wszystkich szczeblach geograficznych i sprawowania rządów, aby zapewnić pozytywne perspektywy dla wszystkich ludzi i miejsc w całej UE;</w:t>
      </w:r>
    </w:p>
    <w:p w:rsidR="00602BC7" w:rsidRPr="00CF7D90" w:rsidRDefault="00602BC7" w:rsidP="00602BC7">
      <w:pPr>
        <w:pStyle w:val="NormalHanging12a"/>
        <w:ind w:left="570" w:hanging="570"/>
      </w:pPr>
      <w:r w:rsidRPr="00CF7D90">
        <w:t>H.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Podręcznik strategii rozwoju terytorialnego i lokalnego oferuje wsparcie metodologiczne na wszystkich szczeblach;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I.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mikrospójność jest formą równowagi w przypadku obszarów słabo rozwiniętych położonych w bardziej rozwiniętych regionach; mając na uwadze, że agenda terytorialna (TA2030), która wyraźnie koncentruje się na „miejscach i ludziach”, jest pionierem „idei spójności interpersonalnej” obok spójności terytorialnej, biorąc pod uwagę, że dysproporcje te można wyeliminować jedynie poprzez zwrócenie większej uwagi na różnorodność i potencjał terytoriów, a także poprzez opracowanie polityk i strategii ukierunkowanych na konkretny obszar w celu lepszego włączenia wymiaru terytorialnego do wszystkich funduszy UE;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J.</w:t>
      </w:r>
      <w:r w:rsidRPr="00CF7D90">
        <w:tab/>
        <w:t xml:space="preserve">mając na uwadze, że w art. 28 rozporządzenia w sprawie wspólnych przepisów </w:t>
      </w:r>
      <w:r w:rsidRPr="00CF7D90">
        <w:lastRenderedPageBreak/>
        <w:t>wskazano zintegrowane inwestycje terytorialne (ZIT) i rozwój lokalny kierowany przez społeczność (RLKS) jako instrumenty wdrażania strategii rozwoju terytorialnego oraz wezwano do zapewnienia spójności i koordynacji między funduszami, w przypadku gdy kilka z nich jest stosowanych w tej samej strategii rozwoju regionalnego lub lokalnego; mając na uwadze, że instrumenty te mają na celu oddolny rozwój terytorialny i zwiększenie aktywnego udziału lokalnych zainteresowanych stron;</w:t>
      </w:r>
    </w:p>
    <w:p w:rsidR="00602BC7" w:rsidRPr="00CF7D90" w:rsidRDefault="00602BC7" w:rsidP="00602BC7">
      <w:pPr>
        <w:pStyle w:val="NormalHanging12a"/>
        <w:ind w:left="570" w:hanging="570"/>
      </w:pPr>
      <w:r w:rsidRPr="00CF7D90">
        <w:t>K.</w:t>
      </w:r>
      <w:r w:rsidRPr="00CF7D90">
        <w:tab/>
        <w:t>mając na uwadze, że w latach 2014–2020 w 28 państwach członkowskich (sprzed brexitu) uwzględniono w programowaniu 1975 strategii, finansowanych kwotą 19 mld EUR z Europejskiego Funduszu Rozwoju Regionalnego (EFRR), z czego 13,8 mld EUR przeznaczono na ZIT w dziewięciu państwach członkowskich;</w:t>
      </w:r>
    </w:p>
    <w:p w:rsidR="00602BC7" w:rsidRPr="00CF7D90" w:rsidRDefault="00602BC7" w:rsidP="00602BC7">
      <w:pPr>
        <w:pStyle w:val="NormalHanging12a"/>
      </w:pPr>
      <w:r w:rsidRPr="00CF7D90">
        <w:t>L.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rozwój lokalny kierowany przez społeczność był drugim najczęściej wykorzystywanym przez państwa członkowskie narzędziem służącym do rozwijania strategii terytorialnych lub lokalnych w latach 2014–2020 że i gwarantuje on, iż samorządy lokalne i regionalne oraz zainteresowane strony będą ściśle zaangażowane w przygotowanie, wdrażanie i monitorowanie otrzymywanych funduszy UE; mając na uwadze, że w okresie programowania 2021–2027 nie przeznaczono środków na wykorzystanie RLKS;</w:t>
      </w:r>
    </w:p>
    <w:p w:rsidR="00602BC7" w:rsidRPr="00CF7D90" w:rsidRDefault="00602BC7" w:rsidP="00602BC7">
      <w:pPr>
        <w:pStyle w:val="NormalHanging12a"/>
      </w:pPr>
      <w:r w:rsidRPr="00CF7D90">
        <w:t>M.</w:t>
      </w:r>
      <w:r w:rsidRPr="00CF7D90">
        <w:tab/>
        <w:t>mając na uwadze, że wdrażanie ZIT i RLKS odbywa się nierównomiernie w całej UE, a kilka państw członkowskich i instytucji zarządzających nie wydaje się zbyt zaangażowanych w ten proces; mając na uwadze, że interpretacja i realizacja celu polityki nr 5 „Europa bliżej obywateli” (CP5) różnią się w poszczególnych państwach członkowskich, co skutkuje niskim poziomem wdrażania ZIT i RLKS; mając na uwadze, że współprawodawcy powinni rozważyć w przyszłości elastyczniejsze wdrażanie CP5 bez rygorystycznych wymogów dotyczących strategii i zarządzania, co przyczyni się do otwarcia go na wszelkiego rodzaju inicjatywy na rzecz rozwoju regionalnego i lokalnego;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N.</w:t>
      </w:r>
      <w:r w:rsidRPr="00CF7D90">
        <w:tab/>
        <w:t>mając na uwadze, że ZIT i RLKS to instrumenty, których celem powinno być nie tylko ułatwianie podejścia oddolnego do rozwoju terytorialnego przez angażowanie władz lokalnych i regionalnych od samego początku, ale również ułatwianie dialogu między poszczególnymi zainteresowanymi stronami oraz zacieśnianie współpracy sektora publicznego z prywatnym, a także wspieranie współpracy i przekazywania informacji między wszystkimi szczeblami administracji;</w:t>
      </w:r>
    </w:p>
    <w:p w:rsidR="00602BC7" w:rsidRPr="00CF7D90" w:rsidRDefault="00602BC7" w:rsidP="00602BC7">
      <w:pPr>
        <w:pStyle w:val="NormalHanging12a"/>
      </w:pPr>
      <w:r w:rsidRPr="00CF7D90">
        <w:t>O.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w AT2030 zachęca się Parlament i jego Komisję Rozwoju Regionalnego – komisję odpowiedzialną za spójność gospodarczą, społeczną i terytorialną – do uwzględnienia celów agendy w drodze propagowania jej priorytetów w procesach ustawodawczych UE;</w:t>
      </w:r>
    </w:p>
    <w:p w:rsidR="00602BC7" w:rsidRPr="00CF7D90" w:rsidRDefault="00602BC7" w:rsidP="00602BC7">
      <w:pPr>
        <w:pStyle w:val="NormalHanging12a"/>
      </w:pPr>
      <w:r w:rsidRPr="00CF7D90">
        <w:t>P.</w:t>
      </w:r>
      <w:r w:rsidRPr="00CF7D90">
        <w:tab/>
        <w:t>mając na uwadze, że ZIT i strategie polityczne ukierunkowane na konkretny obszar są konieczne, aby UE mogła osiągnąć swoje strategiczne cele, takie jak transformacja ekologiczna i cyfrowa; mając na uwadze, że polityka ukierunkowana na konkretny obszar może pomóc terytoriom uporać się z długotrwałym pogarszaniem się sytuacji gospodarczej i „pułapką rozwoju regionalnego”, która polega na tym, że region nie jest w stanie utrzymać swojej dynamiki gospodarczej pod względem poziomu dochodów, wydajności i zatrudnienia;</w:t>
      </w:r>
    </w:p>
    <w:p w:rsidR="00602BC7" w:rsidRPr="00CF7D90" w:rsidRDefault="00602BC7" w:rsidP="00602BC7">
      <w:pPr>
        <w:pStyle w:val="NormalHanging12a"/>
      </w:pPr>
      <w:r w:rsidRPr="00CF7D90">
        <w:t>Q.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w AT2030 zdefiniowano dwa nadrzędne cele, jakimi są </w:t>
      </w:r>
      <w:r w:rsidRPr="00CF7D90">
        <w:lastRenderedPageBreak/>
        <w:t>Sprawiedliwa Europa i Zielona Europa, obejmujące sześć priorytetów (zrównoważona Europa, regiony funkcjonalne, integracja ponad granicami, zdrowe środowisko, gospodarka o obiegu zamkniętym i zrównoważone połączenia), aby umożliwić rozwój całego terytorium Europy ze wszystkimi jej obszarami; mając na uwadze, że AT2030 jeszcze bardziej dostosowuje cele UE w zakresie rozwoju terytorialnego do Agendy ONZ na rzecz zrównoważonego rozwoju 2030 i Europejskiego Zielonego Ładu; mając na uwadze, że agenda miejsca UE wspiera cele AT2030 za pośrednictwem karty lipskiej;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R.</w:t>
      </w:r>
      <w:r w:rsidRPr="00CF7D90">
        <w:tab/>
        <w:t>mając na uwadze, że silny wspólny rozwój terytorialny oparty na rozporządzeniu w sprawie wspólnych przepisów i wdrażania TA2030 może służyć jako narzędzie umacniania solidarności i procesów demokratycznych oraz sprawiedliwej i ekologicznej UE; mając na uwadze, że podejścia terytorialne wnoszą wartość dodaną, ponieważ przyjmuje się w nich strategiczne, przestrzenny punkt widzenia uwzględniający konkretne kombinacje wyzwań i możliwości społecznych, instytucjonalnych, gospodarczych i środowiskowych, które wpływają na rozwój wszystkich rodzajów terytoriów;</w:t>
      </w:r>
    </w:p>
    <w:p w:rsidR="00602BC7" w:rsidRPr="00CF7D90" w:rsidRDefault="00602BC7" w:rsidP="00602BC7">
      <w:pPr>
        <w:pStyle w:val="NormalHanging12a"/>
      </w:pPr>
      <w:r w:rsidRPr="00CF7D90">
        <w:t>S.</w:t>
      </w:r>
      <w:r w:rsidRPr="00CF7D90">
        <w:tab/>
        <w:t>mając na uwadze, że wdrażanie priorytetów AT2030 pozostaje w UE nierównomierne, w szczególności biorąc pod uwagę dysproporcje przestrzenne, takie jak położenie wyspiarskie; mając na uwadze, że w konkluzjach AT2030 wskazano na rosnące nierówności w UE, które pogłębiają różnice między ludźmi i terytoriami;</w:t>
      </w:r>
    </w:p>
    <w:p w:rsidR="00602BC7" w:rsidRPr="00CF7D90" w:rsidRDefault="00602BC7" w:rsidP="00602BC7">
      <w:pPr>
        <w:pStyle w:val="NormalHanging12a"/>
      </w:pPr>
      <w:r w:rsidRPr="00CF7D90">
        <w:t>T.</w:t>
      </w:r>
      <w:r w:rsidRPr="00CF7D90">
        <w:tab/>
        <w:t>mając na uwadze, że w AT2030 wzywa się do umocnienia wymiaru terytorialnego polityk sektorowych na wszystkich szczeblach sprawowania rządów; mając na uwadze, że główne zasady AT2030 ujęto w dwóch priorytetach: „Oddalamy się od siebie – mentalnie i terytorialnie” oraz „Zrównoważony rozwój i zmiana klimatu”;</w:t>
      </w:r>
    </w:p>
    <w:p w:rsidR="00602BC7" w:rsidRPr="00CF7D90" w:rsidRDefault="00602BC7" w:rsidP="00602BC7">
      <w:pPr>
        <w:pStyle w:val="NormalHanging12a"/>
      </w:pPr>
      <w:r w:rsidRPr="00CF7D90">
        <w:t>U.</w:t>
      </w:r>
      <w:r w:rsidRPr="00CF7D90">
        <w:tab/>
        <w:t>mając na uwadze, że wraz z przyjęciem AT2030 rozpoczęto siedem działań pilotażowych, które służą za przykład realizacji celów tej agendy w terenie na szczeblu lokalnym i regionalnym oraz zachęcają do wspólne działania w całej UE, a mianowicie: „Przyszłość regionów słabiej rozwiniętych”, „„Zrozumieć, jak polityki sektorowe kształtują (nie</w:t>
      </w:r>
      <w:proofErr w:type="gramStart"/>
      <w:r w:rsidRPr="00CF7D90">
        <w:t>)równowagę</w:t>
      </w:r>
      <w:proofErr w:type="gramEnd"/>
      <w:r w:rsidRPr="00CF7D90">
        <w:t xml:space="preserve"> terytorialną”, „Małe miejsca mają znaczenie”, „Transgraniczne planowanie przestrzenne”, „Działania w dziedzinie klimatu w miastach alpejskich”, „Przystosowanie się do zmiany klimatu i odporność poprzez transformację krajobrazu” oraz „Zmniejszenie sztucznej inteligencji gruntów, niekontrolowanego rozrastania się miast i zasklepiania gleby w miastach różnej wielkości i miejskich obszarach funkcjonalnych”;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V.</w:t>
      </w:r>
      <w:r w:rsidRPr="00CF7D90">
        <w:tab/>
      </w:r>
      <w:proofErr w:type="gramStart"/>
      <w:r w:rsidRPr="00CF7D90">
        <w:t>mając</w:t>
      </w:r>
      <w:proofErr w:type="gramEnd"/>
      <w:r w:rsidRPr="00CF7D90">
        <w:t xml:space="preserve"> na uwadze, że biorąc pod uwagę ograniczoną równowagę geograficzną przy opracowywaniu tych działań pilotażowych oraz trudności administracyjne napotkane podczas finansowania działań pilotażowych w ramach kilku programów, konieczne jest lepsze gromadzenie danych, a także spójny przegląd programu AT2030;</w:t>
      </w:r>
    </w:p>
    <w:p w:rsidR="00602BC7" w:rsidRPr="00CF7D90" w:rsidRDefault="00602BC7" w:rsidP="00602BC7">
      <w:pPr>
        <w:pStyle w:val="NormalHanging12a"/>
      </w:pPr>
      <w:r w:rsidRPr="00CF7D90">
        <w:t>1.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w latach 2014–2020 tylko 28 % strategii na rzecz zrównoważonego rozwoju obszarów miejskich wdrożono za pośrednictwem ZIT; wzywa Komisję do podjęcia działań mających na celu zachęcenie do korzystania z takich narzędzi do rozwijania AT2030, w szczególności poprzez intensywniejsze działania komunikacyjne;</w:t>
      </w:r>
    </w:p>
    <w:p w:rsidR="00602BC7" w:rsidRPr="00CF7D90" w:rsidRDefault="00602BC7" w:rsidP="00602BC7">
      <w:pPr>
        <w:pStyle w:val="NormalHanging12a"/>
      </w:pPr>
      <w:r w:rsidRPr="00CF7D90">
        <w:t>2.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 xml:space="preserve"> cenny wkład, jaki w rozwój terytorialny wnoszą działania realizowane w </w:t>
      </w:r>
      <w:r w:rsidRPr="00CF7D90">
        <w:lastRenderedPageBreak/>
        <w:t>ramach RLKS, takie jak działania programu LEADER; wzywa Komisję i państwa członkowskie, aby wzmocniły inicjatywę LEADER poprzez zwiększenie jej puli środków budżetowych, zagwarantowanie im wysokiego poziomu autonomii lokalnych grup działania w zakresie ich tworzenia i podejmowania decyzji oraz zmniejszenie obciążeń administracyjnych;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3.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Komisję, by wykorzystała wyniki przyszłego sprawozdania oceniającego na okres programowania 2014–2020, które zostanie sporządzone w 2024 r., oraz wyniki działań zrealizowanych w ramach RLKS, takich jak działania w ramach programu LEADER, do wsparcia programów przewidzianych na lata 2021–2027; zwraca uwagę na znaczenie analizy jakościowej narzędzi rozwoju terytorialnego; ubolewa w związku z tym nad wnioskiem zawartym w sprawozdaniu specjalnym Europejskiego Trybunału Obrachunkowego w sprawie LEADER i CLLB oraz rozwoju lokalnego kierowanego przez społeczność;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4.</w:t>
      </w:r>
      <w:r w:rsidRPr="00CF7D90">
        <w:tab/>
      </w:r>
      <w:proofErr w:type="gramStart"/>
      <w:r w:rsidRPr="00CF7D90">
        <w:t>z</w:t>
      </w:r>
      <w:proofErr w:type="gramEnd"/>
      <w:r w:rsidRPr="00CF7D90">
        <w:t xml:space="preserve"> zadowoleniem przyjmuje Podręcznik strategii terytorialnych i rozwoju” oraz Podręcznik strategii zrównoważonego rozwoju obszarów miejskich jako wytyczne dla wszystkich poziomów administracji dotyczące projektowania, wdrażania i monitorowania strategii terytorialnych i lokalnych, w tym rozwoju obszarów miejskich; uważa, że trzeba umocnić rozpowszechnianie dobrych praktyk, tak aby zagwarantować, że projekty są skuteczne i zrównoważone; ubolewa jednak nad spóźnioną publikacją tych Podręczników i zachęca Komisję do terminowego opracowania wytycznych służących programom operacyjnym; podkreśla potrzebę zaoferowania państwom członkowskim większej ilości wytycznych i większej elastyczności w zakresie wdrażania CP5 „Europa bliżej obywateli” oraz działań służących jego osiągnięciu, a także dostosowania ich do działań określonych w ramach TA2030, a także stworzenia zachęt do przeznaczania większych środków na CP5;</w:t>
      </w:r>
    </w:p>
    <w:p w:rsidR="00602BC7" w:rsidRPr="00CF7D90" w:rsidRDefault="00602BC7" w:rsidP="00602BC7">
      <w:pPr>
        <w:pStyle w:val="NormalHanging12a"/>
      </w:pPr>
      <w:r w:rsidRPr="00CF7D90">
        <w:t>5.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państwa członkowskie do propagowania strategicznego planowania przestrzennego uwzględniającego terytoria jako całość, poza obszarami metropolitalnymi, obszarami miejskimi i miejskimi obszarami funkcjonalnymi; wzywa ponadto państwa członkowskie do wzmocnienia powiązań między obszarami wiejskimi i miejskimi jako sposobu na osiągnięcie bardziej zrównoważonego rozwoju terytorialnego w całej UE oraz do rozważenia transgranicznego planowania i wdrażania poprzez podejścia oddolne, takie jak RLKS/ZIT;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6.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Komisję i Radę, aby przeznaczała fundusze na obszary wiejskie i regiony, które cierpią na skutek poważnych i trwałych niekorzystnych warunków przyrodniczych lub demograficznych, w taki sam sposób, w jaki 8 % funduszy polityki spójności przeznacza się na rozwój programów w ramach agendy miejskiej; zauważa, że fundusze te powinny być wykorzystywane głównie za pośrednictwem narzędzi zintegrowanego rozwoju terytorialnego;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7.</w:t>
      </w:r>
      <w:r w:rsidRPr="00CF7D90">
        <w:tab/>
      </w:r>
      <w:proofErr w:type="gramStart"/>
      <w:r w:rsidRPr="00CF7D90">
        <w:t>bierze</w:t>
      </w:r>
      <w:proofErr w:type="gramEnd"/>
      <w:r w:rsidRPr="00CF7D90">
        <w:t xml:space="preserve"> pod uwagę zdolności władz lokalnych i regionalnych w zakresie wdrażania narzędzi terytorialnych i zarządzania nimi oraz uważa, że konieczna jest zmiana paradygmatu udziału władz lokalnych i regionalnych w planowaniu, wdrażaniu narzędzi terytorialnych i w zarządzaniu nimi; wzywa do skutecznego wdrożenia zasady partnerstwa i dogłębnych konsultacji z władzami lokalnymi i regionalnym i innymi zainteresowanymi stronami przed określeniem działań w ramach ZIT i RLKS; podkreśla znaczenie oddolnego podejścia do rozwoju terytorialnego, przy jednoczesnym umożliwieniu obywatelom przejęcia odpowiedzialności za rozwój ich </w:t>
      </w:r>
      <w:r w:rsidRPr="00CF7D90">
        <w:lastRenderedPageBreak/>
        <w:t xml:space="preserve">terytoriów; </w:t>
      </w:r>
    </w:p>
    <w:p w:rsidR="00602BC7" w:rsidRPr="00CF7D90" w:rsidRDefault="00602BC7" w:rsidP="00602BC7">
      <w:pPr>
        <w:pStyle w:val="NormalHanging12a"/>
      </w:pPr>
      <w:r w:rsidRPr="00CF7D90">
        <w:t>8.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do łączenia strategii rozwoju terytorialnego lub lokalnego finansowanych z więcej niż jednego programu w jedną ukierunkowaną strukturę zgodnie z art. 28 rozporządzenia w sprawie wspólnych przepisów i przy wsparciu Komisji, w stosownym przypadku, aby zapobiec opóźnieniom i przeszkodom administracyjnym; z zadowoleniem przyjmuje wprowadzoną w okresie programowania 2021–2027 możliwość wyznaczenia funduszu głównego dla strategii finansowanych z więcej niż jednego funduszu;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9.</w:t>
      </w:r>
      <w:r w:rsidRPr="00CF7D90">
        <w:tab/>
      </w:r>
      <w:proofErr w:type="gramStart"/>
      <w:r w:rsidRPr="00CF7D90">
        <w:t>zauważa</w:t>
      </w:r>
      <w:proofErr w:type="gramEnd"/>
      <w:r w:rsidRPr="00CF7D90">
        <w:t xml:space="preserve">, że instrumenty terytorialne – takie jak RLKS lub ZIT – sprawdziły się jako środki, które przybliżają UE do obywateli; zauważa z zadowoleniem, że dane w STRAT-Board w latach 2014–2020 wskazują na fakt, że RLKS odegrały poważną rolę w rozwoju strategii terytorialnych; podkreśla przy tym, że na szczeblu lokalnym odnotowano duże zainteresowanie aktywnym uczestnictwem w opracowywaniu tych strategii; wzywa państwa członkowskie i Komisję do uproszczenia administracyjnego zarządzania funduszami, zwłaszcza w przypadkach, w których RLKS korzysta z więcej niż jednego funduszu; podkreśla, że ZIT to główne narzędzie wykorzystywane przez państwa członkowskie, którym przydzielono więcej środków z EFRR, ponieważ mogą one szybko pochłonąć środki i </w:t>
      </w:r>
      <w:proofErr w:type="gramStart"/>
      <w:r w:rsidRPr="00CF7D90">
        <w:t>są</w:t>
      </w:r>
      <w:proofErr w:type="gramEnd"/>
      <w:r w:rsidRPr="00CF7D90">
        <w:t xml:space="preserve"> w stanie objąć kilka głównych osi obecnych w jednym lub kilku programach;</w:t>
      </w:r>
    </w:p>
    <w:p w:rsidR="00602BC7" w:rsidRPr="00CF7D90" w:rsidRDefault="00602BC7" w:rsidP="00602BC7">
      <w:pPr>
        <w:pStyle w:val="NormalHanging12a"/>
      </w:pPr>
      <w:r w:rsidRPr="00CF7D90">
        <w:t>10.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 xml:space="preserve"> wyraźny rozdział między państwami członkowskimi, które są zaangażowane w rozwój ZIT lub RLKS, a tymi, które nie są; wzywa Komisję do wyjaśnienia tego zróżnicowania w celu uniknięcia nierówności geograficznych oraz zapewnienia dostosowanego wsparcia technicznego dla tych państw członkowskich, które nie skorzystały z tych narzędzi terytorialnych; zachęca wszystkie państwa członkowskie, by w większym stopniu wykorzystywały narzędzia zintegrowanego rozwoju terytorialnego, zdefiniowanego w art. 28 rozporządzenia w sprawie wspólnych przepisów, oraz by gwarantowały poszanowanie partnerstwa zdefiniowanego w art. 8 ww. rozporządzenia; jest zdania, że narzędzia zintegrowanego rozwoju terytorialnego powinny być obowiązkowe dla państw członkowskich;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11.</w:t>
      </w:r>
      <w:r w:rsidRPr="00CF7D90">
        <w:tab/>
      </w:r>
      <w:proofErr w:type="gramStart"/>
      <w:r w:rsidRPr="00CF7D90">
        <w:t>z</w:t>
      </w:r>
      <w:proofErr w:type="gramEnd"/>
      <w:r w:rsidRPr="00CF7D90">
        <w:t xml:space="preserve"> zadowoleniem przyjmuje uproszczenia techniczne w zakresie rozwoju terytorialnego wprowadzone w okresie programowania 2021–2027; wzywa jednak Komisję i państwa członkowskie, aby utrzymały niezbędne dodatkowe przepisy administracyjne w minimalnym zakresie oraz aby bardziej skupiły się na proporcjonalności, ponieważ małe projekty wiążą się obecnie z proporcjonalnie większymi obciążeniami administracyjnymi (dla beneficjentów) i kosztami administracyjnymi (dla organów wdrażających program) niż większe projekty; </w:t>
      </w:r>
    </w:p>
    <w:p w:rsidR="00602BC7" w:rsidRPr="00CF7D90" w:rsidRDefault="00602BC7" w:rsidP="00602BC7">
      <w:pPr>
        <w:pStyle w:val="NormalHanging12a"/>
      </w:pPr>
      <w:r w:rsidRPr="00CF7D90">
        <w:t>12.</w:t>
      </w:r>
      <w:r w:rsidRPr="00CF7D90">
        <w:tab/>
      </w:r>
      <w:proofErr w:type="gramStart"/>
      <w:r w:rsidRPr="00CF7D90">
        <w:t>uważa</w:t>
      </w:r>
      <w:proofErr w:type="gramEnd"/>
      <w:r w:rsidRPr="00CF7D90">
        <w:t>, że AT2030 jest realnym i właściwym instrumentem, który ma na celu zmniejszenie wymiaru przestrzennego nierówności i zapewnienie spójności UE dzięki zarządzaniu każdym z jej regionów, z uwzględnieniem ich specyfiki; uważa w związku z tym, że społeczeństwa i terytoria powinny być w większym stopniu zaangażowane w uznanie znaczenia tej agendy; wzywa Komisję, aby zmieniła rolę AT2030, tak aby nie pełniła ona jedynie funkcji przewodnika zarządzania terytorialnego;</w:t>
      </w:r>
    </w:p>
    <w:p w:rsidR="00602BC7" w:rsidRPr="00CF7D90" w:rsidRDefault="00602BC7" w:rsidP="00602BC7">
      <w:pPr>
        <w:pStyle w:val="NormalHanging12a"/>
      </w:pPr>
      <w:r w:rsidRPr="00CF7D90">
        <w:t>13.</w:t>
      </w:r>
      <w:r w:rsidRPr="00CF7D90">
        <w:tab/>
      </w:r>
      <w:proofErr w:type="gramStart"/>
      <w:r w:rsidRPr="00CF7D90">
        <w:t>zauważa</w:t>
      </w:r>
      <w:proofErr w:type="gramEnd"/>
      <w:r w:rsidRPr="00CF7D90">
        <w:t xml:space="preserve">, że AT2030 nie tylko propaguje działania polityczne ukierunkowane na konkretny obszar w odpowiedzi na wyzwania terytorialne, ale również zawiera wizję i ambicje dotyczące celu spójności terytorialnej poprzez większe zaangażowanie władz </w:t>
      </w:r>
      <w:r w:rsidRPr="00CF7D90">
        <w:lastRenderedPageBreak/>
        <w:t>lokalnych i regionalnych oraz obywateli;</w:t>
      </w:r>
    </w:p>
    <w:p w:rsidR="00602BC7" w:rsidRPr="00CF7D90" w:rsidRDefault="00602BC7" w:rsidP="00602BC7">
      <w:pPr>
        <w:pStyle w:val="NormalHanging12a"/>
      </w:pPr>
      <w:r w:rsidRPr="00CF7D90">
        <w:t>14.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chociaż finansowanie z wielu źródeł jest jednym z głównych celów zintegrowanych narzędzi terytorialnych, obecne ustalenia pokazują, że w niektórych krajach wykorzystanie wielu funduszy nadal okazuje się trudne, zwłaszcza że w obecnym okresie programowania EFRROW (rozwój obszarów wiejskich) nie jest już uwzględniony w rozporządzeniu w sprawie wspólnych przepisów, w związku z czym potrzebne byłyby dodatkowe i konkretne środki w celu dostosowania przepisów EFRROW i innych funduszy polityki spójności (tj. wykorzystanie różnych funduszy UE na projekty zintegrowane na szczeblu lokalnym, które dotyczą kilku celów polityki);</w:t>
      </w:r>
    </w:p>
    <w:p w:rsidR="00602BC7" w:rsidRPr="00CF7D90" w:rsidRDefault="00602BC7" w:rsidP="00602BC7">
      <w:pPr>
        <w:pStyle w:val="NormalHanging12a"/>
      </w:pPr>
      <w:r w:rsidRPr="00CF7D90">
        <w:t>15.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państwa członkowskie, by aktywnie promowały uwzględnianie aspektu płci przy przygotowywaniu i wdrażaniu projektów pilotażowych AT2030 w terenie;</w:t>
      </w:r>
    </w:p>
    <w:p w:rsidR="00602BC7" w:rsidRPr="00CF7D90" w:rsidRDefault="00602BC7" w:rsidP="00602BC7">
      <w:pPr>
        <w:widowControl/>
        <w:ind w:left="567" w:hanging="567"/>
      </w:pPr>
      <w:r w:rsidRPr="00CF7D90">
        <w:t>16.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sprawiedliwy i godny dochód oraz jakość życia obywateli i ich rodzin na obszarach wiejskich są istotne dla zagwarantowania postępu społecznego oraz pomyślnego rozwoju terytorialnego i lokalnego; podkreśla potrzebę powszechnego zapewnienia godnych warunków pracy i życia oraz ochrony socjalnej;</w:t>
      </w:r>
    </w:p>
    <w:p w:rsidR="00602BC7" w:rsidRPr="00CF7D90" w:rsidRDefault="00602BC7" w:rsidP="00602BC7">
      <w:pPr>
        <w:widowControl/>
      </w:pPr>
    </w:p>
    <w:p w:rsidR="00602BC7" w:rsidRPr="00CF7D90" w:rsidRDefault="00602BC7" w:rsidP="00602BC7">
      <w:pPr>
        <w:widowControl/>
        <w:ind w:left="567" w:hanging="567"/>
      </w:pPr>
      <w:r w:rsidRPr="00CF7D90">
        <w:t>17.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 xml:space="preserve"> znaczenie poprawy spójności polityki i wprowadzenia weryfikacji wpływu polityki na rozwój obszarów wiejskich w przyszłych inicjatywach UE dotyczących zintegrowanego rozwoju terytorialnego i innych odpowiednich inicjatywach, aby ocenić spójność i komplementarność polityk oraz ich potencjalny wpływ na obszary wiejskie; dzięki temu będzie można skutecznie zapobiegać wyludnianiu się obszarów wiejskich oraz ułatwiać wymianę pokoleń, równy dostęp do wysokiej jakości niezbędnych usług i tworzenie miejsc pracy na obszarach wiejskich; podkreśla znaczenie mechanizmu weryfikacji wpływu polityki na rozwój obszarów wiejskich, również gdy państwa członkowskie oceniają wpływ proponowanego ustawodawstwa na obszary wiejskie; podkreśla znaczenie zaangażowania organów lokalnych i regionalnych w definiowanie i wdrażanie mechanizmów </w:t>
      </w:r>
      <w:proofErr w:type="gramStart"/>
      <w:r w:rsidRPr="00CF7D90">
        <w:t>weryfikacji</w:t>
      </w:r>
      <w:proofErr w:type="gramEnd"/>
      <w:r w:rsidRPr="00CF7D90">
        <w:t xml:space="preserve"> wpływu polityki na rozwój obszarów wiejskich, a także w zarządzanie nimi zarówno na szczeblu unijnym, jak i krajowym, aby zwalczać wykluczenie komunikacyjne i usprawniać dostępność terytorialną tych obszarów, dostęp do szerokopasmowego internetu i adekwatnych usług, zwłaszcza zdrowotnych i edukacyjnych, a także dywersyfikację gospodarki wiejskiej i rewitalizację obszarów wiejskich za sprawą zwiększenia atrakcyjności tych obszarów, a także zapewnienia tym społecznościom zrównoważonej przyszłości;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18.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działania w ramach AT2030 powinny odgrywać główną rolę w umowach o partnerstwie oraz w programach; zaznacza, że działania te powinny być bardziej stanowcze pod względem przydziału funduszy oraz potrzeby wspierania włączania AT2030 do polityki UE, z naciskiem na bardziej lokalne poziomy rządzenia; uważa, że w przyszłych wieloletnich ramach finansowych trzeba zapewnić AT2030 odpowiednie finansowanie i metodykę przydziału środków;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19.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zasadnicze znaczenie ma włączenie priorytetów i celów AT2030 do instrumentów legislacyjnych i programów funduszy polityki spójności, które powinny być dostosowane do specyfiki każdego z terytoriów; z zadowoleniem przyjmuje opracowane w ramach agendy działania pilotażowe i wzywa państwa członkowskie i Komisję do dalszego inwestowania w te działania, poprawy ich równowagi geograficznej i lepszej koordynacji z zasadami agendy;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20.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 xml:space="preserve"> potrzebę zaangażowania Parlamentu, w szczególności jego właściwej </w:t>
      </w:r>
      <w:r w:rsidRPr="00CF7D90">
        <w:lastRenderedPageBreak/>
        <w:t>Komisji Rozwoju Regionalnego, w działania pilotażowe, aby zapewnić ich zgodność z obecnymi priorytetami UE, oraz propagowania wyników działań pilotażowych i informowania o nich na szczeblu UE; należy je także zintegrować i skoordynować z inicjatywami takimi jak polityka spójności, w szczególności EFRR i Interreg;</w:t>
      </w:r>
    </w:p>
    <w:p w:rsidR="00602BC7" w:rsidRPr="00CF7D90" w:rsidRDefault="00602BC7" w:rsidP="00602BC7">
      <w:pPr>
        <w:pStyle w:val="NormalHanging12a"/>
      </w:pPr>
      <w:r w:rsidRPr="00CF7D90">
        <w:t>21.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do opracowania strategii ułatwiającej synergię między różnymi funduszami UE dla projektów realizowanych za pomocą narzędzi terytorialnych oraz do uproszczenia procedur administracyjnych w przypadku działań pilotażowych finansowanych z więcej niż jednego funduszu, tak aby zmniejszyć bariery administracyjne i ułatwić składanie wniosków dotyczących tych projektów;</w:t>
      </w:r>
    </w:p>
    <w:p w:rsidR="00602BC7" w:rsidRPr="00CF7D90" w:rsidRDefault="00602BC7" w:rsidP="00602BC7">
      <w:pPr>
        <w:pStyle w:val="NormalHanging12a"/>
      </w:pPr>
      <w:r w:rsidRPr="00CF7D90">
        <w:t>22.</w:t>
      </w:r>
      <w:r w:rsidRPr="00CF7D90">
        <w:tab/>
      </w:r>
      <w:proofErr w:type="gramStart"/>
      <w:r w:rsidRPr="00CF7D90">
        <w:t>uważa</w:t>
      </w:r>
      <w:proofErr w:type="gramEnd"/>
      <w:r w:rsidRPr="00CF7D90">
        <w:t>, że przedsiębiorstwa mogłyby odgrywać zasadniczą rolę w strategiach rozwoju terytorialnego; wzywa Komisję do wspierania współpracy między przedsiębiorstwami a władzami lokalnymi i regionalnymi w celu opracowania projektów rozwoju terytorialnego, które sprzyjałyby tworzeniu miejsc pracy i wzrostowi gospodarczemu;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23.</w:t>
      </w:r>
      <w:r w:rsidRPr="00CF7D90">
        <w:tab/>
      </w:r>
      <w:proofErr w:type="gramStart"/>
      <w:r w:rsidRPr="00CF7D90">
        <w:t>zwraca</w:t>
      </w:r>
      <w:proofErr w:type="gramEnd"/>
      <w:r w:rsidRPr="00CF7D90">
        <w:t xml:space="preserve"> uwagę na ogromny potencjał AT2030 oraz jej obecnych i przyszłych projektów pilotażowych w zakresie zaspokajania bardzo zróżnicowanych potrzeb obszarów pozamiejskich, w tym obszarów wiejskich, górskich, wysp i obszarów przybrzeżnych, obszarów oddalonych i słabo zaludnionych oraz wielu innych rodzajów obszarów, które charakteryzują się występowaniem cech miejskich i wiejskich; podkreśla w szczególności fakt, że obszary wiejskie często borykają się z wyzwaniami demograficznymi, niską gęstością zaludnienia i ograniczonym dostępem do usług świadczonych w interesie ogólnym oraz jakością tych usług, a jednocześnie nie zawsze są w stanie opracowywać i wdrażać innowacyjne rozwiązania; w związku z tym mogą bardzo skorzystać z wymiany najlepszych praktyk;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24.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 xml:space="preserve"> potrzebę szerszego informowania o działaniach i osiągnięciach projektów pilotażowych jako o przykładach wdrażania funduszy UE; popiera pomysł organizowania co dwa lata konferencji, aby przedstawić działania pilotażowe władzom lokalnym i regionalnym, a także odpowiednim podmiotom na szczeblu krajowym i unijnym; konferencję tę można by połączyć z innymi wydarzeniami organizowanymi np. w ramach paktu na rzecz obszarów wiejskich czy forum miast;</w:t>
      </w:r>
    </w:p>
    <w:p w:rsidR="00602BC7" w:rsidRPr="00CF7D90" w:rsidRDefault="00602BC7" w:rsidP="00602BC7">
      <w:pPr>
        <w:pStyle w:val="NormalHanging12a"/>
      </w:pPr>
      <w:r w:rsidRPr="00CF7D90">
        <w:t>25.</w:t>
      </w:r>
      <w:r w:rsidRPr="00CF7D90">
        <w:tab/>
      </w:r>
      <w:proofErr w:type="gramStart"/>
      <w:r w:rsidRPr="00CF7D90">
        <w:t>apeluje</w:t>
      </w:r>
      <w:proofErr w:type="gramEnd"/>
      <w:r w:rsidRPr="00CF7D90">
        <w:t>, aby państwa członkowskie opracowały własne agendy terytorialne zgodne z AT2030 jako podstawę programowania krajowych strategii terytorialnych, z uwzględnieniem specyfiki i skrajnie odmiennych potrzeb każdego regionu, i działając z zamiarem stworzenia zachęt, oraz w celu pobudzenia procesu decyzyjnego i kształtowania polityki terytorialnej i miejskiej; ponadto wzywa państwa członkowskie, aby umożliwiły stosowanie różnych strategii terytorialnych wszystkim regionom UE, w tym obszarom wiejskim, obszarom podlegającym przemianom przemysłowym, regionom, które cierpią na skutek poważnych i trwałych niekorzystnych warunków przyrodniczych lub demograficznych, takim jak regiony najbardziej wysunięte na północ i regiony o bardzo niskiej gęstości zaludnienia, wyspy, regiony transgraniczne i regiony górskie;</w:t>
      </w:r>
    </w:p>
    <w:p w:rsidR="00602BC7" w:rsidRPr="00CF7D90" w:rsidRDefault="00602BC7" w:rsidP="00602BC7">
      <w:pPr>
        <w:pStyle w:val="NormalHanging12a"/>
      </w:pPr>
      <w:r w:rsidRPr="00CF7D90">
        <w:t>26.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dobre wyniki struktur zarządzania mogą decydować o optymalnym zestawie priorytetów inwestycyjnych, które pomogą osiągnąć niezbędną wielopoziomową koordynację pionową i horyzontalną, aby opracować i zrealizować zintegrowane strategie rozwoju;</w:t>
      </w:r>
    </w:p>
    <w:p w:rsidR="00602BC7" w:rsidRPr="00CF7D90" w:rsidRDefault="00602BC7" w:rsidP="00602BC7">
      <w:pPr>
        <w:pStyle w:val="NormalHanging12a"/>
      </w:pPr>
      <w:r w:rsidRPr="00CF7D90">
        <w:lastRenderedPageBreak/>
        <w:t>27.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państwa członkowskie i Komisję, aby propagowały wdrażanie AT2030 wykraczające poza działania pilotażowe, co uczyni z tego instrumentu ramy odniesienia dla działań zawierające konkretne i dostosowane wytyczne dla terytoriów UE, które pozwolą im usprawnić funkcjonowanie; podkreśla możliwość powiązania finansowania regionalnego z realizacją priorytetów AT2030; wzywa także Komisję do opracowania wskaźników monitorowania łączących tę agendę z wykorzystaniem funduszy polityki spójności, w szczególności EFRR;</w:t>
      </w:r>
    </w:p>
    <w:p w:rsidR="00602BC7" w:rsidRPr="00CF7D90" w:rsidRDefault="00602BC7" w:rsidP="00602BC7">
      <w:pPr>
        <w:pStyle w:val="NormalHanging12a"/>
      </w:pPr>
      <w:r w:rsidRPr="00CF7D90">
        <w:t>28.</w:t>
      </w:r>
      <w:r w:rsidRPr="00CF7D90">
        <w:tab/>
      </w:r>
      <w:proofErr w:type="gramStart"/>
      <w:r w:rsidRPr="00CF7D90">
        <w:t>ponownie</w:t>
      </w:r>
      <w:proofErr w:type="gramEnd"/>
      <w:r w:rsidRPr="00CF7D90">
        <w:t xml:space="preserve"> podkreśla, że trzeba pilnie wzmocnić politykę UE w zakresie łagodzenia zmiany klimatu i przystosowania się do niej, również w świetle coraz częstszego występowania ekstremalnych zdarzeń pogodowych w ostatnich latach i miesiącach w UE; w związku z tym wzywa władze publiczne do dalszego przeciwdziałania zmianie klimatu; podkreśla w tym kontekście, że trzeba zwiększyć poziom ambicji i jakość projektów pilotażowych dotyczących celu „bardziej ekologicznej Europy” i jego najważniejszego priorytetu „zdrowego środowiska”; podkreśla, że rozwój terytorialny ma zasadnicze znaczenie dla budowy odpornych regionów i zapewnienia zrównoważonego wdrażania finansowania w ramach polityki spójności;</w:t>
      </w:r>
    </w:p>
    <w:p w:rsidR="00602BC7" w:rsidRPr="00CF7D90" w:rsidRDefault="00602BC7" w:rsidP="00602BC7">
      <w:pPr>
        <w:pStyle w:val="NormalHanging12a"/>
        <w:ind w:hanging="425"/>
      </w:pPr>
      <w:r w:rsidRPr="00CF7D90">
        <w:t>29.</w:t>
      </w:r>
      <w:r w:rsidRPr="00CF7D90">
        <w:tab/>
      </w:r>
      <w:proofErr w:type="gramStart"/>
      <w:r w:rsidRPr="00CF7D90">
        <w:t>z</w:t>
      </w:r>
      <w:proofErr w:type="gramEnd"/>
      <w:r w:rsidRPr="00CF7D90">
        <w:t xml:space="preserve"> zadowoleniem przyjmuje propozycję Europejskiego Komitetu Ekonomiczno-Społecznego, by promować europejską kartę praw i obowiązków obszarów wiejskich i miejskich; jest również przekonany, że potrzebna jest intensywniejsza współpraca z obszarami miejskimi w celu dopilnowania, by żaden obszar ani obywatel nie został pominięty w sprawiedliwej transformacji w kierunku neutralnej dla klimatu, zrównoważonej i zamożnej Unii Europejskiej, oraz że należy dążyć do zaangażowania obszarów wiejskich i miejskich na rzecz sprawiedliwego podejścia oraz eksponować wartość dodaną współpracy organizacji wiejskich i miejskich;</w:t>
      </w:r>
    </w:p>
    <w:p w:rsidR="00602BC7" w:rsidRPr="00CF7D90" w:rsidRDefault="00602BC7" w:rsidP="00602BC7">
      <w:pPr>
        <w:pStyle w:val="NormalHanging12a"/>
      </w:pPr>
      <w:r w:rsidRPr="00CF7D90">
        <w:t>30.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>, że trzeba zadbać o bardziej zrównoważony rozwój regionów UE poprzez zapewnienie lepszej dystrybucji funduszy UE, w tym wsparcia z wspólnej polityki rolnej w państwach członkowskich i między nimi; podkreśla, że osiągnięcie zrównoważonego i długoterminowego rozwoju terytorialnego jest niemożliwe, jeśli wsparcie jest przyznawane różnym regionom w oparciu o dane historyczne;</w:t>
      </w:r>
    </w:p>
    <w:p w:rsidR="00602BC7" w:rsidRPr="00CF7D90" w:rsidRDefault="00602BC7" w:rsidP="00602BC7">
      <w:pPr>
        <w:pStyle w:val="NormalHanging12a"/>
      </w:pPr>
      <w:r w:rsidRPr="00CF7D90">
        <w:t>31.</w:t>
      </w:r>
      <w:r w:rsidRPr="00CF7D90">
        <w:tab/>
      </w:r>
      <w:proofErr w:type="gramStart"/>
      <w:r w:rsidRPr="00CF7D90">
        <w:t>zauważa</w:t>
      </w:r>
      <w:proofErr w:type="gramEnd"/>
      <w:r w:rsidRPr="00CF7D90">
        <w:t>, że coraz więcej osób decyduje się mieszkać w miastach i pracować na obszarach wiejskich; wzywa Komisję, by opracowała programy, które uwzględniają wszystkie terytoria, w tym obszary metropolitalne, miejskie i funkcjonalne; zachęca Komisję, by zaprojektowała inicjatywę LEADER w taki sposób, aby mogły z niej korzystać małe miasta;</w:t>
      </w:r>
    </w:p>
    <w:p w:rsidR="00602BC7" w:rsidRPr="00CF7D90" w:rsidRDefault="00602BC7" w:rsidP="00602BC7">
      <w:pPr>
        <w:pStyle w:val="NormalHanging12a"/>
      </w:pPr>
      <w:r w:rsidRPr="00CF7D90">
        <w:t>32.</w:t>
      </w:r>
      <w:r w:rsidRPr="00CF7D90">
        <w:tab/>
      </w:r>
      <w:proofErr w:type="gramStart"/>
      <w:r w:rsidRPr="00CF7D90">
        <w:t>apeluje</w:t>
      </w:r>
      <w:proofErr w:type="gramEnd"/>
      <w:r w:rsidRPr="00CF7D90">
        <w:t>, aby Komisja uwzględniła doświadczenia zdobyte podczas wdrażania AT2030 w przyszłej polityce spójności i zaleceniach grupy wysokiego szczebla ds. przyszłości polityki spójności w celu skuteczniejszego wyeliminowania nierównowagi terytorialnej i niedopasowania funkcjonalnego; zwraca uwagę na możliwości, jakie AT2030 stwarza pod względem oceny wpływu polityki spójności w odniesieniu do celu spójności terytorialnej;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33.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Komisję i państwa członkowskie, aby przed końcem 2024 r. przeprowadziły spójny przegląd AT2030, w tym gruntowny przegląd jej systemu zarządzania, postępów poczynionych w realizacji agendy oraz adekwatności priorytetów przewidzianych w AT2030;</w:t>
      </w:r>
    </w:p>
    <w:p w:rsidR="00602BC7" w:rsidRPr="00CF7D90" w:rsidRDefault="00602BC7" w:rsidP="00602BC7">
      <w:pPr>
        <w:pStyle w:val="NormalHanging12a"/>
      </w:pPr>
      <w:r w:rsidRPr="00CF7D90">
        <w:lastRenderedPageBreak/>
        <w:t>34.</w:t>
      </w:r>
      <w:r w:rsidRPr="00CF7D90">
        <w:tab/>
      </w:r>
      <w:proofErr w:type="gramStart"/>
      <w:r w:rsidRPr="00CF7D90">
        <w:t>z</w:t>
      </w:r>
      <w:proofErr w:type="gramEnd"/>
      <w:r w:rsidRPr="00CF7D90">
        <w:t xml:space="preserve"> zadowoleniem przyjmuje wiążący charakter metodyki opisanej w Podręczniku strategii rozwoju terytorialnego i lokalnego, nadającej strategiom terytorialnym takie samo znaczenie jak strategiom miejskim;</w:t>
      </w:r>
    </w:p>
    <w:p w:rsidR="00602BC7" w:rsidRPr="00CF7D90" w:rsidRDefault="00602BC7" w:rsidP="00602BC7">
      <w:pPr>
        <w:pStyle w:val="NormalHanging12a"/>
      </w:pPr>
      <w:r w:rsidRPr="00CF7D90">
        <w:t>35.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do stworzenia jednolitych ram strategii mających na celu zarówno rozwój miejski, jak i szerszy rozwój terytorialny, w których to ramach wymogi terytorialne traktowane byłyby jako całość; podkreśla, że takie rozwiązanie mogłoby znacznie ograniczyć biurokratyczne bariery w pozyskiwaniu funduszy;</w:t>
      </w:r>
    </w:p>
    <w:p w:rsidR="00602BC7" w:rsidRPr="00CF7D90" w:rsidRDefault="00602BC7" w:rsidP="00602BC7">
      <w:pPr>
        <w:pStyle w:val="NormalHanging12a"/>
      </w:pPr>
      <w:r w:rsidRPr="00CF7D90">
        <w:t>36.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Komisję do zapewnienia właściwego wdrażania funduszy i instrumentów terytorialnych, przy czym powinna wspierać skuteczne zarządzanie bez nadmiernej biurokracji; podkreśla potrzebę uproszczenia dostępu do funduszy poprzez stworzenie „punktów kompleksowej obsługi” dla potencjalnych beneficjentów funduszy spójności UE oraz projektów ZIT lub RLKS, w których w szczególności będą oni mogli uzyskać dostęp do informacji na temat rodzaju finansowania, wymogów administracyjnych i kwalifikowalności;</w:t>
      </w:r>
    </w:p>
    <w:p w:rsidR="00602BC7" w:rsidRPr="00CF7D90" w:rsidRDefault="00602BC7" w:rsidP="00602BC7">
      <w:pPr>
        <w:pStyle w:val="NormalHanging12a"/>
      </w:pPr>
      <w:r w:rsidRPr="00CF7D90">
        <w:t>37.</w:t>
      </w:r>
      <w:r w:rsidRPr="00CF7D90">
        <w:tab/>
      </w:r>
      <w:proofErr w:type="gramStart"/>
      <w:r w:rsidRPr="00CF7D90">
        <w:t>uznaje</w:t>
      </w:r>
      <w:proofErr w:type="gramEnd"/>
      <w:r w:rsidRPr="00CF7D90">
        <w:t xml:space="preserve"> rolę Rady Europejskiej w rozwijaniu działań terytorialnych państw członkowskich; zwraca się do państw członkowskich o zapewnienie wystarczających zasobów ludzkich zarówno w instytucjach zarządzających, jak i organach wdrażających odpowiedzialnych za ZIT lub RLKS, aby zapewnić lokalnym grupom działania i partnerom ZIT specjalne wsparcie techniczne i usługi doradcze oraz umożliwić przestrzeganie przepisów;</w:t>
      </w:r>
    </w:p>
    <w:p w:rsidR="00602BC7" w:rsidRPr="00CF7D90" w:rsidRDefault="00602BC7" w:rsidP="00602BC7">
      <w:pPr>
        <w:pStyle w:val="NormalHanging12a"/>
      </w:pPr>
      <w:r w:rsidRPr="00CF7D90">
        <w:t>38.</w:t>
      </w:r>
      <w:r w:rsidRPr="00CF7D90">
        <w:tab/>
      </w:r>
      <w:proofErr w:type="gramStart"/>
      <w:r w:rsidRPr="00CF7D90">
        <w:t>apeluje</w:t>
      </w:r>
      <w:proofErr w:type="gramEnd"/>
      <w:r w:rsidRPr="00CF7D90">
        <w:t>, aby Komisja zwiększyła zaangażowanie w politykę terytorialną za pośrednictwem polityki spójności oraz wzmocniła zarządzanie regionami w celu propagowania spójności i mikrospójności w oparciu o specyfikę każdego regionu, dzięki usprawnieniu procesów decyzyjnych na szczeblu lokalnym i regionalnym oraz zastosowaniu istniejących narzędzi do usprawnienia zarządzania instrumentami ustawodawczymi; wzywa ponadto Komisję i państwa członkowskie do dalszego wspierania funduszy polityki spójności w celu zwiększenia odporności rozwoju terytorialnego, w szczególności w celu złagodzenia skutków nieoczekiwanych zdarzeń, ochrony regionów przed ich skutkami oraz przestrzegania zasady „nie szkodzić spójności”;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39.</w:t>
      </w:r>
      <w:r w:rsidRPr="00CF7D90">
        <w:tab/>
      </w:r>
      <w:proofErr w:type="gramStart"/>
      <w:r w:rsidRPr="00CF7D90">
        <w:t>ma</w:t>
      </w:r>
      <w:proofErr w:type="gramEnd"/>
      <w:r w:rsidRPr="00CF7D90">
        <w:t xml:space="preserve"> świadomość wpływu decyzji w ramach europejskiego semestru na spójność terytorialną, a co za tym idzie, na możliwości rozwoju programów terytorialnych; ponownie podkreśla w związku z tym potrzebę wzmocnienia wymiaru terytorialnego w europejskim semestrze i lepszego powiązania polityki spójności z europejskimi ramami zarządzania gospodarczego, przy udziale władz lokalnych i regionalnych na wszystkich etapach procedur związanych z europejskim semestrem i jego zaleceniami dla poszczególnych krajów; 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40.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Europejski Komitet Regionów i Europejski Komitet Ekonomiczno-Społeczny do aktywniejszego udziału w działaniach następczych i dalszym rozwoju AT2030; wzywa Komisję do zbadania zdolności każdego regionu do łagodzenia przyszłych globalnych wyzwań, które mają wpływ na spójność terytorialną; zauważa, że zapewniłoby to narzędzie szybkiego reagowania, które umożliwiłoby elastyczny przydział lub zwiększanie zasobów w zależności od rzeczywistej sytuacji w regionach UE w danym momencie;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lastRenderedPageBreak/>
        <w:t>41.</w:t>
      </w:r>
      <w:r w:rsidRPr="00CF7D90">
        <w:tab/>
      </w:r>
      <w:proofErr w:type="gramStart"/>
      <w:r w:rsidRPr="00CF7D90">
        <w:t>podkreśla</w:t>
      </w:r>
      <w:proofErr w:type="gramEnd"/>
      <w:r w:rsidRPr="00CF7D90">
        <w:t xml:space="preserve"> znaczenie narzędzi terytorialnych, jeśli chodzi o większe i sprzyjające włączeniu społecznego zaangażowanie społeczeństwa obywatelskiego oraz władz lokalnych i regionalnych; wzywa Komisję, aby zbadała nowe sposoby dalszego zwiększania świadomości na temat zasadności tych narzędzi oraz zwiększenia wykorzystania ZIT i RLKS; jednym ze sposobów mogłoby być przeznaczanie określonej wartości procentowej na politykę spójności po 2027 r.;</w:t>
      </w:r>
    </w:p>
    <w:p w:rsidR="00602BC7" w:rsidRPr="00CF7D90" w:rsidRDefault="00602BC7" w:rsidP="00602BC7">
      <w:pPr>
        <w:pStyle w:val="NormalHanging12a"/>
        <w:rPr>
          <w:szCs w:val="24"/>
        </w:rPr>
      </w:pPr>
      <w:r w:rsidRPr="00CF7D90">
        <w:t>42.</w:t>
      </w:r>
      <w:r w:rsidRPr="00CF7D90">
        <w:tab/>
      </w:r>
      <w:proofErr w:type="gramStart"/>
      <w:r w:rsidRPr="00CF7D90">
        <w:t>wzywa</w:t>
      </w:r>
      <w:proofErr w:type="gramEnd"/>
      <w:r w:rsidRPr="00CF7D90">
        <w:t xml:space="preserve"> Europejski Bank Inwestycyjny do zwiększenia środków finansowych na fundusze polityki spójności, które mają zapewnić równowagę i właściwe funkcjonowanie regionów; </w:t>
      </w:r>
    </w:p>
    <w:p w:rsidR="00602BC7" w:rsidRPr="00CF7D90" w:rsidRDefault="00602BC7" w:rsidP="00602BC7">
      <w:pPr>
        <w:pStyle w:val="NormalHanging12a"/>
      </w:pPr>
      <w:r w:rsidRPr="00CF7D90">
        <w:t>43.</w:t>
      </w:r>
      <w:r w:rsidRPr="00CF7D90">
        <w:tab/>
      </w:r>
      <w:proofErr w:type="gramStart"/>
      <w:r w:rsidRPr="00CF7D90">
        <w:t>zobowiązuje</w:t>
      </w:r>
      <w:proofErr w:type="gramEnd"/>
      <w:r w:rsidRPr="00CF7D90">
        <w:t xml:space="preserve"> swoją przewodniczącą do przekazania niniejszej rezolucji Radzie i Komisji, a także parlamentom narodowym i regionalnym państw członkowskich. </w:t>
      </w:r>
    </w:p>
    <w:p w:rsidR="00E365E1" w:rsidRPr="00CF7D90" w:rsidRDefault="00E365E1" w:rsidP="00E97FCD"/>
    <w:sectPr w:rsidR="00E365E1" w:rsidRPr="00CF7D90" w:rsidSect="00CF7D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FCD" w:rsidRPr="00CF7D90" w:rsidRDefault="00E97FCD">
      <w:r w:rsidRPr="00CF7D90">
        <w:separator/>
      </w:r>
    </w:p>
  </w:endnote>
  <w:endnote w:type="continuationSeparator" w:id="0">
    <w:p w:rsidR="00E97FCD" w:rsidRPr="00CF7D90" w:rsidRDefault="00E97FCD">
      <w:r w:rsidRPr="00CF7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D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D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D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FCD" w:rsidRPr="00CF7D90" w:rsidRDefault="00E97FCD">
      <w:r w:rsidRPr="00CF7D90">
        <w:separator/>
      </w:r>
    </w:p>
  </w:footnote>
  <w:footnote w:type="continuationSeparator" w:id="0">
    <w:p w:rsidR="00E97FCD" w:rsidRPr="00CF7D90" w:rsidRDefault="00E97FCD">
      <w:r w:rsidRPr="00CF7D90">
        <w:continuationSeparator/>
      </w:r>
    </w:p>
  </w:footnote>
  <w:footnote w:id="1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663CF7">
        <w:rPr>
          <w:sz w:val="24"/>
          <w:lang w:val="pl-PL"/>
        </w:rPr>
        <w:t>Dz.U.</w:t>
      </w:r>
      <w:r w:rsidRPr="00CF7D90">
        <w:rPr>
          <w:sz w:val="24"/>
          <w:lang w:val="pl-PL"/>
        </w:rPr>
        <w:t xml:space="preserve"> L 231 z 30.6.2021,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159.</w:t>
      </w:r>
    </w:p>
  </w:footnote>
  <w:footnote w:id="2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663CF7">
        <w:rPr>
          <w:sz w:val="24"/>
          <w:lang w:val="pl-PL"/>
        </w:rPr>
        <w:t>Dz.U.</w:t>
      </w:r>
      <w:r w:rsidRPr="00CF7D90">
        <w:rPr>
          <w:sz w:val="24"/>
          <w:lang w:val="pl-PL"/>
        </w:rPr>
        <w:t xml:space="preserve"> L 231 z 30.6.2021,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60.</w:t>
      </w:r>
    </w:p>
  </w:footnote>
  <w:footnote w:id="3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663CF7">
        <w:rPr>
          <w:sz w:val="24"/>
          <w:lang w:val="pl-PL"/>
        </w:rPr>
        <w:t>Dz.U.</w:t>
      </w:r>
      <w:r w:rsidRPr="00CF7D90">
        <w:rPr>
          <w:sz w:val="24"/>
          <w:lang w:val="pl-PL"/>
        </w:rPr>
        <w:t xml:space="preserve"> L 231 z 30.6.2021,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94.</w:t>
      </w:r>
    </w:p>
  </w:footnote>
  <w:footnote w:id="4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L 231 z 30.6.2021,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1.</w:t>
      </w:r>
    </w:p>
  </w:footnote>
  <w:footnote w:id="5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L 435 z 6.12.2021,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1.</w:t>
      </w:r>
    </w:p>
  </w:footnote>
  <w:footnote w:id="6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L 437 z 28.12.2020,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1.</w:t>
      </w:r>
    </w:p>
  </w:footnote>
  <w:footnote w:id="7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L 347 z 20.12.2013,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320.</w:t>
      </w:r>
    </w:p>
  </w:footnote>
  <w:footnote w:id="8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125 z 5.4.2023,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56.</w:t>
      </w:r>
    </w:p>
  </w:footnote>
  <w:footnote w:id="9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177 z 17.5.2023,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35.</w:t>
      </w:r>
    </w:p>
  </w:footnote>
  <w:footnote w:id="10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125 z 5.4.2023,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100.</w:t>
      </w:r>
    </w:p>
  </w:footnote>
  <w:footnote w:id="11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342 z 6.9.2022,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2.</w:t>
      </w:r>
    </w:p>
  </w:footnote>
  <w:footnote w:id="12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15 z 12.1.2022,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125.</w:t>
      </w:r>
    </w:p>
  </w:footnote>
  <w:footnote w:id="13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494 z 8.12.2021,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26.</w:t>
      </w:r>
    </w:p>
  </w:footnote>
  <w:footnote w:id="14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szCs w:val="16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hyperlink r:id="rId1" w:history="1">
        <w:r w:rsidRPr="00CF7D90">
          <w:rPr>
            <w:rStyle w:val="Hyperlink"/>
            <w:sz w:val="24"/>
            <w:lang w:val="pl-PL"/>
          </w:rPr>
          <w:t>Dz.U.</w:t>
        </w:r>
      </w:hyperlink>
      <w:r w:rsidRPr="00CF7D90">
        <w:rPr>
          <w:sz w:val="24"/>
          <w:lang w:val="pl-PL"/>
        </w:rPr>
        <w:t xml:space="preserve"> C 162 z 10.5.2019,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31.</w:t>
      </w:r>
    </w:p>
  </w:footnote>
  <w:footnote w:id="15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Dz.U. C 429 z 11.12.2020,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145.</w:t>
      </w:r>
    </w:p>
  </w:footnote>
  <w:footnote w:id="16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>Pogłębiona analiza „Territorial Agenda 2030 – Implementation Review”, Parlament Europejski, Dyrekcja Generalna ds. Polityki Wewnętrznej, Departament tematyczny B ds. polityki strukturalnej i polityki spójności, 7 czerwca 2023 r.</w:t>
      </w:r>
    </w:p>
  </w:footnote>
  <w:footnote w:id="17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u w:val="single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>Komisja Europejska, „</w:t>
      </w:r>
      <w:hyperlink r:id="rId2" w:history="1">
        <w:r w:rsidRPr="00CF7D90">
          <w:rPr>
            <w:rStyle w:val="Hyperlink"/>
            <w:sz w:val="24"/>
            <w:lang w:val="pl-PL"/>
          </w:rPr>
          <w:t>Zintegrowane strategie terytorialne i miejskie: jaką wartość wnoszą europejskie fundusze strukturalne i inwestycyjne na lata 2014–2020?</w:t>
        </w:r>
      </w:hyperlink>
      <w:r w:rsidRPr="00CF7D90">
        <w:rPr>
          <w:sz w:val="24"/>
          <w:lang w:val="pl-PL"/>
        </w:rPr>
        <w:t xml:space="preserve">”, </w:t>
      </w:r>
      <w:proofErr w:type="gramStart"/>
      <w:r w:rsidRPr="00CF7D90">
        <w:rPr>
          <w:sz w:val="24"/>
          <w:lang w:val="pl-PL"/>
        </w:rPr>
        <w:t>sprawozdanie</w:t>
      </w:r>
      <w:proofErr w:type="gramEnd"/>
      <w:r w:rsidRPr="00CF7D90">
        <w:rPr>
          <w:sz w:val="24"/>
          <w:lang w:val="pl-PL"/>
        </w:rPr>
        <w:t xml:space="preserve"> końcowe, grudzień 2017.</w:t>
      </w:r>
      <w:r w:rsidRPr="00CF7D90">
        <w:rPr>
          <w:sz w:val="24"/>
          <w:u w:val="single"/>
          <w:lang w:val="pl-PL"/>
        </w:rPr>
        <w:t xml:space="preserve"> </w:t>
      </w:r>
    </w:p>
  </w:footnote>
  <w:footnote w:id="18">
    <w:p w:rsidR="00602BC7" w:rsidRPr="00CF7D90" w:rsidRDefault="00602BC7" w:rsidP="00CF7D90">
      <w:pPr>
        <w:pStyle w:val="FootnoteText"/>
        <w:ind w:left="567" w:hanging="567"/>
        <w:rPr>
          <w:sz w:val="24"/>
          <w:u w:val="single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563A99">
        <w:t xml:space="preserve"> </w:t>
      </w:r>
      <w:r w:rsidR="00CF7D90" w:rsidRPr="00563A99">
        <w:tab/>
      </w:r>
      <w:r w:rsidRPr="00CF7D90">
        <w:rPr>
          <w:sz w:val="24"/>
          <w:u w:val="single"/>
          <w:lang w:val="pl-PL"/>
        </w:rPr>
        <w:t>Komisja Europejska</w:t>
      </w:r>
      <w:r w:rsidRPr="00CF7D90">
        <w:rPr>
          <w:sz w:val="24"/>
          <w:lang w:val="pl-PL"/>
        </w:rPr>
        <w:t>, „</w:t>
      </w:r>
      <w:hyperlink r:id="rId3" w:history="1">
        <w:r w:rsidRPr="00CF7D90">
          <w:rPr>
            <w:rStyle w:val="Hyperlink"/>
            <w:sz w:val="24"/>
            <w:lang w:val="pl-PL"/>
          </w:rPr>
          <w:t>STRAT-Board</w:t>
        </w:r>
      </w:hyperlink>
      <w:r w:rsidRPr="00CF7D90">
        <w:rPr>
          <w:sz w:val="24"/>
          <w:lang w:val="pl-PL"/>
        </w:rPr>
        <w:t>”.</w:t>
      </w:r>
    </w:p>
  </w:footnote>
  <w:footnote w:id="19"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u w:val="single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u w:val="single"/>
          <w:lang w:val="pl-PL"/>
        </w:rPr>
        <w:t xml:space="preserve"> </w:t>
      </w:r>
      <w:r w:rsidR="00CF7D90" w:rsidRPr="00563A99">
        <w:tab/>
      </w:r>
      <w:r w:rsidRPr="00CF7D90">
        <w:rPr>
          <w:sz w:val="24"/>
          <w:u w:val="single"/>
          <w:lang w:val="pl-PL"/>
        </w:rPr>
        <w:t>Komisja Europejska</w:t>
      </w:r>
      <w:r w:rsidRPr="00CF7D90">
        <w:rPr>
          <w:sz w:val="24"/>
          <w:lang w:val="pl-PL"/>
        </w:rPr>
        <w:t xml:space="preserve">, </w:t>
      </w:r>
      <w:hyperlink r:id="rId4" w:anchor="the-chapter" w:history="1">
        <w:r w:rsidRPr="00CF7D90">
          <w:rPr>
            <w:rStyle w:val="Hyperlink"/>
            <w:sz w:val="24"/>
            <w:lang w:val="pl-PL"/>
          </w:rPr>
          <w:t>„Podręcznik strategii rozwoju terytorialnego i lokalnego</w:t>
        </w:r>
      </w:hyperlink>
      <w:r w:rsidRPr="00CF7D90">
        <w:rPr>
          <w:sz w:val="24"/>
          <w:lang w:val="pl-PL"/>
        </w:rPr>
        <w:t>”.</w:t>
      </w:r>
    </w:p>
    <w:p w:rsidR="00602BC7" w:rsidRPr="00CF7D90" w:rsidRDefault="00602BC7" w:rsidP="00CF7D90">
      <w:pPr>
        <w:pStyle w:val="FootnoteText1"/>
        <w:ind w:left="567" w:hanging="567"/>
        <w:jc w:val="left"/>
        <w:rPr>
          <w:sz w:val="24"/>
          <w:u w:val="single"/>
          <w:vertAlign w:val="superscript"/>
          <w:lang w:val="pl-PL"/>
        </w:rPr>
      </w:pPr>
      <w:r w:rsidRPr="00CF7D90">
        <w:rPr>
          <w:rStyle w:val="FootnoteReference"/>
          <w:sz w:val="24"/>
          <w:lang w:val="pl-PL"/>
        </w:rPr>
        <w:t>5</w:t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u w:val="single"/>
          <w:lang w:val="pl-PL"/>
        </w:rPr>
        <w:t>Komisja Europejska, „</w:t>
      </w:r>
      <w:hyperlink r:id="rId5" w:history="1">
        <w:r w:rsidRPr="00CF7D90">
          <w:rPr>
            <w:rStyle w:val="Hyperlink"/>
            <w:sz w:val="24"/>
            <w:lang w:val="pl-PL"/>
          </w:rPr>
          <w:t>Podręcznik strategii zrównoważonego rozwoju obszarów miejskich</w:t>
        </w:r>
      </w:hyperlink>
      <w:r w:rsidRPr="00CF7D90">
        <w:rPr>
          <w:sz w:val="24"/>
          <w:u w:val="single"/>
          <w:lang w:val="pl-PL"/>
        </w:rPr>
        <w:t>”</w:t>
      </w:r>
      <w:r w:rsidRPr="00CF7D90">
        <w:rPr>
          <w:sz w:val="24"/>
          <w:lang w:val="pl-PL"/>
        </w:rPr>
        <w:t>.</w:t>
      </w:r>
    </w:p>
    <w:p w:rsidR="00602BC7" w:rsidRPr="00CF7D90" w:rsidRDefault="00CF7D90" w:rsidP="00CF7D90">
      <w:pPr>
        <w:pStyle w:val="FootnoteText1"/>
        <w:ind w:left="567" w:hanging="567"/>
        <w:jc w:val="left"/>
        <w:rPr>
          <w:sz w:val="24"/>
          <w:vertAlign w:val="superscript"/>
          <w:lang w:val="pl-PL"/>
        </w:rPr>
      </w:pPr>
      <w:r w:rsidRPr="00CF7D90">
        <w:rPr>
          <w:sz w:val="24"/>
          <w:lang w:val="pl-PL"/>
        </w:rPr>
        <w:t xml:space="preserve"> </w:t>
      </w:r>
      <w:r w:rsidRPr="00CF7D90">
        <w:rPr>
          <w:sz w:val="24"/>
          <w:lang w:val="pl-PL"/>
        </w:rPr>
        <w:tab/>
      </w:r>
    </w:p>
  </w:footnote>
  <w:footnote w:id="20">
    <w:p w:rsidR="00602BC7" w:rsidRPr="00CF7D90" w:rsidRDefault="00CF7D90" w:rsidP="00CF7D90">
      <w:pPr>
        <w:pStyle w:val="FootnoteText1"/>
        <w:ind w:left="567" w:hanging="567"/>
        <w:jc w:val="left"/>
        <w:rPr>
          <w:sz w:val="24"/>
          <w:lang w:val="pl-PL"/>
        </w:rPr>
      </w:pPr>
      <w:r w:rsidRPr="00CF7D90">
        <w:rPr>
          <w:sz w:val="24"/>
          <w:lang w:val="pl-PL"/>
        </w:rPr>
        <w:t xml:space="preserve"> </w:t>
      </w:r>
      <w:r w:rsidRPr="00CF7D90">
        <w:rPr>
          <w:sz w:val="24"/>
          <w:lang w:val="pl-PL"/>
        </w:rPr>
        <w:tab/>
      </w:r>
      <w:bookmarkStart w:id="8" w:name="_GoBack"/>
      <w:bookmarkEnd w:id="8"/>
    </w:p>
  </w:footnote>
  <w:footnote w:id="21">
    <w:p w:rsidR="00602BC7" w:rsidRPr="00CF7D90" w:rsidRDefault="00602BC7" w:rsidP="00CF7D90">
      <w:pPr>
        <w:pStyle w:val="FootnoteText"/>
        <w:ind w:left="567" w:hanging="567"/>
        <w:rPr>
          <w:sz w:val="24"/>
          <w:lang w:val="pl-PL"/>
        </w:rPr>
      </w:pPr>
      <w:r w:rsidRPr="00CF7D90">
        <w:rPr>
          <w:rStyle w:val="FootnoteReference"/>
          <w:sz w:val="24"/>
          <w:lang w:val="pl-PL"/>
        </w:rPr>
        <w:footnoteRef/>
      </w:r>
      <w:r w:rsidR="00CF7D90" w:rsidRPr="00CF7D90">
        <w:rPr>
          <w:sz w:val="24"/>
          <w:lang w:val="pl-PL"/>
        </w:rPr>
        <w:t xml:space="preserve"> </w:t>
      </w:r>
      <w:r w:rsidR="00CF7D90" w:rsidRPr="00CF7D90">
        <w:rPr>
          <w:sz w:val="24"/>
          <w:lang w:val="pl-PL"/>
        </w:rPr>
        <w:tab/>
      </w:r>
      <w:r w:rsidRPr="00CF7D90">
        <w:rPr>
          <w:sz w:val="24"/>
          <w:lang w:val="pl-PL"/>
        </w:rPr>
        <w:t xml:space="preserve">Rozporządzenie Parlamentu Europejskiego i Rady (UE) nr 1301/2013 z dnia 17 grudnia 2013 r. w sprawie Europejskiego Funduszu Rozwoju Regionalnego i przepisów szczególnych dotyczących celu „Inwestycje na rzecz wzrostu i zatrudnienia” oraz w sprawie uchylenia rozporządzenia (WE) nr 1080/2006, Dz.U. L 347 z 20.12.2013, </w:t>
      </w:r>
      <w:proofErr w:type="gramStart"/>
      <w:r w:rsidRPr="00CF7D90">
        <w:rPr>
          <w:sz w:val="24"/>
          <w:lang w:val="pl-PL"/>
        </w:rPr>
        <w:t>s</w:t>
      </w:r>
      <w:proofErr w:type="gramEnd"/>
      <w:r w:rsidRPr="00CF7D90">
        <w:rPr>
          <w:sz w:val="24"/>
          <w:lang w:val="pl-PL"/>
        </w:rPr>
        <w:t>. 289.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D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D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7D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0/2023"/>
    <w:docVar w:name="dvlangue" w:val="PL"/>
    <w:docVar w:name="dvnumam" w:val="0"/>
    <w:docVar w:name="dvpe" w:val="750.084"/>
    <w:docVar w:name="dvrapporteur" w:val="Sprawozdawca: "/>
    <w:docVar w:name="dvtitre" w:val="Rezolucja Parlamentu Europejskiego z dnia  2024 r. w sprawie realizacji rozwoju terytorialnego (rozporządzenie w sprawie wspólnych przepisów, tytuł III rozdział II) i jego stosowania w Agendzie Terytorialnej Unii Europejskiej 2030(2023/2048(INI))"/>
  </w:docVars>
  <w:rsids>
    <w:rsidRoot w:val="00E97F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A99"/>
    <w:rsid w:val="005C2568"/>
    <w:rsid w:val="00602BC7"/>
    <w:rsid w:val="006037C0"/>
    <w:rsid w:val="006631B6"/>
    <w:rsid w:val="00663CF7"/>
    <w:rsid w:val="00680577"/>
    <w:rsid w:val="006F74FA"/>
    <w:rsid w:val="00731ADD"/>
    <w:rsid w:val="00734777"/>
    <w:rsid w:val="00747932"/>
    <w:rsid w:val="00751A4A"/>
    <w:rsid w:val="00756632"/>
    <w:rsid w:val="00762C74"/>
    <w:rsid w:val="007757B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D90"/>
    <w:rsid w:val="00D058B8"/>
    <w:rsid w:val="00D56C11"/>
    <w:rsid w:val="00D834A0"/>
    <w:rsid w:val="00D872DF"/>
    <w:rsid w:val="00D91E21"/>
    <w:rsid w:val="00DA7FCD"/>
    <w:rsid w:val="00E365E1"/>
    <w:rsid w:val="00E820A4"/>
    <w:rsid w:val="00E97FCD"/>
    <w:rsid w:val="00EB006A"/>
    <w:rsid w:val="00EB4772"/>
    <w:rsid w:val="00ED169E"/>
    <w:rsid w:val="00ED4235"/>
    <w:rsid w:val="00F04346"/>
    <w:rsid w:val="00F075DC"/>
    <w:rsid w:val="00F149E9"/>
    <w:rsid w:val="00F27E3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81F4C"/>
  <w15:chartTrackingRefBased/>
  <w15:docId w15:val="{DAC4B9F9-582A-438C-9234-A19DCEF9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02B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602BC7"/>
    <w:rPr>
      <w:b/>
    </w:rPr>
  </w:style>
  <w:style w:type="paragraph" w:customStyle="1" w:styleId="NormalHanging12a">
    <w:name w:val="NormalHanging12a"/>
    <w:basedOn w:val="Normal"/>
    <w:link w:val="NormalHanging12aChar"/>
    <w:rsid w:val="00602BC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02B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2BC7"/>
    <w:rPr>
      <w:sz w:val="24"/>
      <w:lang w:val="pl-PL"/>
    </w:rPr>
  </w:style>
  <w:style w:type="paragraph" w:customStyle="1" w:styleId="EPFooter">
    <w:name w:val="EPFooter"/>
    <w:basedOn w:val="Normal"/>
    <w:rsid w:val="00602B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602BC7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semiHidden/>
    <w:rsid w:val="00602BC7"/>
    <w:pPr>
      <w:widowControl/>
      <w:jc w:val="both"/>
    </w:pPr>
    <w:rPr>
      <w:sz w:val="20"/>
      <w:lang w:val="en-GB"/>
    </w:rPr>
  </w:style>
  <w:style w:type="character" w:customStyle="1" w:styleId="FootnoteTextChar1">
    <w:name w:val="Footnote Text Char1"/>
    <w:basedOn w:val="DefaultParagraphFont"/>
    <w:locked/>
    <w:rsid w:val="00602BC7"/>
    <w:rPr>
      <w:lang w:val="pl-PL"/>
    </w:rPr>
  </w:style>
  <w:style w:type="character" w:customStyle="1" w:styleId="NormalHanging12aChar">
    <w:name w:val="NormalHanging12a Char"/>
    <w:basedOn w:val="DefaultParagraphFont"/>
    <w:link w:val="NormalHanging12a"/>
    <w:rsid w:val="00602BC7"/>
    <w:rPr>
      <w:sz w:val="24"/>
      <w:lang w:val="pl-PL"/>
    </w:rPr>
  </w:style>
  <w:style w:type="paragraph" w:customStyle="1" w:styleId="Normal24a">
    <w:name w:val="Normal24a"/>
    <w:basedOn w:val="Normal"/>
    <w:rsid w:val="00602BC7"/>
    <w:pPr>
      <w:spacing w:after="480"/>
    </w:pPr>
  </w:style>
  <w:style w:type="paragraph" w:styleId="Footer">
    <w:name w:val="footer"/>
    <w:basedOn w:val="Normal"/>
    <w:link w:val="FooterChar"/>
    <w:rsid w:val="00CF7D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F7D90"/>
    <w:rPr>
      <w:sz w:val="24"/>
      <w:lang w:val="pl-PL"/>
    </w:rPr>
  </w:style>
  <w:style w:type="paragraph" w:styleId="ListParagraph">
    <w:name w:val="List Paragraph"/>
    <w:basedOn w:val="Normal"/>
    <w:uiPriority w:val="34"/>
    <w:qFormat/>
    <w:rsid w:val="00563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rban.jrc.ec.europa.eu/strat-board/?lng=en" TargetMode="External"/><Relationship Id="rId2" Type="http://schemas.openxmlformats.org/officeDocument/2006/relationships/hyperlink" Target="https://ec.europa.eu/regional_policy/sources/studies/integrated_strategies/integrated_strategies_en.pdf" TargetMode="External"/><Relationship Id="rId1" Type="http://schemas.openxmlformats.org/officeDocument/2006/relationships/hyperlink" Target="https://www.europarl.europa.eu/doceo/document/TA-8-2018-0068_PL.html" TargetMode="External"/><Relationship Id="rId5" Type="http://schemas.openxmlformats.org/officeDocument/2006/relationships/hyperlink" Target="https://urban.jrc.ec.europa.eu/urbanstrategies/" TargetMode="External"/><Relationship Id="rId4" Type="http://schemas.openxmlformats.org/officeDocument/2006/relationships/hyperlink" Target="https://urban.jrc.ec.europa.eu/territorialstrategies/executive-summ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CA0CF-6E31-484C-90D5-437B9F0CC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5225</Words>
  <Characters>35692</Characters>
  <Application>Microsoft Office Word</Application>
  <DocSecurity>0</DocSecurity>
  <Lines>297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2024-01-31T07:03:00Z</dcterms:created>
  <dcterms:modified xsi:type="dcterms:W3CDTF">2024-01-31T07:03:00Z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P9_TA(2024)0010_</vt:lpwstr>
  </property>
  <property fmtid="{D5CDD505-2E9C-101B-9397-08002B2CF9AE}" pid="4" name="&lt;Type&gt;">
    <vt:lpwstr>RR</vt:lpwstr>
  </property>
</Properties>
</file>