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3AD4" w:rsidTr="0010095E">
        <w:trPr>
          <w:trHeight w:hRule="exact" w:val="1418"/>
        </w:trPr>
        <w:tc>
          <w:tcPr>
            <w:tcW w:w="6804" w:type="dxa"/>
            <w:shd w:val="clear" w:color="auto" w:fill="auto"/>
            <w:vAlign w:val="center"/>
          </w:tcPr>
          <w:p w:rsidR="00751A4A" w:rsidRPr="00E13AD4" w:rsidRDefault="00AE6791" w:rsidP="0010095E">
            <w:pPr>
              <w:pStyle w:val="EPName"/>
            </w:pPr>
            <w:r w:rsidRPr="00E13AD4">
              <w:t>Parlamentul European</w:t>
            </w:r>
          </w:p>
          <w:p w:rsidR="00751A4A" w:rsidRPr="00E13AD4" w:rsidRDefault="00817416" w:rsidP="00756632">
            <w:pPr>
              <w:pStyle w:val="EPTerm"/>
              <w:rPr>
                <w:rStyle w:val="HideTWBExt"/>
                <w:noProof w:val="0"/>
                <w:vanish w:val="0"/>
                <w:color w:val="auto"/>
              </w:rPr>
            </w:pPr>
            <w:r w:rsidRPr="00E13AD4">
              <w:t>2019-2024</w:t>
            </w:r>
          </w:p>
        </w:tc>
        <w:tc>
          <w:tcPr>
            <w:tcW w:w="2268" w:type="dxa"/>
            <w:shd w:val="clear" w:color="auto" w:fill="auto"/>
          </w:tcPr>
          <w:p w:rsidR="00751A4A" w:rsidRPr="00E13AD4" w:rsidRDefault="00187494" w:rsidP="0010095E">
            <w:pPr>
              <w:pStyle w:val="EPLogo"/>
            </w:pPr>
            <w:r w:rsidRPr="00E13A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3AD4" w:rsidRDefault="00D058B8" w:rsidP="004C5D52">
      <w:pPr>
        <w:pStyle w:val="LineTop"/>
      </w:pPr>
    </w:p>
    <w:p w:rsidR="00680577" w:rsidRPr="00E13AD4" w:rsidRDefault="00AE6791" w:rsidP="00680577">
      <w:pPr>
        <w:pStyle w:val="EPBodyTA1"/>
      </w:pPr>
      <w:r w:rsidRPr="00E13AD4">
        <w:t>TEXTE ADOPTATE</w:t>
      </w:r>
    </w:p>
    <w:p w:rsidR="00D058B8" w:rsidRPr="00E13AD4" w:rsidRDefault="00D058B8" w:rsidP="00D058B8">
      <w:pPr>
        <w:pStyle w:val="LineBottom"/>
      </w:pPr>
    </w:p>
    <w:p w:rsidR="00AE6791" w:rsidRPr="00E13AD4" w:rsidRDefault="00AE6791" w:rsidP="00AE6791">
      <w:pPr>
        <w:pStyle w:val="ATHeading1"/>
      </w:pPr>
      <w:bookmarkStart w:id="0" w:name="TANumber"/>
      <w:r w:rsidRPr="00E13AD4">
        <w:t>P9_TA(2024)00</w:t>
      </w:r>
      <w:r w:rsidR="00E13AD4" w:rsidRPr="00E13AD4">
        <w:t>1</w:t>
      </w:r>
      <w:r w:rsidRPr="00E13AD4">
        <w:t>0</w:t>
      </w:r>
      <w:bookmarkEnd w:id="0"/>
    </w:p>
    <w:p w:rsidR="00AE6791" w:rsidRPr="00E13AD4" w:rsidRDefault="00AE6791" w:rsidP="00AE6791">
      <w:pPr>
        <w:pStyle w:val="ATHeading2"/>
      </w:pPr>
      <w:bookmarkStart w:id="1" w:name="title"/>
      <w:r w:rsidRPr="00E13AD4">
        <w:t>Implementarea dezvoltării teritoriale (RDC, titlul III, capitolul II) și punerea sa în aplicare în cadrul Agendei teritoriale europene 2030</w:t>
      </w:r>
      <w:bookmarkEnd w:id="1"/>
    </w:p>
    <w:p w:rsidR="00AE6791" w:rsidRPr="00E13AD4" w:rsidRDefault="00AE6791" w:rsidP="00AE6791">
      <w:pPr>
        <w:rPr>
          <w:i/>
          <w:vanish/>
        </w:rPr>
      </w:pPr>
      <w:r w:rsidRPr="00E13AD4">
        <w:rPr>
          <w:i/>
        </w:rPr>
        <w:fldChar w:fldCharType="begin"/>
      </w:r>
      <w:r w:rsidRPr="00E13AD4">
        <w:rPr>
          <w:i/>
        </w:rPr>
        <w:instrText xml:space="preserve"> TC"(</w:instrText>
      </w:r>
      <w:bookmarkStart w:id="2" w:name="DocNumber"/>
      <w:r w:rsidRPr="00E13AD4">
        <w:rPr>
          <w:i/>
        </w:rPr>
        <w:instrText>A9-0420/2023</w:instrText>
      </w:r>
      <w:bookmarkEnd w:id="2"/>
      <w:r w:rsidRPr="00E13AD4">
        <w:rPr>
          <w:i/>
        </w:rPr>
        <w:instrText xml:space="preserve"> - Raportor: Marcos Ros Sempere)"\l3 \n&gt; \* MERGEFORMAT </w:instrText>
      </w:r>
      <w:r w:rsidRPr="00E13AD4">
        <w:rPr>
          <w:i/>
        </w:rPr>
        <w:fldChar w:fldCharType="end"/>
      </w:r>
    </w:p>
    <w:p w:rsidR="00AE6791" w:rsidRPr="00E13AD4" w:rsidRDefault="00AE6791" w:rsidP="00AE6791">
      <w:pPr>
        <w:rPr>
          <w:vanish/>
        </w:rPr>
      </w:pPr>
      <w:bookmarkStart w:id="3" w:name="Commission"/>
      <w:r w:rsidRPr="00E13AD4">
        <w:rPr>
          <w:vanish/>
        </w:rPr>
        <w:t>Comisia pentru dezvoltare regională</w:t>
      </w:r>
      <w:bookmarkEnd w:id="3"/>
    </w:p>
    <w:p w:rsidR="00AE6791" w:rsidRPr="00E13AD4" w:rsidRDefault="00AE6791" w:rsidP="00AE6791">
      <w:pPr>
        <w:rPr>
          <w:vanish/>
        </w:rPr>
      </w:pPr>
      <w:bookmarkStart w:id="4" w:name="PE"/>
      <w:r w:rsidRPr="00E13AD4">
        <w:rPr>
          <w:vanish/>
        </w:rPr>
        <w:t>PE750.084</w:t>
      </w:r>
      <w:bookmarkEnd w:id="4"/>
    </w:p>
    <w:p w:rsidR="00AE6791" w:rsidRPr="00E13AD4" w:rsidRDefault="00AE6791" w:rsidP="00AE6791">
      <w:pPr>
        <w:pStyle w:val="ATHeading3"/>
      </w:pPr>
      <w:bookmarkStart w:id="5" w:name="Sujet"/>
      <w:r w:rsidRPr="00E13AD4">
        <w:t xml:space="preserve">Rezoluția Parlamentului European din </w:t>
      </w:r>
      <w:r w:rsidR="00D8549E" w:rsidRPr="00E13AD4">
        <w:t>16 ianuarie</w:t>
      </w:r>
      <w:r w:rsidRPr="00E13AD4">
        <w:t xml:space="preserve"> 2024 referito</w:t>
      </w:r>
      <w:r w:rsidR="00E13AD4" w:rsidRPr="00E13AD4">
        <w:t>a</w:t>
      </w:r>
      <w:r w:rsidRPr="00E13AD4">
        <w:t>r</w:t>
      </w:r>
      <w:r w:rsidR="00E13AD4" w:rsidRPr="00E13AD4">
        <w:t>e</w:t>
      </w:r>
      <w:r w:rsidRPr="00E13AD4">
        <w:t xml:space="preserve"> la implementarea dezvoltării teritoriale (RDC, titlul III, capitolul II) și punerea sa în aplicare în cadrul Agendei teritoriale europene 2030</w:t>
      </w:r>
      <w:bookmarkEnd w:id="5"/>
      <w:r w:rsidRPr="00E13AD4">
        <w:t xml:space="preserve"> </w:t>
      </w:r>
      <w:bookmarkStart w:id="6" w:name="References"/>
      <w:r w:rsidRPr="00E13AD4">
        <w:t>(2023/2048(INI))</w:t>
      </w:r>
      <w:bookmarkEnd w:id="6"/>
    </w:p>
    <w:p w:rsidR="00AE6791" w:rsidRPr="00E13AD4" w:rsidRDefault="00AE6791" w:rsidP="00AE6791"/>
    <w:p w:rsidR="00942AB2" w:rsidRPr="00E13AD4" w:rsidRDefault="00942AB2" w:rsidP="00942AB2">
      <w:pPr>
        <w:widowControl/>
        <w:spacing w:after="240"/>
        <w:ind w:left="567" w:hanging="567"/>
      </w:pPr>
      <w:bookmarkStart w:id="7" w:name="TextBodyBegin"/>
      <w:bookmarkEnd w:id="7"/>
      <w:r w:rsidRPr="00E13AD4">
        <w:rPr>
          <w:i/>
          <w:iCs/>
        </w:rPr>
        <w:t>Parlamentul European</w:t>
      </w:r>
      <w:r w:rsidRPr="00E13AD4">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Tratatul privind funcționarea Uniunii Europene, în special titlul XVIII,</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E13AD4">
        <w:rPr>
          <w:snapToGrid w:val="0"/>
          <w:vertAlign w:val="superscript"/>
          <w:lang w:eastAsia="en-US"/>
        </w:rPr>
        <w:footnoteReference w:id="1"/>
      </w:r>
      <w:r w:rsidRPr="00E13AD4">
        <w:rPr>
          <w:snapToGrid w:val="0"/>
        </w:rPr>
        <w:t xml:space="preserve"> (Regulamentul privind dispozițiile comune),</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Regulamentul (UE) 2021/1058 al Parlamentului European și al Consiliului din 24 iunie 2021 privind Fondul european de dezvoltare regională și Fondul de coeziune</w:t>
      </w:r>
      <w:r w:rsidRPr="00E13AD4">
        <w:rPr>
          <w:snapToGrid w:val="0"/>
          <w:vertAlign w:val="superscript"/>
          <w:lang w:eastAsia="en-US"/>
        </w:rPr>
        <w:footnoteReference w:id="2"/>
      </w:r>
      <w:r w:rsidRPr="00E13AD4">
        <w:rPr>
          <w:snapToGrid w:val="0"/>
        </w:rPr>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Regulamentul (UE) 2021/1059 al Parlamentului European și al Consiliului din 24 iunie 2021 privind dispoziții specifice pentru obiectivul de cooperare teritorială europeană (</w:t>
      </w:r>
      <w:proofErr w:type="spellStart"/>
      <w:r w:rsidRPr="00E13AD4">
        <w:rPr>
          <w:snapToGrid w:val="0"/>
        </w:rPr>
        <w:t>Interreg</w:t>
      </w:r>
      <w:proofErr w:type="spellEnd"/>
      <w:r w:rsidRPr="00E13AD4">
        <w:rPr>
          <w:snapToGrid w:val="0"/>
        </w:rPr>
        <w:t>) sprijinit de Fondul european de dezvoltare regională și de instrumentele de finanțare externă</w:t>
      </w:r>
      <w:r w:rsidRPr="00E13AD4">
        <w:rPr>
          <w:snapToGrid w:val="0"/>
          <w:vertAlign w:val="superscript"/>
          <w:lang w:eastAsia="en-US"/>
        </w:rPr>
        <w:footnoteReference w:id="3"/>
      </w:r>
      <w:r w:rsidRPr="00E13AD4">
        <w:rPr>
          <w:snapToGrid w:val="0"/>
        </w:rPr>
        <w:t>,</w:t>
      </w:r>
    </w:p>
    <w:p w:rsidR="00942AB2" w:rsidRPr="00E13AD4" w:rsidRDefault="00942AB2" w:rsidP="00D8549E">
      <w:pPr>
        <w:widowControl/>
        <w:spacing w:after="240"/>
        <w:ind w:left="567" w:hanging="567"/>
      </w:pPr>
      <w:r w:rsidRPr="00E13AD4">
        <w:rPr>
          <w:snapToGrid w:val="0"/>
        </w:rPr>
        <w:t>–</w:t>
      </w:r>
      <w:r w:rsidRPr="00E13AD4">
        <w:rPr>
          <w:snapToGrid w:val="0"/>
        </w:rPr>
        <w:tab/>
      </w:r>
      <w:r w:rsidRPr="00E13AD4">
        <w:t>având în vedere Regulamentul (UE) 2021/1056 al Parlamentului European și al Consiliului din 24 iunie 2021 de instituire a Fondului pentru o tranziție justă</w:t>
      </w:r>
      <w:r w:rsidRPr="00E13AD4">
        <w:rPr>
          <w:vertAlign w:val="superscript"/>
        </w:rPr>
        <w:footnoteReference w:id="4"/>
      </w:r>
      <w:r w:rsidRPr="00E13AD4">
        <w:t>,</w:t>
      </w:r>
    </w:p>
    <w:p w:rsidR="00942AB2" w:rsidRPr="00E13AD4" w:rsidRDefault="00942AB2" w:rsidP="00D8549E">
      <w:pPr>
        <w:pStyle w:val="NormalBold"/>
        <w:widowControl/>
        <w:spacing w:after="240"/>
        <w:ind w:left="567" w:hanging="567"/>
        <w:rPr>
          <w:b w:val="0"/>
        </w:rPr>
      </w:pPr>
      <w:r w:rsidRPr="00E13AD4">
        <w:rPr>
          <w:b w:val="0"/>
        </w:rPr>
        <w:lastRenderedPageBreak/>
        <w:t>–</w:t>
      </w:r>
      <w:r w:rsidRPr="00E13AD4">
        <w:rPr>
          <w:b w:val="0"/>
        </w:rPr>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E13AD4">
        <w:rPr>
          <w:rStyle w:val="FootnoteReference"/>
          <w:b w:val="0"/>
        </w:rPr>
        <w:footnoteReference w:id="5"/>
      </w:r>
      <w:r w:rsidRPr="00E13AD4">
        <w:rPr>
          <w:b w:val="0"/>
        </w:rPr>
        <w:t xml:space="preserve">, </w:t>
      </w:r>
    </w:p>
    <w:p w:rsidR="00942AB2" w:rsidRPr="00E13AD4" w:rsidRDefault="00942AB2" w:rsidP="00D8549E">
      <w:pPr>
        <w:pStyle w:val="NormalHanging12a"/>
        <w:widowControl/>
      </w:pPr>
      <w:r w:rsidRPr="00E13AD4">
        <w:t>–</w:t>
      </w:r>
      <w:r w:rsidRPr="00E13AD4">
        <w:tab/>
        <w:t>având în vedere Regulamentul (UE) 2020/2220 al Parlamentului European și al Consiliului din 23 decembrie 2020 de stabilire a anumitor dispoziții tranzitorii privind sprijinul acordat din Fondul european agricol pentru dezvoltare rurală (FEADR) și din Fondul european de garantare agricolă (FEGA) în anii 2021 și 2022 și de modificare a Regulamentelor (UE) nr. 1305/2013, (UE) nr. 1306/2013 și (UE) nr. 1307/2013 în ceea ce privește resursele și aplicarea regulamentelor respective în anii 2021 și 2022 și a Regulamentului (UE) nr. 1308/2013 în ceea ce privește resursele și repartizarea unui astfel de sprijin pentru anii 2021 și 2022</w:t>
      </w:r>
      <w:r w:rsidRPr="00E13AD4">
        <w:rPr>
          <w:vertAlign w:val="superscript"/>
        </w:rPr>
        <w:footnoteReference w:id="6"/>
      </w:r>
      <w:r w:rsidRPr="00E13AD4">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r w:rsidRPr="00E13AD4">
        <w:rPr>
          <w:snapToGrid w:val="0"/>
          <w:vertAlign w:val="superscript"/>
          <w:lang w:eastAsia="en-US"/>
        </w:rPr>
        <w:footnoteReference w:id="7"/>
      </w:r>
      <w:r w:rsidRPr="00E13AD4">
        <w:rPr>
          <w:snapToGrid w:val="0"/>
        </w:rPr>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acordul adoptat la cea de-a 21-a Conferință a părților la Convenția-cadru a ONU privind schimbările climatice (COP 21) de la Paris, din 12 decembrie 2015 (Acordul de la Paris),</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Agenda 2030 a ONU pentru dezvoltare durabilă, în special obiectivul de dezvoltare durabilă (ODD) nr. 11 privind orașele și comunitățile durabile,</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w:t>
      </w:r>
      <w:r w:rsidRPr="00E13AD4">
        <w:t xml:space="preserve"> </w:t>
      </w:r>
      <w:r w:rsidRPr="00E13AD4">
        <w:rPr>
          <w:snapToGrid w:val="0"/>
        </w:rPr>
        <w:t>Agenda teritorială 2030</w:t>
      </w:r>
      <w:r w:rsidRPr="00E13AD4">
        <w:t xml:space="preserve"> – un viitor pentru toate teritoriile, </w:t>
      </w:r>
      <w:r w:rsidRPr="00E13AD4">
        <w:rPr>
          <w:snapToGrid w:val="0"/>
        </w:rPr>
        <w:t>adoptată la reuniunea informală a miniștrilor responsabili cu amenajarea teritoriului, dezvoltarea teritorială</w:t>
      </w:r>
      <w:r w:rsidRPr="00E13AD4">
        <w:t xml:space="preserve"> și/sau coeziunea teritorială </w:t>
      </w:r>
      <w:r w:rsidRPr="00E13AD4">
        <w:rPr>
          <w:snapToGrid w:val="0"/>
        </w:rPr>
        <w:t>din 1 decembrie 2020</w:t>
      </w:r>
      <w:r w:rsidRPr="00E13AD4">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Pactul de la Amsterdam de stabilire a Agendei urbane a UE, convenit în cadrul reuniunii informale a miniștrilor UE responsabili cu chestiunile urbane care a avut loc la 30 mai 2016,</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„Noua Cartă de la Leipzig – Puterea transformatoare a orașelor pentru binele comun”, adoptată în cadrul reuniunii ministeriale informale</w:t>
      </w:r>
      <w:r w:rsidRPr="00E13AD4">
        <w:t xml:space="preserve"> privind aspecte urbane </w:t>
      </w:r>
      <w:r w:rsidRPr="00E13AD4">
        <w:rPr>
          <w:snapToGrid w:val="0"/>
        </w:rPr>
        <w:t>din 30 noiembrie 2020</w:t>
      </w:r>
      <w:r w:rsidRPr="00E13AD4">
        <w:t>,</w:t>
      </w:r>
    </w:p>
    <w:p w:rsidR="00942AB2" w:rsidRPr="00E13AD4" w:rsidRDefault="00942AB2" w:rsidP="00D8549E">
      <w:pPr>
        <w:widowControl/>
        <w:spacing w:after="240"/>
        <w:ind w:left="567" w:hanging="567"/>
        <w:rPr>
          <w:rFonts w:eastAsia="Calibri"/>
          <w:szCs w:val="24"/>
        </w:rPr>
      </w:pPr>
      <w:r w:rsidRPr="00E13AD4">
        <w:rPr>
          <w:snapToGrid w:val="0"/>
        </w:rPr>
        <w:t>–</w:t>
      </w:r>
      <w:r w:rsidRPr="00E13AD4">
        <w:rPr>
          <w:snapToGrid w:val="0"/>
        </w:rPr>
        <w:tab/>
        <w:t>având în vedere</w:t>
      </w:r>
      <w:r w:rsidRPr="00E13AD4">
        <w:t xml:space="preserve"> Acordul de la Ljubljana, adoptat în cadrul reuniunii informale a miniștrilor responsabili cu chestiunile urbane din 26 noiembrie 2021,</w:t>
      </w:r>
    </w:p>
    <w:p w:rsidR="00942AB2" w:rsidRPr="00E13AD4" w:rsidRDefault="00942AB2" w:rsidP="00D8549E">
      <w:pPr>
        <w:widowControl/>
        <w:spacing w:after="240"/>
        <w:ind w:left="567" w:hanging="567"/>
        <w:rPr>
          <w:rFonts w:eastAsia="Calibri"/>
          <w:szCs w:val="24"/>
        </w:rPr>
      </w:pPr>
      <w:r w:rsidRPr="00E13AD4">
        <w:rPr>
          <w:snapToGrid w:val="0"/>
        </w:rPr>
        <w:lastRenderedPageBreak/>
        <w:t>–</w:t>
      </w:r>
      <w:r w:rsidRPr="00E13AD4">
        <w:rPr>
          <w:snapToGrid w:val="0"/>
        </w:rPr>
        <w:tab/>
        <w:t>având în vedere</w:t>
      </w:r>
      <w:r w:rsidRPr="00E13AD4">
        <w:t xml:space="preserve"> Noua agendă urbană adoptată de Organizația Națiunilor Unite la 20 octombrie 2016,</w:t>
      </w:r>
    </w:p>
    <w:p w:rsidR="00942AB2" w:rsidRPr="00E13AD4" w:rsidRDefault="00942AB2" w:rsidP="00D8549E">
      <w:pPr>
        <w:widowControl/>
        <w:spacing w:after="240"/>
        <w:ind w:left="567" w:hanging="567"/>
        <w:rPr>
          <w:rFonts w:eastAsia="Calibri"/>
          <w:szCs w:val="24"/>
        </w:rPr>
      </w:pPr>
      <w:r w:rsidRPr="00E13AD4">
        <w:rPr>
          <w:snapToGrid w:val="0"/>
        </w:rPr>
        <w:t>–</w:t>
      </w:r>
      <w:r w:rsidRPr="00E13AD4">
        <w:rPr>
          <w:snapToGrid w:val="0"/>
        </w:rPr>
        <w:tab/>
        <w:t>având în vedere</w:t>
      </w:r>
      <w:r w:rsidRPr="00E13AD4">
        <w:t xml:space="preserve"> </w:t>
      </w:r>
      <w:r w:rsidRPr="00E13AD4">
        <w:rPr>
          <w:shd w:val="clear" w:color="auto" w:fill="FFFFFF"/>
        </w:rPr>
        <w:t>comunicarea Comisiei</w:t>
      </w:r>
      <w:r w:rsidRPr="00E13AD4">
        <w:t xml:space="preserve"> din </w:t>
      </w:r>
      <w:r w:rsidRPr="00E13AD4">
        <w:rPr>
          <w:shd w:val="clear" w:color="auto" w:fill="FFFFFF"/>
        </w:rPr>
        <w:t>17 ianuarie 2023</w:t>
      </w:r>
      <w:r w:rsidRPr="00E13AD4">
        <w:t>, intitulată „Valorificarea talentelor în regiunile Europei” (COM(2023)0032),</w:t>
      </w:r>
    </w:p>
    <w:p w:rsidR="00942AB2" w:rsidRPr="00E13AD4" w:rsidRDefault="00942AB2" w:rsidP="00D8549E">
      <w:pPr>
        <w:widowControl/>
        <w:spacing w:after="240"/>
        <w:ind w:left="567" w:hanging="567"/>
        <w:rPr>
          <w:snapToGrid w:val="0"/>
          <w:szCs w:val="24"/>
        </w:rPr>
      </w:pPr>
      <w:r w:rsidRPr="00E13AD4">
        <w:rPr>
          <w:snapToGrid w:val="0"/>
        </w:rPr>
        <w:t>–</w:t>
      </w:r>
      <w:r w:rsidRPr="00E13AD4">
        <w:rPr>
          <w:snapToGrid w:val="0"/>
        </w:rPr>
        <w:tab/>
        <w:t>având în vedere</w:t>
      </w:r>
      <w:r w:rsidRPr="00E13AD4">
        <w:t xml:space="preserve"> </w:t>
      </w:r>
      <w:r w:rsidRPr="00E13AD4">
        <w:rPr>
          <w:shd w:val="clear" w:color="auto" w:fill="FFFFFF"/>
        </w:rPr>
        <w:t>comunicarea Comisiei</w:t>
      </w:r>
      <w:r w:rsidRPr="00E13AD4">
        <w:t xml:space="preserve"> din </w:t>
      </w:r>
      <w:r w:rsidRPr="00E13AD4">
        <w:rPr>
          <w:shd w:val="clear" w:color="auto" w:fill="FFFFFF"/>
        </w:rPr>
        <w:t>4 februarie 2022</w:t>
      </w:r>
      <w:r w:rsidRPr="00E13AD4">
        <w:t xml:space="preserve"> intitulată „Cel de-al 8-lea raport privind coeziunea:</w:t>
      </w:r>
      <w:r w:rsidRPr="00E13AD4">
        <w:rPr>
          <w:shd w:val="clear" w:color="auto" w:fill="FFFFFF"/>
        </w:rPr>
        <w:t xml:space="preserve"> Coeziunea în Europa în perspectiva anului 2050” (COM(2022)0034),</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 xml:space="preserve">având în vedere comunicarea Comisiei din 30 iunie 2021 intitulată „O viziune pe termen lung pentru zonele rurale ale UE - Către zone rurale mai puternice, conectate, </w:t>
      </w:r>
      <w:proofErr w:type="spellStart"/>
      <w:r w:rsidRPr="00E13AD4">
        <w:rPr>
          <w:snapToGrid w:val="0"/>
        </w:rPr>
        <w:t>reziliente</w:t>
      </w:r>
      <w:proofErr w:type="spellEnd"/>
      <w:r w:rsidRPr="00E13AD4">
        <w:rPr>
          <w:snapToGrid w:val="0"/>
        </w:rPr>
        <w:t xml:space="preserve"> și prospere până în 2040” (COM(2021)0345),</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comunicarea Comisiei din 3 martie 2021 intitulată „O Uniune a egalității: Strategia privind drepturile persoanelor cu handicap 2021-2030” (COM(2021)0101),</w:t>
      </w:r>
    </w:p>
    <w:p w:rsidR="00942AB2" w:rsidRPr="00E13AD4" w:rsidRDefault="00942AB2" w:rsidP="00D8549E">
      <w:pPr>
        <w:widowControl/>
        <w:spacing w:after="240"/>
        <w:ind w:left="567" w:hanging="567"/>
        <w:rPr>
          <w:rFonts w:eastAsia="Calibri" w:cs="Calibri"/>
          <w:szCs w:val="24"/>
        </w:rPr>
      </w:pPr>
      <w:r w:rsidRPr="00E13AD4">
        <w:rPr>
          <w:snapToGrid w:val="0"/>
        </w:rPr>
        <w:t>–</w:t>
      </w:r>
      <w:r w:rsidRPr="00E13AD4">
        <w:rPr>
          <w:snapToGrid w:val="0"/>
        </w:rPr>
        <w:tab/>
        <w:t>având în vedere comunicarea Comisiei din 11 decembrie 2019 intitulată „Pactul verde european” (COM(2019)0640),</w:t>
      </w:r>
      <w:r w:rsidRPr="00E13AD4">
        <w:t xml:space="preserve"> </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comunicarea Comisiei din 17 septembrie 2020 intitulată</w:t>
      </w:r>
      <w:r w:rsidRPr="00E13AD4">
        <w:t xml:space="preserve"> „Stabilirea unui obiectiv mai ambițios în materie de climă pentru Europa în perspectiva anului 2030 - Investirea într-un viitor neutru din punct de vedere climatic, în interesul cetățenilor” </w:t>
      </w:r>
      <w:r w:rsidRPr="00E13AD4">
        <w:rPr>
          <w:snapToGrid w:val="0"/>
        </w:rPr>
        <w:t>(COM(2020)0562),</w:t>
      </w:r>
    </w:p>
    <w:p w:rsidR="00942AB2" w:rsidRPr="00E13AD4" w:rsidRDefault="00942AB2" w:rsidP="00D8549E">
      <w:pPr>
        <w:widowControl/>
        <w:spacing w:after="240"/>
        <w:ind w:left="567" w:hanging="567"/>
        <w:rPr>
          <w:rFonts w:eastAsia="Calibri" w:cs="Calibri"/>
          <w:szCs w:val="24"/>
        </w:rPr>
      </w:pPr>
      <w:r w:rsidRPr="00E13AD4">
        <w:rPr>
          <w:snapToGrid w:val="0"/>
        </w:rPr>
        <w:t>–</w:t>
      </w:r>
      <w:r w:rsidRPr="00E13AD4">
        <w:rPr>
          <w:snapToGrid w:val="0"/>
        </w:rPr>
        <w:tab/>
        <w:t>având în vedere</w:t>
      </w:r>
      <w:r w:rsidRPr="00E13AD4">
        <w:t xml:space="preserve"> inițiativa Comisiei privind noul Bauhaus european, lansată la 16 septembrie 2020,</w:t>
      </w:r>
    </w:p>
    <w:p w:rsidR="00942AB2" w:rsidRPr="00E13AD4" w:rsidRDefault="00942AB2" w:rsidP="00D8549E">
      <w:pPr>
        <w:widowControl/>
        <w:spacing w:after="240"/>
        <w:ind w:left="567" w:hanging="567"/>
      </w:pPr>
      <w:r w:rsidRPr="00E13AD4">
        <w:rPr>
          <w:snapToGrid w:val="0"/>
        </w:rPr>
        <w:t>–</w:t>
      </w:r>
      <w:r w:rsidRPr="00E13AD4">
        <w:rPr>
          <w:snapToGrid w:val="0"/>
        </w:rPr>
        <w:tab/>
        <w:t>având în vedere</w:t>
      </w:r>
      <w:r w:rsidRPr="00E13AD4">
        <w:t xml:space="preserve"> documentul de lucru al serviciilor Comisiei din 17 iunie 2022 intitulat „Instrumentul financiar pentru modelul de dezvoltare teritorială al noului Bauhaus european (MDT NBE)” (SWD(2022)0172),</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rezoluția sa din 14 septembrie 2022 referitoare la noul Bauhaus european</w:t>
      </w:r>
      <w:r w:rsidRPr="00E13AD4">
        <w:rPr>
          <w:snapToGrid w:val="0"/>
          <w:vertAlign w:val="superscript"/>
          <w:lang w:eastAsia="en-US"/>
        </w:rPr>
        <w:footnoteReference w:id="8"/>
      </w:r>
      <w:r w:rsidRPr="00E13AD4">
        <w:rPr>
          <w:snapToGrid w:val="0"/>
        </w:rPr>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rezoluția sa din 13 decembrie 2022 privind o viziune pe termen lung pentru zonele rurale din UE</w:t>
      </w:r>
      <w:r w:rsidRPr="00E13AD4">
        <w:rPr>
          <w:shd w:val="clear" w:color="auto" w:fill="FFFFFF"/>
        </w:rPr>
        <w:t xml:space="preserve"> - Către zone rurale mai puternice, conectate, </w:t>
      </w:r>
      <w:proofErr w:type="spellStart"/>
      <w:r w:rsidRPr="00E13AD4">
        <w:rPr>
          <w:shd w:val="clear" w:color="auto" w:fill="FFFFFF"/>
        </w:rPr>
        <w:t>reziliente</w:t>
      </w:r>
      <w:proofErr w:type="spellEnd"/>
      <w:r w:rsidRPr="00E13AD4">
        <w:rPr>
          <w:shd w:val="clear" w:color="auto" w:fill="FFFFFF"/>
        </w:rPr>
        <w:t xml:space="preserve"> și prospere până în 2040</w:t>
      </w:r>
      <w:r w:rsidRPr="00E13AD4">
        <w:rPr>
          <w:snapToGrid w:val="0"/>
          <w:vertAlign w:val="superscript"/>
          <w:lang w:eastAsia="en-US"/>
        </w:rPr>
        <w:footnoteReference w:id="9"/>
      </w:r>
      <w:r w:rsidRPr="00E13AD4">
        <w:rPr>
          <w:snapToGrid w:val="0"/>
        </w:rPr>
        <w:t xml:space="preserve">, </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rezoluția sa din</w:t>
      </w:r>
      <w:r w:rsidRPr="00E13AD4">
        <w:t xml:space="preserve"> </w:t>
      </w:r>
      <w:r w:rsidRPr="00E13AD4">
        <w:rPr>
          <w:snapToGrid w:val="0"/>
        </w:rPr>
        <w:t>15 septembrie 2022 referitoare la consolidarea coeziunii economice, sociale și teritoriale în UE: al 8-lea raport privind coeziunea</w:t>
      </w:r>
      <w:r w:rsidRPr="00E13AD4">
        <w:rPr>
          <w:snapToGrid w:val="0"/>
          <w:vertAlign w:val="superscript"/>
          <w:lang w:eastAsia="en-US"/>
        </w:rPr>
        <w:footnoteReference w:id="10"/>
      </w:r>
      <w:r w:rsidRPr="00E13AD4">
        <w:rPr>
          <w:snapToGrid w:val="0"/>
        </w:rPr>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rezoluția sa din 15 februarie 2022 referitoare la provocările cu care se confruntă zonele urbane în perioada post-COVID-19</w:t>
      </w:r>
      <w:r w:rsidRPr="00E13AD4">
        <w:rPr>
          <w:snapToGrid w:val="0"/>
          <w:vertAlign w:val="superscript"/>
          <w:lang w:eastAsia="en-US"/>
        </w:rPr>
        <w:footnoteReference w:id="11"/>
      </w:r>
      <w:r w:rsidRPr="00E13AD4">
        <w:rPr>
          <w:snapToGrid w:val="0"/>
        </w:rPr>
        <w:t>,</w:t>
      </w:r>
    </w:p>
    <w:p w:rsidR="00942AB2" w:rsidRPr="00E13AD4" w:rsidRDefault="00942AB2" w:rsidP="00D8549E">
      <w:pPr>
        <w:widowControl/>
        <w:spacing w:after="240"/>
        <w:ind w:left="567" w:hanging="567"/>
      </w:pPr>
      <w:r w:rsidRPr="00E13AD4">
        <w:rPr>
          <w:snapToGrid w:val="0"/>
        </w:rPr>
        <w:lastRenderedPageBreak/>
        <w:t>–</w:t>
      </w:r>
      <w:r w:rsidRPr="00E13AD4">
        <w:rPr>
          <w:snapToGrid w:val="0"/>
        </w:rPr>
        <w:tab/>
      </w:r>
      <w:r w:rsidRPr="00E13AD4">
        <w:t>având în vedere rezoluția sa din 20 mai 2021 referitoare la inversarea tendințelor demografice în regiunile Uniunii utilizând instrumentele politicii de coeziune</w:t>
      </w:r>
      <w:r w:rsidRPr="00E13AD4">
        <w:rPr>
          <w:rStyle w:val="FootnoteReference"/>
        </w:rPr>
        <w:footnoteReference w:id="12"/>
      </w:r>
      <w:r w:rsidRPr="00E13AD4">
        <w:t>,</w:t>
      </w:r>
    </w:p>
    <w:p w:rsidR="00942AB2" w:rsidRPr="00E13AD4" w:rsidRDefault="00942AB2" w:rsidP="00D8549E">
      <w:pPr>
        <w:widowControl/>
        <w:spacing w:after="240"/>
        <w:ind w:left="567" w:hanging="567"/>
      </w:pPr>
      <w:r w:rsidRPr="00E13AD4">
        <w:rPr>
          <w:snapToGrid w:val="0"/>
        </w:rPr>
        <w:t>–</w:t>
      </w:r>
      <w:r w:rsidRPr="00E13AD4">
        <w:rPr>
          <w:snapToGrid w:val="0"/>
        </w:rPr>
        <w:tab/>
      </w:r>
      <w:r w:rsidRPr="00E13AD4">
        <w:t>având în vedere rezoluția sa din 25 martie 2021 referitoare la politica de coeziune și strategiile de mediu de la nivel regional în lupta împotriva schimbărilor climatice</w:t>
      </w:r>
      <w:r w:rsidRPr="00E13AD4">
        <w:rPr>
          <w:rStyle w:val="FootnoteReference"/>
        </w:rPr>
        <w:footnoteReference w:id="13"/>
      </w:r>
      <w:r w:rsidRPr="00E13AD4">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rezoluția sa din 13 martie 2018 referitoare la rolul regiunilor și al orașelor din UE în punerea în aplicare a Acordului de la Paris COP 21 privind schimbările climatice</w:t>
      </w:r>
      <w:r w:rsidRPr="00E13AD4">
        <w:rPr>
          <w:snapToGrid w:val="0"/>
          <w:vertAlign w:val="superscript"/>
          <w:lang w:eastAsia="en-US"/>
        </w:rPr>
        <w:footnoteReference w:id="14"/>
      </w:r>
      <w:r w:rsidRPr="00E13AD4">
        <w:rPr>
          <w:snapToGrid w:val="0"/>
        </w:rPr>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 xml:space="preserve">având în vedere </w:t>
      </w:r>
      <w:r w:rsidRPr="00E13AD4">
        <w:t>avizul din 18 septembrie 2020 al Comitetului Economic și Social European referitor la „Revizuirea Agendei teritoriale a UE, a Cartei de la Leipzig și a Agendei urbane a UE”</w:t>
      </w:r>
      <w:r w:rsidRPr="00E13AD4">
        <w:rPr>
          <w:rStyle w:val="FootnoteReference"/>
          <w:rFonts w:eastAsia="Calibri"/>
          <w:szCs w:val="24"/>
          <w:lang w:eastAsia="en-US"/>
        </w:rPr>
        <w:footnoteReference w:id="15"/>
      </w:r>
      <w:r w:rsidRPr="00E13AD4">
        <w:t>,</w:t>
      </w:r>
    </w:p>
    <w:p w:rsidR="00942AB2" w:rsidRPr="00E13AD4" w:rsidRDefault="00942AB2" w:rsidP="00D8549E">
      <w:pPr>
        <w:widowControl/>
        <w:spacing w:after="240"/>
        <w:ind w:left="567" w:hanging="567"/>
        <w:rPr>
          <w:szCs w:val="32"/>
        </w:rPr>
      </w:pPr>
      <w:r w:rsidRPr="00E13AD4">
        <w:rPr>
          <w:snapToGrid w:val="0"/>
        </w:rPr>
        <w:t>–</w:t>
      </w:r>
      <w:r w:rsidRPr="00E13AD4">
        <w:rPr>
          <w:snapToGrid w:val="0"/>
        </w:rPr>
        <w:tab/>
        <w:t>având în vedere</w:t>
      </w:r>
      <w:r w:rsidRPr="00E13AD4">
        <w:t xml:space="preserve"> analiza aprofundată intitulată „Agenda teritorială 2030 - Evaluarea punerii în aplicare”, publicată de Direcția Generală Politici Interne la 7 iunie 2023</w:t>
      </w:r>
      <w:r w:rsidRPr="00E13AD4">
        <w:rPr>
          <w:rStyle w:val="FootnoteReference"/>
          <w:szCs w:val="32"/>
        </w:rPr>
        <w:footnoteReference w:id="16"/>
      </w:r>
      <w:r w:rsidRPr="00E13AD4">
        <w:t>,</w:t>
      </w:r>
    </w:p>
    <w:p w:rsidR="00942AB2" w:rsidRPr="00E13AD4" w:rsidRDefault="00942AB2" w:rsidP="00D8549E">
      <w:pPr>
        <w:widowControl/>
        <w:spacing w:after="240"/>
        <w:ind w:left="567" w:hanging="567"/>
        <w:rPr>
          <w:szCs w:val="32"/>
        </w:rPr>
      </w:pPr>
      <w:r w:rsidRPr="00E13AD4">
        <w:rPr>
          <w:snapToGrid w:val="0"/>
        </w:rPr>
        <w:t>–</w:t>
      </w:r>
      <w:r w:rsidRPr="00E13AD4">
        <w:rPr>
          <w:snapToGrid w:val="0"/>
        </w:rPr>
        <w:tab/>
        <w:t>având în vedere</w:t>
      </w:r>
      <w:r w:rsidRPr="00E13AD4">
        <w:t xml:space="preserve"> studiul realizat pentru Direcția Generală Politică Regională și Urbană (</w:t>
      </w:r>
      <w:r w:rsidRPr="00E13AD4">
        <w:rPr>
          <w:snapToGrid w:val="0"/>
        </w:rPr>
        <w:t>DG REGIO</w:t>
      </w:r>
      <w:r w:rsidRPr="00E13AD4">
        <w:t>) a Comisiei intitulat „Strategii teritoriale și urbane integrate: cum creează valoare adăugată fondurile ESI în perioada 2014-2020”, publicat în decembrie 2017</w:t>
      </w:r>
      <w:r w:rsidRPr="00E13AD4">
        <w:rPr>
          <w:rFonts w:eastAsia="Calibri"/>
          <w:szCs w:val="24"/>
          <w:vertAlign w:val="superscript"/>
          <w:lang w:eastAsia="en-US"/>
        </w:rPr>
        <w:footnoteReference w:id="17"/>
      </w:r>
      <w:r w:rsidRPr="00E13AD4">
        <w:t>,</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w:t>
      </w:r>
      <w:r w:rsidRPr="00E13AD4">
        <w:t xml:space="preserve"> </w:t>
      </w:r>
      <w:r w:rsidRPr="00E13AD4">
        <w:rPr>
          <w:snapToGrid w:val="0"/>
        </w:rPr>
        <w:t>STRAT-Board, instrumentul interactiv dezvoltat de Centrul Comun de Cercetare (JRC) al Comisiei Europene și DG REGIO, care prezintă modul în care fondurile structurale și de investiții europene (fondurile ESI) sprijină abordarea integrată a dezvoltării urbane și teritoriale</w:t>
      </w:r>
      <w:r w:rsidRPr="00E13AD4">
        <w:rPr>
          <w:rStyle w:val="FootnoteReference"/>
          <w:snapToGrid w:val="0"/>
          <w:lang w:eastAsia="en-US"/>
        </w:rPr>
        <w:footnoteReference w:id="18"/>
      </w:r>
      <w:r w:rsidRPr="00E13AD4">
        <w:t>,</w:t>
      </w:r>
    </w:p>
    <w:p w:rsidR="00942AB2" w:rsidRPr="00E13AD4" w:rsidRDefault="00942AB2" w:rsidP="00D8549E">
      <w:pPr>
        <w:widowControl/>
        <w:spacing w:after="240"/>
        <w:ind w:left="567" w:hanging="567"/>
      </w:pPr>
      <w:r w:rsidRPr="00E13AD4">
        <w:rPr>
          <w:snapToGrid w:val="0"/>
        </w:rPr>
        <w:t>–</w:t>
      </w:r>
      <w:r w:rsidRPr="00E13AD4">
        <w:rPr>
          <w:snapToGrid w:val="0"/>
        </w:rPr>
        <w:tab/>
        <w:t>având în vedere</w:t>
      </w:r>
      <w:r w:rsidRPr="00E13AD4">
        <w:t xml:space="preserve"> Manualul strategiilor de dezvoltare teritorială și locală</w:t>
      </w:r>
      <w:r w:rsidRPr="00E13AD4">
        <w:rPr>
          <w:vertAlign w:val="superscript"/>
        </w:rPr>
        <w:footnoteReference w:id="19"/>
      </w:r>
      <w:r w:rsidRPr="00E13AD4">
        <w:t xml:space="preserve"> și Manualul strategiilor de dezvoltare urbană durabilă</w:t>
      </w:r>
      <w:r w:rsidR="00D8549E" w:rsidRPr="00E13AD4">
        <w:rPr>
          <w:rStyle w:val="FootnoteReference"/>
        </w:rPr>
        <w:footnoteReference w:id="20"/>
      </w:r>
      <w:r w:rsidRPr="00E13AD4">
        <w:t>, publicate de JRC,</w:t>
      </w:r>
    </w:p>
    <w:p w:rsidR="00942AB2" w:rsidRPr="00E13AD4" w:rsidRDefault="00942AB2" w:rsidP="00D8549E">
      <w:pPr>
        <w:pStyle w:val="NormalBold"/>
        <w:widowControl/>
        <w:spacing w:after="240"/>
        <w:ind w:left="567" w:hanging="567"/>
        <w:jc w:val="both"/>
      </w:pPr>
      <w:r w:rsidRPr="00E13AD4">
        <w:rPr>
          <w:b w:val="0"/>
        </w:rPr>
        <w:t>–</w:t>
      </w:r>
      <w:r w:rsidRPr="00E13AD4">
        <w:rPr>
          <w:b w:val="0"/>
        </w:rPr>
        <w:tab/>
        <w:t xml:space="preserve">având în vedere documentul de lucru elaborat de DG REGIO intitulat „The </w:t>
      </w:r>
      <w:proofErr w:type="spellStart"/>
      <w:r w:rsidRPr="00E13AD4">
        <w:rPr>
          <w:b w:val="0"/>
        </w:rPr>
        <w:t>geography</w:t>
      </w:r>
      <w:proofErr w:type="spellEnd"/>
      <w:r w:rsidRPr="00E13AD4">
        <w:rPr>
          <w:b w:val="0"/>
        </w:rPr>
        <w:t xml:space="preserve"> of EU </w:t>
      </w:r>
      <w:proofErr w:type="spellStart"/>
      <w:r w:rsidRPr="00E13AD4">
        <w:rPr>
          <w:b w:val="0"/>
        </w:rPr>
        <w:t>discontent</w:t>
      </w:r>
      <w:proofErr w:type="spellEnd"/>
      <w:r w:rsidRPr="00E13AD4">
        <w:rPr>
          <w:b w:val="0"/>
        </w:rPr>
        <w:t xml:space="preserve"> </w:t>
      </w:r>
      <w:proofErr w:type="spellStart"/>
      <w:r w:rsidRPr="00E13AD4">
        <w:rPr>
          <w:b w:val="0"/>
        </w:rPr>
        <w:t>and</w:t>
      </w:r>
      <w:proofErr w:type="spellEnd"/>
      <w:r w:rsidRPr="00E13AD4">
        <w:rPr>
          <w:b w:val="0"/>
        </w:rPr>
        <w:t xml:space="preserve"> the regional </w:t>
      </w:r>
      <w:proofErr w:type="spellStart"/>
      <w:r w:rsidRPr="00E13AD4">
        <w:rPr>
          <w:b w:val="0"/>
        </w:rPr>
        <w:t>development</w:t>
      </w:r>
      <w:proofErr w:type="spellEnd"/>
      <w:r w:rsidRPr="00E13AD4">
        <w:rPr>
          <w:b w:val="0"/>
        </w:rPr>
        <w:t xml:space="preserve"> trap” (Geografia nemulțumirii UE și capcana dezvoltării regionale), publicat în martie 2023,</w:t>
      </w:r>
    </w:p>
    <w:p w:rsidR="00942AB2" w:rsidRPr="00E13AD4" w:rsidRDefault="00942AB2" w:rsidP="00D8549E">
      <w:pPr>
        <w:pStyle w:val="NormalBold"/>
        <w:widowControl/>
        <w:spacing w:after="240"/>
        <w:ind w:left="567" w:hanging="567"/>
        <w:jc w:val="both"/>
        <w:rPr>
          <w:b w:val="0"/>
        </w:rPr>
      </w:pPr>
      <w:r w:rsidRPr="00E13AD4">
        <w:rPr>
          <w:b w:val="0"/>
        </w:rPr>
        <w:t>–</w:t>
      </w:r>
      <w:r w:rsidRPr="00E13AD4">
        <w:rPr>
          <w:b w:val="0"/>
        </w:rPr>
        <w:tab/>
        <w:t>având în vedere studiul efectuat de Consiliul localităților și regiunilor europene, intitulat „ITI și DLRC. Utilizarea instrumentelor teritoriale integrate în politica de coeziune”, publicat în decembrie 2022,</w:t>
      </w:r>
    </w:p>
    <w:p w:rsidR="00942AB2" w:rsidRPr="00E13AD4" w:rsidRDefault="00942AB2" w:rsidP="00D8549E">
      <w:pPr>
        <w:pStyle w:val="NormalBold"/>
        <w:widowControl/>
        <w:spacing w:after="240"/>
        <w:ind w:left="567" w:hanging="567"/>
        <w:jc w:val="both"/>
        <w:rPr>
          <w:b w:val="0"/>
        </w:rPr>
      </w:pPr>
      <w:r w:rsidRPr="00E13AD4">
        <w:rPr>
          <w:b w:val="0"/>
        </w:rPr>
        <w:lastRenderedPageBreak/>
        <w:t>–</w:t>
      </w:r>
      <w:r w:rsidRPr="00E13AD4">
        <w:rPr>
          <w:b w:val="0"/>
        </w:rPr>
        <w:tab/>
        <w:t>având în vedere Carta de la Leipzig pentru orașe europene durabile din 2007 și Noua Cartă de la Leipzig – Puterea transformatoare a orașelor pentru binele comun din 30 noiembrie 2020,</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 articolul 54 din Regulamentul său de procedură, precum și articolul 1 alineatul (1) litera (e) și anexa 3 din Decizia Conferinței președinților din 12 decembrie 2002 privind procedura de autorizare a rapoartelor din proprie inițiativă,</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având în vedere</w:t>
      </w:r>
      <w:r w:rsidRPr="00E13AD4">
        <w:t xml:space="preserve"> avizul Comisiei pentru agricultură și dezvoltare rurală,</w:t>
      </w:r>
    </w:p>
    <w:p w:rsidR="00942AB2" w:rsidRPr="00E13AD4" w:rsidRDefault="00942AB2" w:rsidP="00D8549E">
      <w:pPr>
        <w:widowControl/>
        <w:spacing w:after="240"/>
        <w:ind w:left="567" w:hanging="567"/>
        <w:rPr>
          <w:snapToGrid w:val="0"/>
        </w:rPr>
      </w:pPr>
      <w:r w:rsidRPr="00E13AD4">
        <w:rPr>
          <w:snapToGrid w:val="0"/>
        </w:rPr>
        <w:t>–</w:t>
      </w:r>
      <w:r w:rsidRPr="00E13AD4">
        <w:rPr>
          <w:snapToGrid w:val="0"/>
        </w:rPr>
        <w:tab/>
        <w:t xml:space="preserve">având în vedere </w:t>
      </w:r>
      <w:r w:rsidRPr="00E13AD4">
        <w:t>raportul Comisiei pentru dezvoltare regională (A9-0420/2023),</w:t>
      </w:r>
    </w:p>
    <w:p w:rsidR="00942AB2" w:rsidRPr="00E13AD4" w:rsidRDefault="00942AB2" w:rsidP="00D8549E">
      <w:pPr>
        <w:pStyle w:val="NormalHanging12a"/>
        <w:widowControl/>
      </w:pPr>
      <w:r w:rsidRPr="00E13AD4">
        <w:t>A.</w:t>
      </w:r>
      <w:r w:rsidRPr="00E13AD4">
        <w:tab/>
        <w:t xml:space="preserve">întrucât politica de coeziune rămâne și ar trebui să rămână principala politică de investiții pentru regiunile și orașele UE și nu este menită să servească în mod consecvent drept primă opțiune de asistență financiară pentru a face față unor evenimente neprevăzute care bulversează </w:t>
      </w:r>
      <w:proofErr w:type="spellStart"/>
      <w:r w:rsidRPr="00E13AD4">
        <w:t>socio</w:t>
      </w:r>
      <w:proofErr w:type="spellEnd"/>
      <w:r w:rsidRPr="00E13AD4">
        <w:t>-economia noastră; întrucât Agenda teritorială este instrumentul de coordonare a politicii teritoriale a UE, așa cum se reflectă în programele și proiectele sale naționale, oferind orientări pentru amenajarea strategică a teritoriului și dezvoltarea regională, solicitând consolidarea dimensiunii teritoriale a politicilor sectoriale la toate nivelurile de guvernanță și urmărind să promoveze un viitor incluziv și sustenabil pentru toate locurile și să contribuie la realizarea ODD-urilor în Europa;</w:t>
      </w:r>
    </w:p>
    <w:p w:rsidR="00942AB2" w:rsidRPr="00E13AD4" w:rsidRDefault="00942AB2" w:rsidP="00D8549E">
      <w:pPr>
        <w:pStyle w:val="NormalHanging12a"/>
        <w:widowControl/>
        <w:rPr>
          <w:szCs w:val="24"/>
        </w:rPr>
      </w:pPr>
      <w:r w:rsidRPr="00E13AD4">
        <w:t>B.</w:t>
      </w:r>
      <w:r w:rsidRPr="00E13AD4">
        <w:tab/>
        <w:t>întrucât problemele cu care se confruntă regiunile UE sunt identificate și gestionate la nivel teritorial;</w:t>
      </w:r>
    </w:p>
    <w:p w:rsidR="00942AB2" w:rsidRPr="00E13AD4" w:rsidRDefault="00942AB2" w:rsidP="00D8549E">
      <w:pPr>
        <w:pStyle w:val="NormalHanging12a"/>
        <w:widowControl/>
      </w:pPr>
      <w:r w:rsidRPr="00E13AD4">
        <w:t>C.</w:t>
      </w:r>
      <w:r w:rsidRPr="00E13AD4">
        <w:tab/>
        <w:t>întrucât regulamentele anterioare și actuale privind dispozițiile comune nu fac nicio referire specifică la Agenda teritorială 2020 sau, respectiv, 2030; întrucât titlul III capitolul II din actualul Regulament privind dispozițiile comune oferă baza pentru atragerea fondurilor politicii de coeziune prin strategii de dezvoltare teritorială; întrucât articolul 7 din Regulamentul (</w:t>
      </w:r>
      <w:r w:rsidR="001F0374">
        <w:t>U</w:t>
      </w:r>
      <w:r w:rsidRPr="00E13AD4">
        <w:t>E) nr. 1301/2013</w:t>
      </w:r>
      <w:r w:rsidRPr="00E13AD4">
        <w:rPr>
          <w:rStyle w:val="FootnoteReference"/>
        </w:rPr>
        <w:footnoteReference w:id="21"/>
      </w:r>
      <w:r w:rsidRPr="00E13AD4">
        <w:t xml:space="preserve"> se referă la dezvoltarea urbană durabilă bazată pe strategii urbane durabile integrate drept cadru pentru selectarea operațiunilor unice;</w:t>
      </w:r>
    </w:p>
    <w:p w:rsidR="00942AB2" w:rsidRPr="00E13AD4" w:rsidRDefault="00942AB2" w:rsidP="00D8549E">
      <w:pPr>
        <w:pStyle w:val="NormalHanging12a"/>
        <w:widowControl/>
        <w:rPr>
          <w:szCs w:val="24"/>
        </w:rPr>
      </w:pPr>
      <w:r w:rsidRPr="00E13AD4">
        <w:t>D.</w:t>
      </w:r>
      <w:r w:rsidRPr="00E13AD4">
        <w:tab/>
        <w:t>întrucât abordarea localizată a procesului de elaborare a politicilor, bazată pe dezvoltarea teritorială integrată urmărește să deblocheze potențialul unic al resurselor, cunoștințelor și activelor teritoriale, recunoscând, în același timp, necesitatea unor soluții adaptate în diferite tipuri de teritorii;</w:t>
      </w:r>
    </w:p>
    <w:p w:rsidR="00942AB2" w:rsidRPr="00E13AD4" w:rsidRDefault="00942AB2" w:rsidP="00D8549E">
      <w:pPr>
        <w:pStyle w:val="NormalHanging12a"/>
        <w:widowControl/>
      </w:pPr>
      <w:r w:rsidRPr="00E13AD4">
        <w:t>E.</w:t>
      </w:r>
      <w:r w:rsidRPr="00E13AD4">
        <w:tab/>
        <w:t>întrucât se pare că principalele dificultăți cu care s-au confruntat instituțiile locale și regionale și societatea civilă în perioad</w:t>
      </w:r>
      <w:bookmarkStart w:id="8" w:name="_GoBack"/>
      <w:bookmarkEnd w:id="8"/>
      <w:r w:rsidRPr="00E13AD4">
        <w:t xml:space="preserve">a 2014-2020 au fost sprijinul tehnic și administrativ insuficient, obstacolele birocratice disproporționate, lipsa competențelor și a formării, a cunoștințelor și a consolidării capacităților, precum și slaba cooperare între diferitele niveluri de guvernanță, pe lângă absorbția lentă a fondurilor; </w:t>
      </w:r>
    </w:p>
    <w:p w:rsidR="00942AB2" w:rsidRPr="00E13AD4" w:rsidRDefault="00942AB2" w:rsidP="00D8549E">
      <w:pPr>
        <w:pStyle w:val="NormalHanging12a"/>
        <w:widowControl/>
        <w:rPr>
          <w:szCs w:val="24"/>
        </w:rPr>
      </w:pPr>
      <w:r w:rsidRPr="00E13AD4">
        <w:lastRenderedPageBreak/>
        <w:t>F.</w:t>
      </w:r>
      <w:r w:rsidRPr="00E13AD4">
        <w:tab/>
        <w:t>întrucât se pare că, în regiunile și unitățile administrative în care este pus în aplicare LEADER, un administrator obligatoriu al Grupului de acțiune locală contribuie la îmbunătățirea performanței și a absorbției finanțării regionale;</w:t>
      </w:r>
    </w:p>
    <w:p w:rsidR="00942AB2" w:rsidRPr="00E13AD4" w:rsidRDefault="00942AB2" w:rsidP="00D8549E">
      <w:pPr>
        <w:pStyle w:val="NormalHanging12a"/>
        <w:widowControl/>
        <w:rPr>
          <w:szCs w:val="24"/>
        </w:rPr>
      </w:pPr>
      <w:r w:rsidRPr="00E13AD4">
        <w:t>G.</w:t>
      </w:r>
      <w:r w:rsidRPr="00E13AD4">
        <w:tab/>
        <w:t>întrucât bogăția diversității teritoriale a Europei ar trebui considerată un sistem dinamic și complex în care fiecare regiune se confruntă cu dificultăți în materie de dezvoltare, în funcție de caracteristicile sale specifice; întrucât inegalitățile tot mai mari între locuri și între oameni au atins un nivel critic și este necesară o acțiune concertată la toate nivelurile geografice și de guvernanță pentru a asigura perspective viitoare pozitive pentru toate persoanele și locurile din întreaga UE;</w:t>
      </w:r>
    </w:p>
    <w:p w:rsidR="00942AB2" w:rsidRPr="00E13AD4" w:rsidRDefault="00942AB2" w:rsidP="00D8549E">
      <w:pPr>
        <w:pStyle w:val="NormalHanging12a"/>
        <w:widowControl/>
      </w:pPr>
      <w:r w:rsidRPr="00E13AD4">
        <w:t>H.</w:t>
      </w:r>
      <w:r w:rsidRPr="00E13AD4">
        <w:tab/>
        <w:t>întrucât Manualul strategiilor de dezvoltare teritorială și locală oferă sprijin metodologic la toate nivelurile;</w:t>
      </w:r>
    </w:p>
    <w:p w:rsidR="00942AB2" w:rsidRPr="00E13AD4" w:rsidRDefault="00942AB2" w:rsidP="00D8549E">
      <w:pPr>
        <w:pStyle w:val="NormalHanging12a"/>
        <w:widowControl/>
        <w:rPr>
          <w:szCs w:val="24"/>
        </w:rPr>
      </w:pPr>
      <w:r w:rsidRPr="00E13AD4">
        <w:t>I.</w:t>
      </w:r>
      <w:r w:rsidRPr="00E13AD4">
        <w:tab/>
        <w:t xml:space="preserve">întrucât </w:t>
      </w:r>
      <w:proofErr w:type="spellStart"/>
      <w:r w:rsidRPr="00E13AD4">
        <w:t>microcoeziunea</w:t>
      </w:r>
      <w:proofErr w:type="spellEnd"/>
      <w:r w:rsidRPr="00E13AD4">
        <w:t xml:space="preserve"> este o formă de echilibru pentru zonele subdezvoltate din regiunile mai dezvoltate; întrucât, concentrându-se în mod explicit pe „locuri și oameni”, Agenda teritorială (AT2030) este un pionier al „ideii de coeziune interpersonală” alături de coeziunea teritorială, ținând seama de faptul că aceste disparități pot fi abordate numai prin acordarea unei atenții sporite diversității și potențialului teritoriilor, precum și prin elaborarea de politici și strategii bazate pe realitatea zonei, cu scopul de a integra mai bine dimensiunea teritorială în toate fondurile UE;</w:t>
      </w:r>
    </w:p>
    <w:p w:rsidR="00942AB2" w:rsidRPr="00E13AD4" w:rsidRDefault="00942AB2" w:rsidP="00D8549E">
      <w:pPr>
        <w:pStyle w:val="NormalHanging12a"/>
        <w:widowControl/>
        <w:rPr>
          <w:szCs w:val="24"/>
        </w:rPr>
      </w:pPr>
      <w:r w:rsidRPr="00E13AD4">
        <w:t>J.</w:t>
      </w:r>
      <w:r w:rsidRPr="00E13AD4">
        <w:tab/>
        <w:t>întrucât articolul 28 din RDC desemnează investițiile teritoriale integrate (ITI) și dezvoltarea locală plasată sub responsabilitatea comunității (DLRC) drept instrumente pentru punerea în aplicare a strategiilor de dezvoltare teritorială și solicită coerență și coordonare între fonduri atunci când se aplică mai multe dintre acestea aceleiași strategii pentru dezvoltarea regională sau locală; întrucât aceste instrumente vizează dezvoltarea teritorială ascendentă și întăresc participarea activă a părților interesate de la nivel local;</w:t>
      </w:r>
    </w:p>
    <w:p w:rsidR="00942AB2" w:rsidRPr="00E13AD4" w:rsidRDefault="00942AB2" w:rsidP="00D8549E">
      <w:pPr>
        <w:pStyle w:val="NormalHanging12a"/>
        <w:widowControl/>
      </w:pPr>
      <w:r w:rsidRPr="00E13AD4">
        <w:t>K.</w:t>
      </w:r>
      <w:r w:rsidRPr="00E13AD4">
        <w:tab/>
        <w:t>întrucât, în perioada 2014-2020, au fost programate 1 975 de strategii în cele 28 de state membre de la momentul respectiv, finanțate cu 19 miliarde EUR din Fondul european de dezvoltare regională (FEDR), dintre care 13,8 miliarde EUR au fost alocate ITI în nouă state membre;</w:t>
      </w:r>
    </w:p>
    <w:p w:rsidR="00942AB2" w:rsidRPr="00E13AD4" w:rsidRDefault="00942AB2" w:rsidP="00D8549E">
      <w:pPr>
        <w:pStyle w:val="NormalHanging12a"/>
        <w:widowControl/>
      </w:pPr>
      <w:r w:rsidRPr="00E13AD4">
        <w:t>L.</w:t>
      </w:r>
      <w:r w:rsidRPr="00E13AD4">
        <w:tab/>
        <w:t>întrucât DLRC a fost al doilea cel mai utilizat instrument de către statele membre pentru dezvoltarea strategiilor teritoriale sau locale în perioada 2014-2020 și garantează că administrațiile locale și regionale și părțile interesate vor fi implicate îndeaproape la pregătirea, punerea în aplicare și monitorizarea fondurilor UE pe care le primesc; întrucât nu există nicio alocare pentru utilizarea DLRC în perioada de programare 2021-2027;</w:t>
      </w:r>
    </w:p>
    <w:p w:rsidR="00942AB2" w:rsidRPr="00E13AD4" w:rsidRDefault="00942AB2" w:rsidP="00D8549E">
      <w:pPr>
        <w:pStyle w:val="NormalHanging12a"/>
        <w:widowControl/>
      </w:pPr>
      <w:r w:rsidRPr="00E13AD4">
        <w:t>M.</w:t>
      </w:r>
      <w:r w:rsidRPr="00E13AD4">
        <w:tab/>
        <w:t xml:space="preserve">întrucât punerea în aplicare a ITI și a DLRC rămâne inegală la nivelul UE, iar mai multe state membre și autorități de management nu par să fie foarte angajate să le implementeze; întrucât interpretarea și punerea în aplicare a obiectivului de politică 5 „Europa mai aproape de cetățeni” (OP5) diferă de la un stat membru la altul, ceea ce duce la o implementare redusă a ITI și DLRC; întrucât </w:t>
      </w:r>
      <w:proofErr w:type="spellStart"/>
      <w:r w:rsidRPr="00E13AD4">
        <w:t>colegiuitorii</w:t>
      </w:r>
      <w:proofErr w:type="spellEnd"/>
      <w:r w:rsidRPr="00E13AD4">
        <w:t xml:space="preserve"> ar trebui să aibă în vedere, în viitor, o punere în aplicare mai flexibilă a OP5, fără cerințe stricte privind strategiile și guvernanța, contribuind la deschiderea acesteia către toate tipurile de inițiative care ajută la dezvoltarea regională și locală;</w:t>
      </w:r>
    </w:p>
    <w:p w:rsidR="00942AB2" w:rsidRPr="00E13AD4" w:rsidRDefault="00942AB2" w:rsidP="00D8549E">
      <w:pPr>
        <w:pStyle w:val="NormalHanging12a"/>
        <w:widowControl/>
        <w:rPr>
          <w:szCs w:val="24"/>
        </w:rPr>
      </w:pPr>
      <w:r w:rsidRPr="00E13AD4">
        <w:lastRenderedPageBreak/>
        <w:t>N.</w:t>
      </w:r>
      <w:r w:rsidRPr="00E13AD4">
        <w:tab/>
        <w:t>întrucât ITI și DLRC sunt instrumente care ar trebui să vizeze nu numai facilitarea unei abordări ascendente a dezvoltării teritoriale prin implicarea administrațiilor locale și regionale de la început, ci și prin facilitarea dialogului între diferitele părți interesate și prin intensificarea cooperării dintre sectorul public și cel privat, precum și prin încurajarea cooperării și a transferului de informații între toate nivelurile administrației;</w:t>
      </w:r>
    </w:p>
    <w:p w:rsidR="00942AB2" w:rsidRPr="00E13AD4" w:rsidRDefault="00942AB2" w:rsidP="00D8549E">
      <w:pPr>
        <w:pStyle w:val="NormalHanging12a"/>
        <w:widowControl/>
      </w:pPr>
      <w:r w:rsidRPr="00E13AD4">
        <w:t>O.</w:t>
      </w:r>
      <w:r w:rsidRPr="00E13AD4">
        <w:tab/>
        <w:t>întrucât AT2030 invită Parlamentul și Comisia sa pentru dezvoltare regională, comisia competentă pentru coeziune economică, socială și teritorială, să țină seama de obiectivele acesteia, pledând pentru prioritățile sale în cadrul proceselor legislative ale UE;</w:t>
      </w:r>
    </w:p>
    <w:p w:rsidR="00942AB2" w:rsidRPr="00E13AD4" w:rsidRDefault="00942AB2" w:rsidP="00D8549E">
      <w:pPr>
        <w:pStyle w:val="NormalHanging12a"/>
        <w:widowControl/>
      </w:pPr>
      <w:r w:rsidRPr="00E13AD4">
        <w:t>P.</w:t>
      </w:r>
      <w:r w:rsidRPr="00E13AD4">
        <w:tab/>
        <w:t>întrucât ITI și politicile bazate pe realitatea zonei sunt condiții necesare pentru atingerea obiectivelor strategice ale UE, cum ar fi tranziția verde și cea digitală; întrucât politicile locale pot ajuta teritoriile să scape de declinul economic pe termen lung și de „capcana dezvoltării regionale”, în care o regiune nu își poate menține dinamica economică în ceea ce privește veniturile, productivitatea și ocuparea forței de muncă;</w:t>
      </w:r>
    </w:p>
    <w:p w:rsidR="00942AB2" w:rsidRPr="00E13AD4" w:rsidRDefault="00942AB2" w:rsidP="00D8549E">
      <w:pPr>
        <w:pStyle w:val="NormalHanging12a"/>
        <w:widowControl/>
      </w:pPr>
      <w:r w:rsidRPr="00E13AD4">
        <w:t>Q.</w:t>
      </w:r>
      <w:r w:rsidRPr="00E13AD4">
        <w:tab/>
        <w:t>întrucât AT2030 definește două obiective generale, o Europă justă și o Europă verde, care au șase priorități (Europa echilibrată, regiunile funcționale, integrarea dincolo de frontiere, mediul sănătos, economia circulară și conexiunile durabile) pentru dezvoltarea întregului teritoriu european și a tuturor locurilor sale; întrucât AT2030 aliniază și mai mult obiectivele de dezvoltare teritorială ale UE la Agenda 2030 pentru dezvoltare durabilă a ONU și la Pactul verde european; întrucât Agenda urbană a UE, prin Carta de la Leipzig, sprijină obiectivele AT2030;</w:t>
      </w:r>
    </w:p>
    <w:p w:rsidR="00942AB2" w:rsidRPr="00E13AD4" w:rsidRDefault="00942AB2" w:rsidP="00D8549E">
      <w:pPr>
        <w:pStyle w:val="NormalHanging12a"/>
        <w:widowControl/>
        <w:rPr>
          <w:szCs w:val="24"/>
        </w:rPr>
      </w:pPr>
      <w:r w:rsidRPr="00E13AD4">
        <w:t>R.</w:t>
      </w:r>
      <w:r w:rsidRPr="00E13AD4">
        <w:tab/>
        <w:t>întrucât dezvoltarea teritorială comună puternică prin RDC și punerea în aplicare a AT2030 pot consolida solidaritatea și procesele democratice și o Uniune echitabilă și verde; întrucât abordările teritoriale adaugă valoare prin aplicarea unei perspective strategice și spațiale care reflectă combinațiile specifice ale provocărilor și oportunităților sociale, instituționale, economice și de mediu care influențează dezvoltarea tuturor tipurilor de teritorii;</w:t>
      </w:r>
    </w:p>
    <w:p w:rsidR="00942AB2" w:rsidRPr="00E13AD4" w:rsidRDefault="00942AB2" w:rsidP="00D8549E">
      <w:pPr>
        <w:pStyle w:val="NormalHanging12a"/>
        <w:widowControl/>
      </w:pPr>
      <w:r w:rsidRPr="00E13AD4">
        <w:t>S.</w:t>
      </w:r>
      <w:r w:rsidRPr="00E13AD4">
        <w:tab/>
        <w:t xml:space="preserve">întrucât punerea în aplicare a priorităților AT2030 rămâne inegală pe teritoriul UE, ținând seama în special de disparitățile spațiale, cum ar fi </w:t>
      </w:r>
      <w:proofErr w:type="spellStart"/>
      <w:r w:rsidRPr="00E13AD4">
        <w:t>insularitatea</w:t>
      </w:r>
      <w:proofErr w:type="spellEnd"/>
      <w:r w:rsidRPr="00E13AD4">
        <w:t>; întrucât concluziile AT2030 arată inegalități din ce în ce mai mari în cadrul UE, care accentuează decalajele dintre oameni și dintre teritorii;</w:t>
      </w:r>
    </w:p>
    <w:p w:rsidR="00942AB2" w:rsidRPr="00E13AD4" w:rsidRDefault="00942AB2" w:rsidP="00D8549E">
      <w:pPr>
        <w:pStyle w:val="NormalHanging12a"/>
        <w:widowControl/>
      </w:pPr>
      <w:r w:rsidRPr="00E13AD4">
        <w:t>T.</w:t>
      </w:r>
      <w:r w:rsidRPr="00E13AD4">
        <w:tab/>
        <w:t>întrucât AT2030 solicită consolidarea dimensiunii teritoriale a politicilor sectoriale la toate nivelurile de guvernanță; întrucât principiile directoare ale AT2030 sunt cuprinse în cele două priorități „Oamenii și locurile se îndepărtează” și „Dezvoltarea durabilă și schimbările climatice”;</w:t>
      </w:r>
    </w:p>
    <w:p w:rsidR="00942AB2" w:rsidRPr="00E13AD4" w:rsidRDefault="00942AB2" w:rsidP="00D8549E">
      <w:pPr>
        <w:pStyle w:val="NormalHanging12a"/>
        <w:widowControl/>
      </w:pPr>
      <w:r w:rsidRPr="00E13AD4">
        <w:t>U.</w:t>
      </w:r>
      <w:r w:rsidRPr="00E13AD4">
        <w:tab/>
        <w:t>întrucât șapte acțiuni-pilot au fost lansate odată cu adoptarea AT2030, fiind un exemplu de aplicare a obiectivelor sale pe teren, la nivel local și regional, și inspirând acțiuni comune în întreaga UE, și anume: „Un viitor pentru regiunile rămase în urmă”, „Înțelegerea modului în care politicile sectoriale modelează (</w:t>
      </w:r>
      <w:proofErr w:type="spellStart"/>
      <w:r w:rsidRPr="00E13AD4">
        <w:t>dez</w:t>
      </w:r>
      <w:proofErr w:type="spellEnd"/>
      <w:r w:rsidRPr="00E13AD4">
        <w:t>)echilibrele spațiale”, „Locuri mici contează”, „Amenajarea teritoriului transfrontalier”, „Acțiuni climatice în orașele alpine”, „Adaptarea la schimbările climatice și reziliența prin tranziția peisagistică” și „Reducerea artificializării terenurilor, a expansiunii urbane și a impermeabilizării solului în orașe de diferite dimensiuni și zone urbane funcționale”;</w:t>
      </w:r>
    </w:p>
    <w:p w:rsidR="00942AB2" w:rsidRPr="00E13AD4" w:rsidRDefault="00942AB2" w:rsidP="00D8549E">
      <w:pPr>
        <w:pStyle w:val="NormalHanging12a"/>
        <w:widowControl/>
        <w:rPr>
          <w:szCs w:val="24"/>
        </w:rPr>
      </w:pPr>
      <w:r w:rsidRPr="00E13AD4">
        <w:lastRenderedPageBreak/>
        <w:t>V.</w:t>
      </w:r>
      <w:r w:rsidRPr="00E13AD4">
        <w:tab/>
        <w:t>întrucât, având în vedere echilibrul geografic limitat în dezvoltarea acestor acțiuni-pilot și dificultățile administrative întâmpinate atunci când acțiunile-pilot au fost finanțate de mai multe programe, este necesară o mai bună colectare a datelor ș</w:t>
      </w:r>
      <w:r w:rsidR="006C3F07">
        <w:t>i o revizuire coerentă a AT2030,</w:t>
      </w:r>
    </w:p>
    <w:p w:rsidR="00942AB2" w:rsidRPr="00E13AD4" w:rsidRDefault="00942AB2" w:rsidP="00D8549E">
      <w:pPr>
        <w:pStyle w:val="NormalHanging12a"/>
        <w:widowControl/>
      </w:pPr>
      <w:r w:rsidRPr="00E13AD4">
        <w:t>1.</w:t>
      </w:r>
      <w:r w:rsidRPr="00E13AD4">
        <w:tab/>
        <w:t>subliniază că, în perioada 2014-2020, doar 28 % din strategiile de dezvoltare urbană durabilă au fost puse în aplicare prin intermediul ITI; invită Comisia să ia măsuri pentru a încuraja utilizarea unor astfel de instrumente pentru dezvoltarea AT2030, în special prin intensificarea activităților de comunicare;</w:t>
      </w:r>
    </w:p>
    <w:p w:rsidR="00942AB2" w:rsidRPr="00E13AD4" w:rsidRDefault="00942AB2" w:rsidP="00D8549E">
      <w:pPr>
        <w:pStyle w:val="NormalHanging12a"/>
        <w:widowControl/>
      </w:pPr>
      <w:r w:rsidRPr="00E13AD4">
        <w:t>2.</w:t>
      </w:r>
      <w:r w:rsidRPr="00E13AD4">
        <w:tab/>
        <w:t>subliniază contribuția valoroasă la dezvoltarea teritorială a acțiunilor puse în aplicare prin DLRC, cum ar fi cele din cadrul programului LEADER; invită Comisia și statele membre să consolideze LEADER prin majorarea pachetului său bugetar, prin garantarea unui nivel ridicat de autonomie a grupurilor de acțiune locală în ceea ce privește constituirea lor și procesul lor decizional și prin reducerea sarcinii administrative;</w:t>
      </w:r>
    </w:p>
    <w:p w:rsidR="00942AB2" w:rsidRPr="00E13AD4" w:rsidRDefault="00942AB2" w:rsidP="00D8549E">
      <w:pPr>
        <w:pStyle w:val="NormalHanging12a"/>
        <w:widowControl/>
        <w:rPr>
          <w:szCs w:val="24"/>
        </w:rPr>
      </w:pPr>
      <w:r w:rsidRPr="00E13AD4">
        <w:t>3.</w:t>
      </w:r>
      <w:r w:rsidRPr="00E13AD4">
        <w:tab/>
        <w:t>invită Comisia să utilizeze rezultatele următorului raport de evaluare pe 2024 pentru perioada de programare 2014-2020 și rezultatele acțiunilor realizate prin DLRC, cum ar fi cele din programul LEADER, pentru a sprijini programele din perioada 2021-2027; ia act de importanța analizei calitative a instrumentelor de dezvoltare teritorială; regretă, în acest sens, concluzia raportului special al Curții de Conturi Europene privind LEADER și DLRC, potrivit căreia beneficiile lor nu sunt suficient demonstrate;</w:t>
      </w:r>
    </w:p>
    <w:p w:rsidR="00942AB2" w:rsidRPr="00E13AD4" w:rsidRDefault="00942AB2" w:rsidP="00D8549E">
      <w:pPr>
        <w:pStyle w:val="NormalHanging12a"/>
        <w:widowControl/>
        <w:rPr>
          <w:szCs w:val="24"/>
        </w:rPr>
      </w:pPr>
      <w:r w:rsidRPr="00E13AD4">
        <w:t>4.</w:t>
      </w:r>
      <w:r w:rsidRPr="00E13AD4">
        <w:tab/>
        <w:t>salută Manualul strategiilor de dezvoltare teritorială și locală și Manualul strategiilor de dezvoltare urbană durabilă ca ghiduri pentru toate nivelurile administrative pentru conceperea, punerea în aplicare și monitorizarea strategiilor de dezvoltare teritorială și locală, inclusiv urbană; consideră că ar trebui să se promoveze diseminarea bunelor practici pentru a garanta că proiectele sunt eficiente și durabile; regretă, cu toate acestea, publicarea cu întârziere a acestor manuale și încurajează Comisia să elaboreze în timp util orientări pentru a simplifica procesul de dezvoltare a programelor operaționale; subliniază necesitatea de a oferi mai multe orientări și o mai mare flexibilitate statelor membre pentru a implementa OP5 „Europa mai aproape de cetățeni” și acțiunile de realizare a acestuia, precum și de a le alinia la cele stabilite în AT2030 și de a crea stimulente pentru a aloca mai multe fonduri pentru OP 5;</w:t>
      </w:r>
    </w:p>
    <w:p w:rsidR="00942AB2" w:rsidRPr="00E13AD4" w:rsidRDefault="00942AB2" w:rsidP="00D8549E">
      <w:pPr>
        <w:pStyle w:val="NormalHanging12a"/>
        <w:widowControl/>
      </w:pPr>
      <w:r w:rsidRPr="00E13AD4">
        <w:t>5.</w:t>
      </w:r>
      <w:r w:rsidRPr="00E13AD4">
        <w:tab/>
        <w:t>invită statele membre să promoveze amenajarea strategică a teritoriului, care să ia în considerare teritoriile în ansamblu dincolo de zonele metropolitane, urbane și urbane funcționale; invită, de asemenea, statele membre să consolideze legăturile dintre mediul rural și cel urban ca modalitate de realizare a unei dezvoltări teritoriale mai echilibrate în întreaga UE și să ia în considerare planificarea și implementarea la nivel transfrontalier prin abordări ascendente, cum ar fi DLRC/ITI;</w:t>
      </w:r>
    </w:p>
    <w:p w:rsidR="00942AB2" w:rsidRPr="00E13AD4" w:rsidRDefault="00942AB2" w:rsidP="00D8549E">
      <w:pPr>
        <w:pStyle w:val="NormalHanging12a"/>
        <w:widowControl/>
        <w:rPr>
          <w:szCs w:val="24"/>
        </w:rPr>
      </w:pPr>
      <w:r w:rsidRPr="00E13AD4">
        <w:t>6.</w:t>
      </w:r>
      <w:r w:rsidRPr="00E13AD4">
        <w:tab/>
        <w:t>invită Comisia și Consiliul să aloce fonduri pentru zonele și regiunile rurale, afectate de dezavantaje naturale sau demografice grave și permanente, în același mod în care 8 % din fondurile politicii de coeziune sunt alocate dezvoltării programelor din cadrul Agendei urbane; observă că aceste fonduri ar trebui utilizate în principal prin instrumente de dezvoltare teritorială integrată;</w:t>
      </w:r>
    </w:p>
    <w:p w:rsidR="00942AB2" w:rsidRPr="00E13AD4" w:rsidRDefault="00942AB2" w:rsidP="00D8549E">
      <w:pPr>
        <w:pStyle w:val="NormalHanging12a"/>
        <w:widowControl/>
        <w:rPr>
          <w:szCs w:val="24"/>
        </w:rPr>
      </w:pPr>
      <w:r w:rsidRPr="00E13AD4">
        <w:t>7.</w:t>
      </w:r>
      <w:r w:rsidRPr="00E13AD4">
        <w:tab/>
        <w:t xml:space="preserve">ține cont de capacitățile demonstrate de autoritățile locale și regionale în punerea în aplicare și gestionarea instrumentelor teritoriale și consideră că este necesară o schimbare de paradigmă în implicarea autorităților locale și regionale în planificarea, punerea în aplicare și gestionarea instrumentelor teritoriale; solicită punerea în aplicare </w:t>
      </w:r>
      <w:r w:rsidRPr="00E13AD4">
        <w:lastRenderedPageBreak/>
        <w:t xml:space="preserve">efectivă a principiului parteneriatului și consultarea aprofundată a autorităților locale și regionale și a altor părți interesate înainte de definirea acțiunilor ITI și DLRC; subliniază importanța abordării ascendente a dezvoltării teritoriale, capacitând în același timp cetățenii să își asume responsabilitatea pentru dezvoltarea teritoriilor lor; </w:t>
      </w:r>
    </w:p>
    <w:p w:rsidR="00942AB2" w:rsidRPr="00E13AD4" w:rsidRDefault="00942AB2" w:rsidP="00D8549E">
      <w:pPr>
        <w:pStyle w:val="NormalHanging12a"/>
        <w:widowControl/>
      </w:pPr>
      <w:r w:rsidRPr="00E13AD4">
        <w:t>8.</w:t>
      </w:r>
      <w:r w:rsidRPr="00E13AD4">
        <w:tab/>
        <w:t>solicită ca strategiile de dezvoltare teritorială sau locală finanțate de mai multe programe să fuzioneze într-o singură direcție, în conformitate cu articolul 28 din RDC și, dacă este necesar, cu sprijinul Comisiei pentru a preveni întârzierile și obstacolele administrative; salută posibilitatea, introdusă în perioada de programare 2021-2027, de a desemna un fond principal pentru strategiile finanțate de mai multe fonduri;</w:t>
      </w:r>
    </w:p>
    <w:p w:rsidR="00942AB2" w:rsidRPr="00E13AD4" w:rsidRDefault="00942AB2" w:rsidP="00D8549E">
      <w:pPr>
        <w:pStyle w:val="NormalHanging12a"/>
        <w:widowControl/>
        <w:rPr>
          <w:szCs w:val="24"/>
        </w:rPr>
      </w:pPr>
      <w:r w:rsidRPr="00E13AD4">
        <w:t>9.</w:t>
      </w:r>
      <w:r w:rsidRPr="00E13AD4">
        <w:tab/>
        <w:t xml:space="preserve">constată că instrumentele teritoriale, cum ar fi DLRC sau ITI, sunt măsuri cu capacitate dovedită, care pot aduce Europa mai aproape de cetățeni; observă că datele prezentate în STRAT-Board pentru perioada 2014-2020 arată că DLRC au jucat un rol major în dezvoltarea strategiilor teritoriale, subliniind interesul puternic la nivel local de a participa activ la dezvoltarea acestor strategii; invită statele membre și Comisia să simplifice gestionarea administrativă a fondurilor, în special în cazurile în care DLRC provin din mai multe fonduri; subliniază că ITI sunt principalul instrument utilizat de statele membre cu o alocare mai mare de fonduri FEDR, deoarece acestea pot absorbi rapid sumele și sunt capabile să acopere mai multe axe principale, prezente </w:t>
      </w:r>
      <w:proofErr w:type="spellStart"/>
      <w:r w:rsidRPr="00E13AD4">
        <w:t>într</w:t>
      </w:r>
      <w:proofErr w:type="spellEnd"/>
      <w:r w:rsidRPr="00E13AD4">
        <w:t>-unul sau mai multe programe;</w:t>
      </w:r>
    </w:p>
    <w:p w:rsidR="00942AB2" w:rsidRPr="00E13AD4" w:rsidRDefault="00942AB2" w:rsidP="00D8549E">
      <w:pPr>
        <w:pStyle w:val="NormalHanging12a"/>
        <w:widowControl/>
      </w:pPr>
      <w:r w:rsidRPr="00E13AD4">
        <w:t>10.</w:t>
      </w:r>
      <w:r w:rsidRPr="00E13AD4">
        <w:tab/>
        <w:t>subliniază distincția clară între statele membre care s-au angajat să dezvolte ITI sau DLRC și cele care nu au făcut acest lucru; invită Comisia să clarifice această diferențiere pentru a evita disparitățile geografice și să acorde sprijin tehnic adaptat statelor membre care nu au folosit aceste instrumente teritoriale; încurajează toate statele membre să utilizeze mai mult instrumentele de dezvoltare teritorială integrată, așa cum sunt definite la articolul 28 din RDC, și să asigure respectarea parteneriatului, așa cum este definit la articolul 8 din RDC; consideră că instrumentele de dezvoltare teritorială integrată ar trebui să fie obligatorii pentru statele membre;</w:t>
      </w:r>
    </w:p>
    <w:p w:rsidR="00942AB2" w:rsidRPr="00E13AD4" w:rsidRDefault="00942AB2" w:rsidP="00D8549E">
      <w:pPr>
        <w:pStyle w:val="NormalHanging12a"/>
        <w:widowControl/>
        <w:rPr>
          <w:szCs w:val="24"/>
        </w:rPr>
      </w:pPr>
      <w:r w:rsidRPr="00E13AD4">
        <w:t>11.</w:t>
      </w:r>
      <w:r w:rsidRPr="00E13AD4">
        <w:tab/>
        <w:t xml:space="preserve">salută simplificările tehnice în dezvoltarea teritorială introduse în perioada de programare 2021-2027; invită totuși Comisia și statele membre să mențină reglementările administrative suplimentare necesare la un nivel strict minim și să se concentreze mai mult pe proporționalitate, deoarece proiectele mici au în prezent o sarcină administrativă proporțional mai mare (pentru beneficiari) și costuri administrative mai mari (pentru autoritățile responsabile de programe) decât proiectele mai mari; </w:t>
      </w:r>
    </w:p>
    <w:p w:rsidR="00942AB2" w:rsidRPr="00E13AD4" w:rsidRDefault="00942AB2" w:rsidP="00D8549E">
      <w:pPr>
        <w:pStyle w:val="NormalHanging12a"/>
        <w:widowControl/>
      </w:pPr>
      <w:r w:rsidRPr="00E13AD4">
        <w:t>12.</w:t>
      </w:r>
      <w:r w:rsidRPr="00E13AD4">
        <w:tab/>
        <w:t>consideră că AT2030 este un instrument real și adecvat, care vizează reducerea dimensiunii spațiale a inegalităților și asigurarea coeziunii UE prin gestionarea fiecăreia dintre regiunile sale potrivit particularităților sale; consideră, prin urmare, că societățile și teritoriile ar trebui să se implice mai mult în recunoașterea importanței acestei agende; invită Comisia să modifice rolul AT2030 dincolo de cel al unui ghid de gestionare a teritoriului;</w:t>
      </w:r>
    </w:p>
    <w:p w:rsidR="00942AB2" w:rsidRPr="00E13AD4" w:rsidRDefault="00942AB2" w:rsidP="00D8549E">
      <w:pPr>
        <w:pStyle w:val="NormalHanging12a"/>
        <w:widowControl/>
      </w:pPr>
      <w:r w:rsidRPr="00E13AD4">
        <w:t>13.</w:t>
      </w:r>
      <w:r w:rsidRPr="00E13AD4">
        <w:tab/>
        <w:t>observă că AT2030 nu numai că promovează răspunsuri de politică bazate pe realitatea zonei la provocările teritoriale, ci oferă și o viziune și o ambiție pentru obiectivul coeziunii teritoriale printr-o mai bună implicare a autorităților locale și regionale și a cetățenilor;</w:t>
      </w:r>
    </w:p>
    <w:p w:rsidR="00942AB2" w:rsidRPr="00E13AD4" w:rsidRDefault="00942AB2" w:rsidP="00D8549E">
      <w:pPr>
        <w:pStyle w:val="NormalHanging12a"/>
        <w:widowControl/>
      </w:pPr>
      <w:r w:rsidRPr="00E13AD4">
        <w:lastRenderedPageBreak/>
        <w:t>14.</w:t>
      </w:r>
      <w:r w:rsidRPr="00E13AD4">
        <w:tab/>
        <w:t>subliniază că, deși finanțarea multiplă este unul dintre principalele scopuri ale instrumentelor teritoriale integrate, constatările actuale arată că utilizarea finanțării multiple încă se poate dovedi dificilă în unele țări, în special deoarece, în perioada actuală, FEADR (dezvoltare rurală) nu mai este inclus în RDC și, prin urmare, ar fi necesare măsuri suplimentare și specifice de aliniere a normelor FEADR și ale altor fonduri ale politicii de coeziune (și anume, utilizarea unor fonduri diferite ale UE pentru proiecte integrate la nivel local care abordează mai multe obiective de politică);</w:t>
      </w:r>
    </w:p>
    <w:p w:rsidR="00942AB2" w:rsidRPr="00E13AD4" w:rsidRDefault="00942AB2" w:rsidP="00D8549E">
      <w:pPr>
        <w:pStyle w:val="NormalHanging12a"/>
        <w:widowControl/>
      </w:pPr>
      <w:r w:rsidRPr="00E13AD4">
        <w:t>15.</w:t>
      </w:r>
      <w:r w:rsidRPr="00E13AD4">
        <w:tab/>
        <w:t>invită statele membre să promoveze activ integrarea perspectivei de gen în pregătirea și punerea în aplicare a proiectelor-pilot ale AT2030 pe teren;</w:t>
      </w:r>
    </w:p>
    <w:p w:rsidR="00942AB2" w:rsidRPr="00E13AD4" w:rsidRDefault="00942AB2" w:rsidP="006C3F07">
      <w:pPr>
        <w:widowControl/>
        <w:spacing w:after="240"/>
        <w:ind w:left="567" w:hanging="567"/>
      </w:pPr>
      <w:r w:rsidRPr="00E13AD4">
        <w:t>16.</w:t>
      </w:r>
      <w:r w:rsidRPr="00E13AD4">
        <w:tab/>
        <w:t>subliniază că un venit și o calitate a vieții echitabile și demne pentru cetățenii și familiile acestora din zonele rurale sunt esențiale pentru a asigura progresul social și o dezvoltare teritorială și locală de succes; insistă asupra necesității de a garanta condiții de muncă și de viață decente și protecție socială pentru toți;</w:t>
      </w:r>
    </w:p>
    <w:p w:rsidR="00942AB2" w:rsidRPr="00E13AD4" w:rsidRDefault="00942AB2" w:rsidP="00D8549E">
      <w:pPr>
        <w:widowControl/>
        <w:spacing w:after="240"/>
        <w:ind w:left="567" w:hanging="567"/>
      </w:pPr>
      <w:r w:rsidRPr="00E13AD4">
        <w:t>17.</w:t>
      </w:r>
      <w:r w:rsidRPr="00E13AD4">
        <w:tab/>
        <w:t>subliniază că este important să se amelioreze coerența politicilor și implementarea unei analize din perspectiva mediului rural și a altor inițiative relevante ale UE de dezvoltare teritorială integrată pentru a evalua coerența și complementaritatea politicilor UE și impactul lor potențial asupra zonelor rurale, prevenind astfel în mod eficace depopularea zonelor rurale și facilitând reînnoirea generațiilor, accesul egal la serviciile esențiale de înaltă calitate și crearea de locuri de muncă în zonele rurale; subliniază importanța mecanismul de analiză din perspectiva mediului rural și atunci când statele membre evaluează impactul legislației propuse în zonele rurale; subliniază importanța implicării autorităților locale și regionale în definirea și punerea în aplicare a mecanismelor de analiză din perspectiva mediului rural, precum și în guvernanța lor atât la nivelul UE, cât și la nivel național, pentru a combate excluziunea socială legată de transporturi și pentru a îmbunătăți accesibilitatea teritorială a zonelor în cauză în scopul de a ameliora cooperarea transfrontalieră și dintre zonele rurale și urbane, accesul la internet în bandă largă și la servicii adecvate, în special la sănătate și educație, precum și diversificarea economiei rurale și revitalizarea zonelor rurale, creșterea atractivității acestor zone, precum și asigurarea unui viitor durabil pentru aceste comunități;</w:t>
      </w:r>
    </w:p>
    <w:p w:rsidR="00942AB2" w:rsidRPr="00E13AD4" w:rsidRDefault="00942AB2" w:rsidP="00D8549E">
      <w:pPr>
        <w:pStyle w:val="NormalHanging12a"/>
        <w:widowControl/>
        <w:rPr>
          <w:szCs w:val="24"/>
        </w:rPr>
      </w:pPr>
      <w:r w:rsidRPr="00E13AD4">
        <w:t>18.</w:t>
      </w:r>
      <w:r w:rsidRPr="00E13AD4">
        <w:tab/>
        <w:t>subliniază că acțiunile AT2030 ar trebui să joace un rol central în acordurile și programele de parteneriat; subliniază că aceste acțiuni ar trebui să fie mai decisive în alocarea fondurilor și necesitatea de a promova integrarea AT2030 în politicile UE, cu accent pe nivelurile de guvernanță mai apropiate de teren; consideră că AT2030 ar trebui să beneficieze de o finanțare și de o metodologie de alocare adecvate în viitorul cadru financiar multianual;</w:t>
      </w:r>
    </w:p>
    <w:p w:rsidR="00942AB2" w:rsidRPr="00E13AD4" w:rsidRDefault="00942AB2" w:rsidP="00D8549E">
      <w:pPr>
        <w:pStyle w:val="NormalHanging12a"/>
        <w:widowControl/>
        <w:rPr>
          <w:szCs w:val="24"/>
        </w:rPr>
      </w:pPr>
      <w:r w:rsidRPr="00E13AD4">
        <w:t>19.</w:t>
      </w:r>
      <w:r w:rsidRPr="00E13AD4">
        <w:tab/>
        <w:t>subliniază că este esențială includerea priorităților și obiectivelor AT2030 în instrumentele legislative și programele fondurilor politicii de coeziune, care ar trebui să fie adaptate fiecărui teritoriu; salută acțiunile-pilot ale AT2030 care au fost dezvoltate și invită statele membre și Comisia să continue să investească în aceste acțiuni, îmbunătățindu-le echilibrul geografic și coordonându-le mai bine cu principiile AT2030;</w:t>
      </w:r>
    </w:p>
    <w:p w:rsidR="00942AB2" w:rsidRPr="00E13AD4" w:rsidRDefault="00942AB2" w:rsidP="00D8549E">
      <w:pPr>
        <w:pStyle w:val="NormalHanging12a"/>
        <w:widowControl/>
        <w:rPr>
          <w:szCs w:val="24"/>
        </w:rPr>
      </w:pPr>
      <w:r w:rsidRPr="00E13AD4">
        <w:t>20.</w:t>
      </w:r>
      <w:r w:rsidRPr="00E13AD4">
        <w:tab/>
        <w:t xml:space="preserve">subliniază necesitatea de a implica Parlamentul, în special Comisia sa pentru dezvoltare regională, care este comisie competentă, în acțiunile-pilot, pentru a se asigura că acestea sunt în concordanță cu prioritățile actuale ale UE, de a promova rezultatele acțiunilor-pilot și de a le comunica la nivel european, integrându-le și coordonându-le cu inițiative precum politica de coeziune, în special FEDR și </w:t>
      </w:r>
      <w:proofErr w:type="spellStart"/>
      <w:r w:rsidRPr="00E13AD4">
        <w:t>Interreg</w:t>
      </w:r>
      <w:proofErr w:type="spellEnd"/>
      <w:r w:rsidRPr="00E13AD4">
        <w:t>;</w:t>
      </w:r>
    </w:p>
    <w:p w:rsidR="00942AB2" w:rsidRPr="00E13AD4" w:rsidRDefault="00942AB2" w:rsidP="00D8549E">
      <w:pPr>
        <w:pStyle w:val="NormalHanging12a"/>
        <w:widowControl/>
      </w:pPr>
      <w:r w:rsidRPr="00E13AD4">
        <w:lastRenderedPageBreak/>
        <w:t>21.</w:t>
      </w:r>
      <w:r w:rsidRPr="00E13AD4">
        <w:tab/>
        <w:t xml:space="preserve">solicită o strategie pentru a facilita </w:t>
      </w:r>
      <w:proofErr w:type="spellStart"/>
      <w:r w:rsidRPr="00E13AD4">
        <w:t>sinergiile</w:t>
      </w:r>
      <w:proofErr w:type="spellEnd"/>
      <w:r w:rsidRPr="00E13AD4">
        <w:t xml:space="preserve"> dintre diferitele fonduri ale UE pentru proiectele puse în aplicare prin instrumentele teritoriale și simplificarea administrativă a acțiunilor-pilot finanțate de mai multe fonduri pentru a reduce barierele administrative și a înlesni cererile pentru aceste proiecte;</w:t>
      </w:r>
    </w:p>
    <w:p w:rsidR="00942AB2" w:rsidRPr="00E13AD4" w:rsidRDefault="00942AB2" w:rsidP="00D8549E">
      <w:pPr>
        <w:pStyle w:val="NormalHanging12a"/>
        <w:widowControl/>
      </w:pPr>
      <w:r w:rsidRPr="00E13AD4">
        <w:t>22.</w:t>
      </w:r>
      <w:r w:rsidRPr="00E13AD4">
        <w:tab/>
        <w:t>consideră că întreprinderile ar putea juca un rol esențial în strategiile de dezvoltare teritorială; invită Comisia să promoveze acordurile de cooperare între întreprinderi și autoritățile locale și regionale pentru a dezvolta proiecte de dezvoltare teritorială care să promoveze crearea de locuri de muncă și creșterea economică;</w:t>
      </w:r>
    </w:p>
    <w:p w:rsidR="00942AB2" w:rsidRPr="00E13AD4" w:rsidRDefault="00942AB2" w:rsidP="00D8549E">
      <w:pPr>
        <w:pStyle w:val="NormalHanging12a"/>
        <w:widowControl/>
        <w:rPr>
          <w:szCs w:val="24"/>
        </w:rPr>
      </w:pPr>
      <w:r w:rsidRPr="00E13AD4">
        <w:t>23.</w:t>
      </w:r>
      <w:r w:rsidRPr="00E13AD4">
        <w:tab/>
        <w:t>atrage atenția asupra potențialului enorm al AT2030 și al actualelor și viitoarelor sale proiecte-pilot pentru a răspunde nevoilor extrem de diverse pe care le au zonele neurbane, inclusiv zonele rurale, zonele montane, insulele și zonele de coastă, zonele îndepărtate și slab populate și multe alte tipuri de teritorii în care coexistă o combinație de caracteristici urbane și rurale; subliniază, în special, că zonele rurale se confruntă adesea cu dificultăți demografice, cu o densitate scăzută a populației și cu un acces limitat la serviciile de interes general, precum și cu o calitate scăzută a acestora și nu au întotdeauna capacitatea de a concepe și de a pune în aplicare soluții inovatoare, astfel că pot avea mari beneficii din schimbul de bune practici;</w:t>
      </w:r>
    </w:p>
    <w:p w:rsidR="00942AB2" w:rsidRPr="00E13AD4" w:rsidRDefault="00942AB2" w:rsidP="00D8549E">
      <w:pPr>
        <w:pStyle w:val="NormalHanging12a"/>
        <w:widowControl/>
        <w:rPr>
          <w:szCs w:val="24"/>
        </w:rPr>
      </w:pPr>
      <w:r w:rsidRPr="00E13AD4">
        <w:t>24.</w:t>
      </w:r>
      <w:r w:rsidRPr="00E13AD4">
        <w:tab/>
        <w:t>subliniază necesitatea unei mai bune diseminări a acțiunilor și realizărilor proiectelor-pilot, ca exemple de execuție a fondurilor UE; susține ideea unei conferințe bienale pentru a prezenta acțiunile-pilot autorităților locale și regionale, precum și actorilor relevanți de la nivel național și de la nivelul UE, corelând-o cu alte evenimente, cum ar fi cele organizate prin Pactul rural sau Forumul orașelor;</w:t>
      </w:r>
    </w:p>
    <w:p w:rsidR="00942AB2" w:rsidRPr="00E13AD4" w:rsidRDefault="00942AB2" w:rsidP="00D8549E">
      <w:pPr>
        <w:pStyle w:val="NormalHanging12a"/>
        <w:widowControl/>
      </w:pPr>
      <w:r w:rsidRPr="00E13AD4">
        <w:t>25.</w:t>
      </w:r>
      <w:r w:rsidRPr="00E13AD4">
        <w:tab/>
        <w:t>invită statele membre să își dezvolte agendele teritoriale în conformitate cu AT2030 ca bază pentru programarea strategiilor lor teritoriale, ținând cont de particularitățile și nevoile foarte diferite ale fiecăreia dintre regiunile lor și servind drept stimulent, și pentru a stimula procesul decizional și elaborarea politicilor teritoriale și urbane; invită, de asemenea, statele membre să permită strategii teritoriale diferite pentru toate regiunile UE, inclusiv zonele rurale, zonele afectate de tranziția industrială și regiunile afectate de dezavantaje naturale și demografice grave și permanente, cum ar fi regiunile cele mai nordice și cele cu densitate foarte scăzută a populației, insulele, regiunile transfrontaliere și muntoase;</w:t>
      </w:r>
    </w:p>
    <w:p w:rsidR="00942AB2" w:rsidRPr="00E13AD4" w:rsidRDefault="00942AB2" w:rsidP="00D8549E">
      <w:pPr>
        <w:pStyle w:val="NormalHanging12a"/>
        <w:widowControl/>
      </w:pPr>
      <w:r w:rsidRPr="00E13AD4">
        <w:t>26.</w:t>
      </w:r>
      <w:r w:rsidRPr="00E13AD4">
        <w:tab/>
        <w:t>subliniază că buna performanță a structurilor de guvernanță poate determina combinația optimă de priorități de investiții pentru a realiza coordonarea verticală și orizontală pe mai multe niveluri necesară pentru a concepe și a pune în aplicare strategii de dezvoltare integrate;</w:t>
      </w:r>
    </w:p>
    <w:p w:rsidR="00942AB2" w:rsidRPr="00E13AD4" w:rsidRDefault="00942AB2" w:rsidP="00D8549E">
      <w:pPr>
        <w:pStyle w:val="NormalHanging12a"/>
        <w:widowControl/>
      </w:pPr>
      <w:r w:rsidRPr="00E13AD4">
        <w:t>27.</w:t>
      </w:r>
      <w:r w:rsidRPr="00E13AD4">
        <w:tab/>
        <w:t>invită statele membre și Comisia să promoveze punerea în aplicare a AT2030 dincolo de acțiunile-pilot, transformând acest instrument într-un cadru de referință pentru acțiune care să ofere orientări concrete și adaptate pentru ca teritoriile UE să își îmbunătățească performanța; subliniază oportunitatea de a corela finanțarea regională cu realizarea priorităților AT2030 și invită Comisia să elaboreze indicatori de monitorizare care să coreleze AT2030 cu utilizarea fondurilor politicii de coeziune, în special a FEDR;</w:t>
      </w:r>
    </w:p>
    <w:p w:rsidR="00942AB2" w:rsidRPr="00E13AD4" w:rsidRDefault="00942AB2" w:rsidP="00D8549E">
      <w:pPr>
        <w:pStyle w:val="NormalHanging12a"/>
        <w:widowControl/>
      </w:pPr>
      <w:r w:rsidRPr="00E13AD4">
        <w:t>28.</w:t>
      </w:r>
      <w:r w:rsidRPr="00E13AD4">
        <w:tab/>
        <w:t xml:space="preserve">reiterează necesitatea de a consolida urgent politica UE privind atenuarea schimbărilor climatice și adaptarea la acestea, având în vedere și tendința în creștere a fenomenelor meteorologice extreme din ultimii ani și ultimele luni în UE; invită, prin urmare, </w:t>
      </w:r>
      <w:r w:rsidRPr="00E13AD4">
        <w:lastRenderedPageBreak/>
        <w:t xml:space="preserve">autoritățile publice să continue combaterea schimbărilor climatice; accentuează, în acest context, necesitatea de a mări nivelul de ambiție și calitatea proiectelor-pilot din obiectivul „o Europă verde” și prima sa prioritate „Mediul sănătos”; evidențiază că dezvoltarea teritorială este esențială pentru a construi regiuni </w:t>
      </w:r>
      <w:proofErr w:type="spellStart"/>
      <w:r w:rsidRPr="00E13AD4">
        <w:t>reziliente</w:t>
      </w:r>
      <w:proofErr w:type="spellEnd"/>
      <w:r w:rsidRPr="00E13AD4">
        <w:t xml:space="preserve"> și a asigura executarea sustenabilă a finanțării din politica de coeziune;</w:t>
      </w:r>
    </w:p>
    <w:p w:rsidR="00942AB2" w:rsidRPr="00E13AD4" w:rsidRDefault="00942AB2" w:rsidP="00D8549E">
      <w:pPr>
        <w:pStyle w:val="NormalHanging12a"/>
        <w:widowControl/>
      </w:pPr>
      <w:r w:rsidRPr="00E13AD4">
        <w:t>29.</w:t>
      </w:r>
      <w:r w:rsidRPr="00E13AD4">
        <w:tab/>
        <w:t>salută propunerea Comitetului Economic și Social European de a promova o Cartă europeană a drepturilor și responsabilităților rurale și urbane; este, de asemenea, convins că este necesară o cooperare mai strânsă cu zonele urbane pentru a se asigura că nicio zonă sau niciun cetățean nu este lăsat în urmă în tranziția justă către o Uniune Europeană neutră din punct de vedere climatic, sustenabilă și prosperă, vizând un angajament rural și urban față de o abordare echitabilă și demonstrând valoarea adăugată a colaborării dintre organizațiile rurale și urbane;</w:t>
      </w:r>
    </w:p>
    <w:p w:rsidR="00942AB2" w:rsidRPr="00E13AD4" w:rsidRDefault="00942AB2" w:rsidP="00D8549E">
      <w:pPr>
        <w:pStyle w:val="NormalHanging12a"/>
        <w:widowControl/>
      </w:pPr>
      <w:r w:rsidRPr="00E13AD4">
        <w:t>30.</w:t>
      </w:r>
      <w:r w:rsidRPr="00E13AD4">
        <w:tab/>
        <w:t>subliniază că trebuie să se asigure o dezvoltare mai echilibrată a regiunilor UE prin asigurarea unei mai bune distribuiri a fondurilor UE, inclusiv a sprijinului din politica agricolă comună, în interiorul statelor membre și între acestea; subliniază că este imposibil să se realizeze o dezvoltare teritorială sustenabilă și pe termen lung dacă sprijinul este alocat diferitelor regiuni pe baza datelor istorice;</w:t>
      </w:r>
    </w:p>
    <w:p w:rsidR="00942AB2" w:rsidRPr="00E13AD4" w:rsidRDefault="00942AB2" w:rsidP="00D8549E">
      <w:pPr>
        <w:pStyle w:val="NormalHanging12a"/>
        <w:widowControl/>
      </w:pPr>
      <w:r w:rsidRPr="00E13AD4">
        <w:t>31.</w:t>
      </w:r>
      <w:r w:rsidRPr="00E13AD4">
        <w:tab/>
        <w:t>constată că din ce în ce mai multe persoane aleg să locuiască în orașe și să lucreze în zonele rurale; invită Comisia să elaboreze programe care să țină seama de toate teritoriile, inclusiv zonele metropolitane, urbane și funcționale; încurajează Comisia să conceapă LEADER astfel încât acesta să poată fi utilizat de orașele mici;</w:t>
      </w:r>
    </w:p>
    <w:p w:rsidR="00942AB2" w:rsidRPr="00E13AD4" w:rsidRDefault="00942AB2" w:rsidP="00D8549E">
      <w:pPr>
        <w:pStyle w:val="NormalHanging12a"/>
        <w:widowControl/>
      </w:pPr>
      <w:r w:rsidRPr="00E13AD4">
        <w:t>32.</w:t>
      </w:r>
      <w:r w:rsidRPr="00E13AD4">
        <w:tab/>
        <w:t>invită Comisia să coreleze experiența dobândită în punerea în aplicare a AT2030 cu viitoarea politică de coeziune și cu recomandările Grupului la nivel înalt privind viitorul politicii de coeziune, pentru a depăși dezechilibrele teritoriale și neconcordanțele funcționale într-un mod mai eficient; subliniază oportunitatea prezentată de AT2030 ca instrument de evaluare a impactului politicii de coeziune asupra obiectivului coeziunii teritoriale;</w:t>
      </w:r>
    </w:p>
    <w:p w:rsidR="00942AB2" w:rsidRPr="00E13AD4" w:rsidRDefault="00942AB2" w:rsidP="00D8549E">
      <w:pPr>
        <w:pStyle w:val="NormalHanging12a"/>
        <w:widowControl/>
        <w:rPr>
          <w:szCs w:val="24"/>
        </w:rPr>
      </w:pPr>
      <w:r w:rsidRPr="00E13AD4">
        <w:t>33.</w:t>
      </w:r>
      <w:r w:rsidRPr="00E13AD4">
        <w:tab/>
        <w:t>invită Comisia și statele membre să efectueze o revizuire coerentă a AT2030 până la sfârșitul anului 2024, incluzând o revizuire aprofundată a sistemului său de guvernanță, a progreselor înregistrate în punerea sa în aplicare și a relevanței priorităților sale, așa cum sunt prezentate în AT2030;</w:t>
      </w:r>
    </w:p>
    <w:p w:rsidR="00942AB2" w:rsidRPr="00E13AD4" w:rsidRDefault="00942AB2" w:rsidP="00D8549E">
      <w:pPr>
        <w:pStyle w:val="NormalHanging12a"/>
        <w:widowControl/>
      </w:pPr>
      <w:r w:rsidRPr="00E13AD4">
        <w:t>34.</w:t>
      </w:r>
      <w:r w:rsidRPr="00E13AD4">
        <w:tab/>
        <w:t>salută caracterul obligatoriu al metodologiei descrise în Manualul strategiilor de dezvoltare teritorială și locală, care acordă politicilor teritoriale aceeași importanță ca politicilor urbane;</w:t>
      </w:r>
    </w:p>
    <w:p w:rsidR="00942AB2" w:rsidRPr="00E13AD4" w:rsidRDefault="00942AB2" w:rsidP="00D8549E">
      <w:pPr>
        <w:pStyle w:val="NormalHanging12a"/>
        <w:widowControl/>
      </w:pPr>
      <w:r w:rsidRPr="00E13AD4">
        <w:t>35.</w:t>
      </w:r>
      <w:r w:rsidRPr="00E13AD4">
        <w:tab/>
        <w:t>solicită un cadru unic pentru strategiile care vizează atât dezvoltarea urbană, cât și dezvoltarea teritorială mai largă, tratând cerințele teritoriale în ansamblu; subliniază că acest lucru ar putea reduce în mod semnificativ barierele birocratice în achiziționarea de fonduri;</w:t>
      </w:r>
    </w:p>
    <w:p w:rsidR="00942AB2" w:rsidRPr="00E13AD4" w:rsidRDefault="00942AB2" w:rsidP="00D8549E">
      <w:pPr>
        <w:pStyle w:val="NormalHanging12a"/>
        <w:widowControl/>
      </w:pPr>
      <w:r w:rsidRPr="00E13AD4">
        <w:t>36.</w:t>
      </w:r>
      <w:r w:rsidRPr="00E13AD4">
        <w:tab/>
        <w:t>invită Comisia să asigure execuția adecvată a fondurilor și punerea în aplicare a instrumentelor teritoriale, favorizând gestionarea eficientă, fără o birocrație disproporționată; reliefează necesitatea de a simplifica accesul la fonduri, identificând „ghișee unice” pentru potențialii beneficiari ai fondurilor de coeziune ale UE și ai proiectelor ITI sau DLRC, în special pentru a avea acces la informații despre tipul de finanțare, cerințele administrative și eligibilitatea;</w:t>
      </w:r>
    </w:p>
    <w:p w:rsidR="00942AB2" w:rsidRPr="00E13AD4" w:rsidRDefault="00942AB2" w:rsidP="00D8549E">
      <w:pPr>
        <w:pStyle w:val="NormalHanging12a"/>
        <w:widowControl/>
      </w:pPr>
      <w:r w:rsidRPr="00E13AD4">
        <w:lastRenderedPageBreak/>
        <w:t>37.</w:t>
      </w:r>
      <w:r w:rsidRPr="00E13AD4">
        <w:tab/>
        <w:t>recunoaște rolul Consiliului European în dezvoltarea activităților teritoriale ale statelor membre; invită statele membre să prevadă resurse umane suficiente atât în cadrul autorităților de management, cât și în cadrul organismelor de punere în aplicare responsabile de ITI sau DLRC, pentru a asigura asistența tehnică și serviciile de consiliere specifice pentru grupurile de acțiune locală și partenerii ITI în scopul de a permite respectarea reglementărilor;</w:t>
      </w:r>
    </w:p>
    <w:p w:rsidR="00942AB2" w:rsidRPr="00E13AD4" w:rsidRDefault="00942AB2" w:rsidP="00D8549E">
      <w:pPr>
        <w:pStyle w:val="NormalHanging12a"/>
        <w:widowControl/>
      </w:pPr>
      <w:r w:rsidRPr="00E13AD4">
        <w:t>38.</w:t>
      </w:r>
      <w:r w:rsidRPr="00E13AD4">
        <w:tab/>
        <w:t xml:space="preserve">invită Comisia să își sporească implicarea în politica teritorială prin intermediul politicii de coeziune și să consolideze guvernanța regiunilor pentru a promova coeziunea și </w:t>
      </w:r>
      <w:proofErr w:type="spellStart"/>
      <w:r w:rsidRPr="00E13AD4">
        <w:t>microcoeziunea</w:t>
      </w:r>
      <w:proofErr w:type="spellEnd"/>
      <w:r w:rsidRPr="00E13AD4">
        <w:t xml:space="preserve"> prin acoperirea particularităților fiecărei regiuni, prin îmbunătățirea procesului decizional la nivel local și regional și prin aplicarea instrumentelor existente pentru a îmbunătăți gestionarea instrumentelor legislative; invită, de asemenea, Comisia și statele membre să sprijine în continuare fondurile politicii de coeziune pentru a spori reziliența dezvoltării teritoriale, în special pentru a putea atenua efectele evenimentelor neprevăzute, a proteja regiunile de consecințele acestora și a respecta principiul de „a nu aduce prejudicii coeziunii”;</w:t>
      </w:r>
    </w:p>
    <w:p w:rsidR="00942AB2" w:rsidRPr="00E13AD4" w:rsidRDefault="00942AB2" w:rsidP="00D8549E">
      <w:pPr>
        <w:pStyle w:val="NormalHanging12a"/>
        <w:widowControl/>
        <w:rPr>
          <w:szCs w:val="24"/>
        </w:rPr>
      </w:pPr>
      <w:r w:rsidRPr="00E13AD4">
        <w:t>39.</w:t>
      </w:r>
      <w:r w:rsidRPr="00E13AD4">
        <w:tab/>
        <w:t xml:space="preserve">este conștient de influența deciziilor semestrului UE asupra coeziunii teritoriale și, prin urmare, asupra capacității de a elabora programe teritoriale; reiterează așadar că trebuie consolidată dimensiunea teritorială a semestrului european și trebuie îmbunătățită legătura dintre politica de coeziune și guvernanța economică europeană, implicând autoritățile locale și regionale în toate etapele procedurilor legate de semestrul european și de recomandările sale specifice fiecărei țări; </w:t>
      </w:r>
    </w:p>
    <w:p w:rsidR="00942AB2" w:rsidRPr="00E13AD4" w:rsidRDefault="00942AB2" w:rsidP="00D8549E">
      <w:pPr>
        <w:pStyle w:val="NormalHanging12a"/>
        <w:widowControl/>
        <w:rPr>
          <w:szCs w:val="24"/>
        </w:rPr>
      </w:pPr>
      <w:r w:rsidRPr="00E13AD4">
        <w:t>40.</w:t>
      </w:r>
      <w:r w:rsidRPr="00E13AD4">
        <w:tab/>
        <w:t>invită Comitetul European al Regiunilor și Comitetul Economic și Social European să joace un rol mai activ în monitorizarea și dezvoltarea în continuare a AT2030; invită Comisia să realizeze un studiu privind capacitatea fiecărei regiuni de a atenua viitoarele probleme globale care afectează coeziunea teritorială; observă că acest lucru ar oferi un instrument de răspuns rapid care ar oferi flexibilitate în alocarea sau consolidarea resurselor, în funcție de situația în timp real a regiunilor UE;</w:t>
      </w:r>
    </w:p>
    <w:p w:rsidR="00942AB2" w:rsidRPr="00E13AD4" w:rsidRDefault="00942AB2" w:rsidP="00D8549E">
      <w:pPr>
        <w:pStyle w:val="NormalHanging12a"/>
        <w:widowControl/>
        <w:rPr>
          <w:szCs w:val="24"/>
        </w:rPr>
      </w:pPr>
      <w:r w:rsidRPr="00E13AD4">
        <w:t>41.</w:t>
      </w:r>
      <w:r w:rsidRPr="00E13AD4">
        <w:tab/>
        <w:t>subliniază relevanța instrumentelor teritoriale în ceea ce privește participarea sporită și incluzivă a societății civile și a administrațiilor locale și regionale; invită Comisia să exploreze noi modalități pentru a fi mai bine înțeles de ce există acestea și a crește în mod substanțial utilizarea ITI și a DLRC, inclusiv prin eventuala alocare a unui procent care să fie utilizat în politica de coeziune post-2027;</w:t>
      </w:r>
    </w:p>
    <w:p w:rsidR="00942AB2" w:rsidRPr="00E13AD4" w:rsidRDefault="00942AB2" w:rsidP="00D8549E">
      <w:pPr>
        <w:pStyle w:val="NormalHanging12a"/>
        <w:widowControl/>
        <w:rPr>
          <w:szCs w:val="24"/>
        </w:rPr>
      </w:pPr>
      <w:r w:rsidRPr="00E13AD4">
        <w:t>42.</w:t>
      </w:r>
      <w:r w:rsidRPr="00E13AD4">
        <w:tab/>
        <w:t xml:space="preserve">invită Banca Europeană de Investiții să majoreze alocarea financiară prevăzută pentru fondurile politicii de coeziune, dedicată protejării echilibrului și bunei funcționări a regiunilor; </w:t>
      </w:r>
    </w:p>
    <w:p w:rsidR="00942AB2" w:rsidRPr="00E13AD4" w:rsidRDefault="00942AB2" w:rsidP="00D8549E">
      <w:pPr>
        <w:widowControl/>
        <w:spacing w:after="240"/>
        <w:ind w:left="567" w:hanging="567"/>
      </w:pPr>
      <w:r w:rsidRPr="00E13AD4">
        <w:t>43.</w:t>
      </w:r>
      <w:r w:rsidRPr="00E13AD4">
        <w:tab/>
        <w:t>încredințează Președintei sarcina de a transmite prezenta rezoluție Consiliului, Comisiei, precum și parlamentelor naționale și regionale ale statelor membre.</w:t>
      </w:r>
    </w:p>
    <w:p w:rsidR="00E365E1" w:rsidRPr="00E13AD4" w:rsidRDefault="00E365E1" w:rsidP="00D8549E">
      <w:pPr>
        <w:widowControl/>
        <w:spacing w:after="240"/>
        <w:ind w:left="567" w:hanging="567"/>
      </w:pPr>
      <w:bookmarkStart w:id="9" w:name="TextBodyEnd"/>
      <w:bookmarkEnd w:id="9"/>
    </w:p>
    <w:sectPr w:rsidR="00E365E1" w:rsidRPr="00E13AD4" w:rsidSect="00E02CA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791" w:rsidRPr="00E02CAF" w:rsidRDefault="00AE6791">
      <w:r w:rsidRPr="00E02CAF">
        <w:separator/>
      </w:r>
    </w:p>
  </w:endnote>
  <w:endnote w:type="continuationSeparator" w:id="0">
    <w:p w:rsidR="00AE6791" w:rsidRPr="00E02CAF" w:rsidRDefault="00AE6791">
      <w:r w:rsidRPr="00E02C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791" w:rsidRPr="00E02CAF" w:rsidRDefault="00AE6791">
      <w:r w:rsidRPr="00E02CAF">
        <w:separator/>
      </w:r>
    </w:p>
  </w:footnote>
  <w:footnote w:type="continuationSeparator" w:id="0">
    <w:p w:rsidR="00AE6791" w:rsidRPr="00E02CAF" w:rsidRDefault="00AE6791">
      <w:r w:rsidRPr="00E02CAF">
        <w:continuationSeparator/>
      </w:r>
    </w:p>
  </w:footnote>
  <w:footnote w:id="1">
    <w:p w:rsidR="00942AB2" w:rsidRPr="00D8549E" w:rsidRDefault="00942AB2" w:rsidP="00E02CAF">
      <w:pPr>
        <w:pStyle w:val="FootnoteText1"/>
        <w:ind w:left="567" w:hanging="567"/>
        <w:jc w:val="left"/>
        <w:rPr>
          <w:sz w:val="24"/>
          <w:lang w:val="ro-RO"/>
        </w:rPr>
      </w:pPr>
      <w:r w:rsidRPr="00E02CAF">
        <w:rPr>
          <w:rStyle w:val="FootnoteReference"/>
          <w:sz w:val="24"/>
          <w:lang w:val="ro-RO"/>
        </w:rPr>
        <w:footnoteRef/>
      </w:r>
      <w:r w:rsidR="00E02CAF" w:rsidRPr="00E02CAF">
        <w:rPr>
          <w:sz w:val="24"/>
          <w:lang w:val="ro-RO"/>
        </w:rPr>
        <w:t xml:space="preserve"> </w:t>
      </w:r>
      <w:r w:rsidR="00E02CAF" w:rsidRPr="00E02CAF">
        <w:rPr>
          <w:sz w:val="24"/>
          <w:lang w:val="ro-RO"/>
        </w:rPr>
        <w:tab/>
      </w:r>
      <w:hyperlink r:id="rId1" w:history="1">
        <w:r w:rsidRPr="00E13AD4">
          <w:rPr>
            <w:rStyle w:val="Hyperlink"/>
            <w:color w:val="auto"/>
            <w:sz w:val="24"/>
            <w:u w:val="none"/>
            <w:lang w:val="ro-RO"/>
          </w:rPr>
          <w:t>JO L 231, 30.6.2021, p. 159</w:t>
        </w:r>
      </w:hyperlink>
      <w:r w:rsidRPr="00D8549E">
        <w:rPr>
          <w:sz w:val="24"/>
          <w:lang w:val="ro-RO"/>
        </w:rPr>
        <w:t>.</w:t>
      </w:r>
    </w:p>
  </w:footnote>
  <w:footnote w:id="2">
    <w:p w:rsidR="00942AB2" w:rsidRPr="00D8549E"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hyperlink r:id="rId2" w:history="1">
        <w:r w:rsidRPr="00E13AD4">
          <w:rPr>
            <w:rStyle w:val="Hyperlink"/>
            <w:color w:val="auto"/>
            <w:sz w:val="24"/>
            <w:u w:val="none"/>
            <w:lang w:val="ro-RO"/>
          </w:rPr>
          <w:t>JO L 231, 30.6.2021, p. 60</w:t>
        </w:r>
      </w:hyperlink>
      <w:r w:rsidRPr="00D8549E">
        <w:rPr>
          <w:sz w:val="24"/>
          <w:lang w:val="ro-RO"/>
        </w:rPr>
        <w:t>.</w:t>
      </w:r>
    </w:p>
  </w:footnote>
  <w:footnote w:id="3">
    <w:p w:rsidR="00942AB2" w:rsidRPr="00D8549E"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hyperlink r:id="rId3" w:history="1">
        <w:r w:rsidRPr="00E13AD4">
          <w:rPr>
            <w:rStyle w:val="Hyperlink"/>
            <w:color w:val="auto"/>
            <w:sz w:val="24"/>
            <w:u w:val="none"/>
            <w:lang w:val="ro-RO"/>
          </w:rPr>
          <w:t>JO L 231, 30.6.2021, p. 94</w:t>
        </w:r>
      </w:hyperlink>
      <w:r w:rsidRPr="00D8549E">
        <w:rPr>
          <w:sz w:val="24"/>
          <w:lang w:val="ro-RO"/>
        </w:rPr>
        <w:t>.</w:t>
      </w:r>
    </w:p>
  </w:footnote>
  <w:footnote w:id="4">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L 231, 30.6.2021, p. 1.</w:t>
      </w:r>
    </w:p>
  </w:footnote>
  <w:footnote w:id="5">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L 435, 6.12.2021, p. 1.</w:t>
      </w:r>
    </w:p>
  </w:footnote>
  <w:footnote w:id="6">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L 437, 28.12.2020, p. 1.</w:t>
      </w:r>
    </w:p>
  </w:footnote>
  <w:footnote w:id="7">
    <w:p w:rsidR="00942AB2" w:rsidRPr="00D8549E"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L 347, 20.12.2013, p. 320.</w:t>
      </w:r>
    </w:p>
  </w:footnote>
  <w:footnote w:id="8">
    <w:p w:rsidR="00942AB2" w:rsidRPr="00D8549E"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C 125, 5.4.2023, p. 56.</w:t>
      </w:r>
    </w:p>
  </w:footnote>
  <w:footnote w:id="9">
    <w:p w:rsidR="00942AB2" w:rsidRPr="00D8549E"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C 177, 17.5.2023, p. 35.</w:t>
      </w:r>
    </w:p>
  </w:footnote>
  <w:footnote w:id="10">
    <w:p w:rsidR="00942AB2" w:rsidRPr="00D8549E"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C 125, 5.4.2023, p. 100.</w:t>
      </w:r>
    </w:p>
  </w:footnote>
  <w:footnote w:id="11">
    <w:p w:rsidR="00942AB2" w:rsidRPr="00D8549E"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C 342, 6.9.2022, p. 2.</w:t>
      </w:r>
    </w:p>
  </w:footnote>
  <w:footnote w:id="12">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C 15, 12.1.2022, p. 125.</w:t>
      </w:r>
    </w:p>
  </w:footnote>
  <w:footnote w:id="13">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C 494, 8.12.2021, p. 26.</w:t>
      </w:r>
    </w:p>
  </w:footnote>
  <w:footnote w:id="14">
    <w:p w:rsidR="00942AB2" w:rsidRPr="00D8549E" w:rsidRDefault="00942AB2" w:rsidP="00E02CAF">
      <w:pPr>
        <w:pStyle w:val="FootnoteText1"/>
        <w:ind w:left="567" w:hanging="567"/>
        <w:jc w:val="left"/>
        <w:rPr>
          <w:sz w:val="24"/>
          <w:szCs w:val="16"/>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006C3F07">
        <w:fldChar w:fldCharType="begin"/>
      </w:r>
      <w:r w:rsidR="006C3F07" w:rsidRPr="001F0374">
        <w:rPr>
          <w:lang w:val="ro-RO"/>
        </w:rPr>
        <w:instrText xml:space="preserve"> HYPERLINK "https://www.europarl.europa.eu/doceo/document/TA-8-2018-0068_RO.html" </w:instrText>
      </w:r>
      <w:r w:rsidR="006C3F07">
        <w:fldChar w:fldCharType="separate"/>
      </w:r>
      <w:r w:rsidRPr="00E13AD4">
        <w:rPr>
          <w:rStyle w:val="Hyperlink"/>
          <w:color w:val="auto"/>
          <w:sz w:val="24"/>
          <w:u w:val="none"/>
          <w:lang w:val="ro-RO"/>
        </w:rPr>
        <w:t>JO C 162, 10.5.2019, p. 31</w:t>
      </w:r>
      <w:r w:rsidR="006C3F07">
        <w:rPr>
          <w:rStyle w:val="Hyperlink"/>
          <w:color w:val="auto"/>
          <w:sz w:val="24"/>
          <w:u w:val="none"/>
          <w:lang w:val="ro-RO"/>
        </w:rPr>
        <w:fldChar w:fldCharType="end"/>
      </w:r>
      <w:r w:rsidRPr="00D8549E">
        <w:rPr>
          <w:sz w:val="24"/>
          <w:lang w:val="ro-RO"/>
        </w:rPr>
        <w:t>.</w:t>
      </w:r>
    </w:p>
  </w:footnote>
  <w:footnote w:id="15">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JO C 429, 11.12.2020, p. 145.</w:t>
      </w:r>
    </w:p>
  </w:footnote>
  <w:footnote w:id="16">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Analiză aprofundată, „Agenda teritorială 2030 - Evaluarea punerii în aplicare”, Parlamentul European, Direcția Generală Politici Interne, Departamentul tematic B – Politici structurale și de coeziune, 7 iunie 2023.</w:t>
      </w:r>
    </w:p>
  </w:footnote>
  <w:footnote w:id="17">
    <w:p w:rsidR="00942AB2" w:rsidRPr="00E13AD4" w:rsidRDefault="00942AB2" w:rsidP="00E02CAF">
      <w:pPr>
        <w:pStyle w:val="FootnoteText1"/>
        <w:ind w:left="567" w:hanging="567"/>
        <w:jc w:val="left"/>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Comisia Europeană, „</w:t>
      </w:r>
      <w:hyperlink r:id="rId4" w:history="1">
        <w:r w:rsidRPr="00E13AD4">
          <w:rPr>
            <w:rStyle w:val="Hyperlink"/>
            <w:color w:val="auto"/>
            <w:sz w:val="24"/>
            <w:u w:val="none"/>
            <w:lang w:val="ro-RO"/>
          </w:rPr>
          <w:t>Strategii teritoriale și urbane integrate: care este valoarea adăugată a fondurilor ESI în perioada 2014-2020? - Raport final</w:t>
        </w:r>
      </w:hyperlink>
      <w:r w:rsidRPr="00D8549E">
        <w:rPr>
          <w:sz w:val="24"/>
          <w:lang w:val="ro-RO"/>
        </w:rPr>
        <w:t>”, decembrie 2017.</w:t>
      </w:r>
      <w:r w:rsidRPr="00E13AD4">
        <w:rPr>
          <w:sz w:val="24"/>
          <w:lang w:val="ro-RO"/>
        </w:rPr>
        <w:t xml:space="preserve"> </w:t>
      </w:r>
    </w:p>
  </w:footnote>
  <w:footnote w:id="18">
    <w:p w:rsidR="00942AB2" w:rsidRPr="00E13AD4" w:rsidRDefault="00942AB2" w:rsidP="00E02CAF">
      <w:pPr>
        <w:pStyle w:val="FootnoteText"/>
        <w:ind w:left="567" w:hanging="567"/>
        <w:rPr>
          <w:sz w:val="24"/>
          <w:lang w:val="ro-RO"/>
        </w:rPr>
      </w:pPr>
      <w:r w:rsidRPr="00E13AD4">
        <w:rPr>
          <w:rStyle w:val="FootnoteReference"/>
          <w:sz w:val="24"/>
          <w:lang w:val="ro-RO"/>
        </w:rPr>
        <w:footnoteRef/>
      </w:r>
      <w:r w:rsidR="00E02CAF" w:rsidRPr="00E13AD4">
        <w:rPr>
          <w:sz w:val="24"/>
          <w:lang w:val="ro-RO"/>
        </w:rPr>
        <w:t xml:space="preserve"> </w:t>
      </w:r>
      <w:r w:rsidR="00E02CAF" w:rsidRPr="00E13AD4">
        <w:rPr>
          <w:sz w:val="24"/>
          <w:lang w:val="ro-RO"/>
        </w:rPr>
        <w:tab/>
      </w:r>
      <w:r w:rsidRPr="00E13AD4">
        <w:rPr>
          <w:sz w:val="24"/>
          <w:lang w:val="ro-RO"/>
        </w:rPr>
        <w:t>Comisia Europeană, „</w:t>
      </w:r>
      <w:hyperlink r:id="rId5" w:history="1">
        <w:r w:rsidRPr="00E13AD4">
          <w:rPr>
            <w:rStyle w:val="Hyperlink"/>
            <w:color w:val="auto"/>
            <w:sz w:val="24"/>
            <w:u w:val="none"/>
            <w:lang w:val="ro-RO"/>
          </w:rPr>
          <w:t>STRAT-Board”</w:t>
        </w:r>
      </w:hyperlink>
      <w:r w:rsidRPr="00E13AD4">
        <w:rPr>
          <w:rStyle w:val="Hyperlink"/>
          <w:color w:val="auto"/>
          <w:sz w:val="24"/>
          <w:u w:val="none"/>
          <w:lang w:val="ro-RO"/>
        </w:rPr>
        <w:t>.</w:t>
      </w:r>
    </w:p>
  </w:footnote>
  <w:footnote w:id="19">
    <w:p w:rsidR="00942AB2" w:rsidRPr="00D8549E" w:rsidRDefault="00942AB2" w:rsidP="00E02CAF">
      <w:pPr>
        <w:pStyle w:val="FootnoteText1"/>
        <w:ind w:left="567" w:hanging="567"/>
        <w:jc w:val="left"/>
        <w:rPr>
          <w:sz w:val="24"/>
          <w:vertAlign w:val="superscript"/>
          <w:lang w:val="ro-RO"/>
        </w:rPr>
      </w:pPr>
      <w:r w:rsidRPr="00E13AD4">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Comisia Europeană, „</w:t>
      </w:r>
      <w:hyperlink r:id="rId6" w:anchor="the-chapter" w:history="1">
        <w:r w:rsidRPr="00E13AD4">
          <w:rPr>
            <w:rStyle w:val="Hyperlink"/>
            <w:color w:val="auto"/>
            <w:sz w:val="24"/>
            <w:u w:val="none"/>
            <w:lang w:val="ro-RO"/>
          </w:rPr>
          <w:t>Manualul strategiilor de dezvoltare teritorială și locală</w:t>
        </w:r>
      </w:hyperlink>
      <w:r w:rsidRPr="00D8549E">
        <w:rPr>
          <w:sz w:val="24"/>
          <w:lang w:val="ro-RO"/>
        </w:rPr>
        <w:t>”</w:t>
      </w:r>
      <w:r w:rsidRPr="00E13AD4">
        <w:rPr>
          <w:rStyle w:val="Hyperlink"/>
          <w:color w:val="auto"/>
          <w:sz w:val="24"/>
          <w:u w:val="none"/>
          <w:lang w:val="ro-RO"/>
        </w:rPr>
        <w:t>.</w:t>
      </w:r>
    </w:p>
  </w:footnote>
  <w:footnote w:id="20">
    <w:p w:rsidR="00D8549E" w:rsidRPr="00E13AD4" w:rsidRDefault="00D8549E" w:rsidP="00E13AD4">
      <w:pPr>
        <w:pStyle w:val="FootnoteText"/>
        <w:ind w:left="567" w:hanging="567"/>
        <w:rPr>
          <w:sz w:val="24"/>
          <w:lang w:val="hu-HU"/>
        </w:rPr>
      </w:pPr>
      <w:r w:rsidRPr="00E13AD4">
        <w:rPr>
          <w:rStyle w:val="FootnoteReference"/>
          <w:sz w:val="24"/>
        </w:rPr>
        <w:footnoteRef/>
      </w:r>
      <w:r w:rsidRPr="006C3F07">
        <w:rPr>
          <w:sz w:val="24"/>
          <w:lang w:val="ro-RO"/>
        </w:rPr>
        <w:t xml:space="preserve"> </w:t>
      </w:r>
      <w:r w:rsidRPr="00E13AD4">
        <w:rPr>
          <w:sz w:val="24"/>
          <w:lang w:val="hu-HU"/>
        </w:rPr>
        <w:tab/>
      </w:r>
      <w:r w:rsidRPr="00E13AD4">
        <w:rPr>
          <w:sz w:val="24"/>
          <w:lang w:val="ro-RO"/>
        </w:rPr>
        <w:t>Comisia Europeană, „</w:t>
      </w:r>
      <w:r w:rsidR="001F0374">
        <w:fldChar w:fldCharType="begin"/>
      </w:r>
      <w:r w:rsidR="001F0374" w:rsidRPr="001F0374">
        <w:rPr>
          <w:lang w:val="ro-RO"/>
        </w:rPr>
        <w:instrText xml:space="preserve"> HYPERLINK "https://urban.jrc.ec.europa.eu/urbanstrategies/" </w:instrText>
      </w:r>
      <w:r w:rsidR="001F0374">
        <w:fldChar w:fldCharType="separate"/>
      </w:r>
      <w:r w:rsidRPr="00E13AD4">
        <w:rPr>
          <w:rStyle w:val="Hyperlink"/>
          <w:sz w:val="24"/>
          <w:lang w:val="ro-RO"/>
        </w:rPr>
        <w:t>Manualul strategiilor de dezvoltare urbană durabilă</w:t>
      </w:r>
      <w:r w:rsidR="001F0374">
        <w:rPr>
          <w:rStyle w:val="Hyperlink"/>
          <w:sz w:val="24"/>
          <w:lang w:val="ro-RO"/>
        </w:rPr>
        <w:fldChar w:fldCharType="end"/>
      </w:r>
      <w:r w:rsidRPr="00E13AD4">
        <w:rPr>
          <w:sz w:val="24"/>
          <w:lang w:val="ro-RO"/>
        </w:rPr>
        <w:t>”.</w:t>
      </w:r>
    </w:p>
  </w:footnote>
  <w:footnote w:id="21">
    <w:p w:rsidR="00942AB2" w:rsidRPr="00D8549E" w:rsidRDefault="00942AB2" w:rsidP="00E02CAF">
      <w:pPr>
        <w:pStyle w:val="FootnoteText"/>
        <w:ind w:left="567" w:hanging="567"/>
        <w:rPr>
          <w:sz w:val="24"/>
          <w:lang w:val="ro-RO"/>
        </w:rPr>
      </w:pPr>
      <w:r w:rsidRPr="00D8549E">
        <w:rPr>
          <w:rStyle w:val="FootnoteReference"/>
          <w:sz w:val="24"/>
          <w:lang w:val="ro-RO"/>
        </w:rPr>
        <w:footnoteRef/>
      </w:r>
      <w:r w:rsidR="00E02CAF" w:rsidRPr="00D8549E">
        <w:rPr>
          <w:sz w:val="24"/>
          <w:lang w:val="ro-RO"/>
        </w:rPr>
        <w:t xml:space="preserve"> </w:t>
      </w:r>
      <w:r w:rsidR="00E02CAF" w:rsidRPr="00D8549E">
        <w:rPr>
          <w:sz w:val="24"/>
          <w:lang w:val="ro-RO"/>
        </w:rPr>
        <w:tab/>
      </w:r>
      <w:r w:rsidRPr="00D8549E">
        <w:rPr>
          <w:sz w:val="24"/>
          <w:lang w:val="ro-RO"/>
        </w:rPr>
        <w:t xml:space="preserve">Regulamentul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Regulamentului (CE) nr. 1080/2006 </w:t>
      </w:r>
      <w:r w:rsidR="00E13AD4">
        <w:rPr>
          <w:sz w:val="24"/>
          <w:lang w:val="ro-RO"/>
        </w:rPr>
        <w:t>(</w:t>
      </w:r>
      <w:r w:rsidRPr="00D8549E">
        <w:rPr>
          <w:sz w:val="24"/>
          <w:lang w:val="ro-RO"/>
        </w:rPr>
        <w:t>JO L 347, 20.12.2013, p. 289</w:t>
      </w:r>
      <w:r w:rsidR="00E13AD4">
        <w:rPr>
          <w:sz w:val="24"/>
          <w:lang w:val="ro-RO"/>
        </w:rPr>
        <w:t>)</w:t>
      </w:r>
      <w:r w:rsidRPr="00D8549E">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RO"/>
    <w:docVar w:name="dvnumam" w:val="0"/>
    <w:docVar w:name="dvpe" w:val="750.084"/>
    <w:docVar w:name="dvrapporteur" w:val="Raportor: "/>
    <w:docVar w:name="dvtitre" w:val="Rezoluția Parlamentului European din ... 2024 referitor la implementarea dezvoltării teritoriale (RDC, titlul III, capitolul II) și punerea sa în aplicare în cadrul Agendei teritoriale europene 2030(2023/2048(INI))"/>
  </w:docVars>
  <w:rsids>
    <w:rsidRoot w:val="00AE6791"/>
    <w:rsid w:val="00002272"/>
    <w:rsid w:val="00064002"/>
    <w:rsid w:val="000677B9"/>
    <w:rsid w:val="000831BA"/>
    <w:rsid w:val="000A42CC"/>
    <w:rsid w:val="000E7DD9"/>
    <w:rsid w:val="0010095E"/>
    <w:rsid w:val="00125B37"/>
    <w:rsid w:val="00187494"/>
    <w:rsid w:val="001F037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3F0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AB2"/>
    <w:rsid w:val="009509D8"/>
    <w:rsid w:val="00950B64"/>
    <w:rsid w:val="00981893"/>
    <w:rsid w:val="00A1687D"/>
    <w:rsid w:val="00A43E52"/>
    <w:rsid w:val="00A4678D"/>
    <w:rsid w:val="00A778C7"/>
    <w:rsid w:val="00AB441E"/>
    <w:rsid w:val="00AB6293"/>
    <w:rsid w:val="00AE0928"/>
    <w:rsid w:val="00AE679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49E"/>
    <w:rsid w:val="00D872DF"/>
    <w:rsid w:val="00D91E21"/>
    <w:rsid w:val="00DA7FCD"/>
    <w:rsid w:val="00E02CAF"/>
    <w:rsid w:val="00E13AD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AA718"/>
  <w15:chartTrackingRefBased/>
  <w15:docId w15:val="{8E71420E-2B68-4D23-A36A-C1468F93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42AB2"/>
    <w:rPr>
      <w:b/>
    </w:rPr>
  </w:style>
  <w:style w:type="paragraph" w:customStyle="1" w:styleId="NormalHanging12a">
    <w:name w:val="NormalHanging12a"/>
    <w:basedOn w:val="Normal"/>
    <w:link w:val="NormalHanging12aChar"/>
    <w:rsid w:val="00942AB2"/>
    <w:pPr>
      <w:spacing w:after="240"/>
      <w:ind w:left="567" w:hanging="567"/>
    </w:pPr>
  </w:style>
  <w:style w:type="character" w:styleId="Hyperlink">
    <w:name w:val="Hyperlink"/>
    <w:basedOn w:val="DefaultParagraphFont"/>
    <w:uiPriority w:val="99"/>
    <w:unhideWhenUsed/>
    <w:rsid w:val="00942AB2"/>
    <w:rPr>
      <w:color w:val="0000FF"/>
      <w:u w:val="single"/>
    </w:rPr>
  </w:style>
  <w:style w:type="paragraph" w:customStyle="1" w:styleId="FootnoteText1">
    <w:name w:val="Footnote Text1"/>
    <w:basedOn w:val="Normal"/>
    <w:next w:val="FootnoteText"/>
    <w:semiHidden/>
    <w:rsid w:val="00942AB2"/>
    <w:pPr>
      <w:widowControl/>
      <w:jc w:val="both"/>
    </w:pPr>
    <w:rPr>
      <w:sz w:val="20"/>
      <w:lang w:val="en-GB"/>
    </w:rPr>
  </w:style>
  <w:style w:type="character" w:customStyle="1" w:styleId="FootnoteTextChar1">
    <w:name w:val="Footnote Text Char1"/>
    <w:basedOn w:val="DefaultParagraphFont"/>
    <w:locked/>
    <w:rsid w:val="00942AB2"/>
    <w:rPr>
      <w:lang w:val="ro-RO"/>
    </w:rPr>
  </w:style>
  <w:style w:type="character" w:customStyle="1" w:styleId="NormalHanging12aChar">
    <w:name w:val="NormalHanging12a Char"/>
    <w:basedOn w:val="DefaultParagraphFont"/>
    <w:link w:val="NormalHanging12a"/>
    <w:rsid w:val="00942AB2"/>
    <w:rPr>
      <w:sz w:val="24"/>
      <w:lang w:val="ro-RO"/>
    </w:rPr>
  </w:style>
  <w:style w:type="paragraph" w:styleId="BalloonText">
    <w:name w:val="Balloon Text"/>
    <w:basedOn w:val="Normal"/>
    <w:link w:val="BalloonTextChar"/>
    <w:rsid w:val="00E13AD4"/>
    <w:rPr>
      <w:rFonts w:ascii="Segoe UI" w:hAnsi="Segoe UI" w:cs="Segoe UI"/>
      <w:sz w:val="18"/>
      <w:szCs w:val="18"/>
    </w:rPr>
  </w:style>
  <w:style w:type="character" w:customStyle="1" w:styleId="BalloonTextChar">
    <w:name w:val="Balloon Text Char"/>
    <w:basedOn w:val="DefaultParagraphFont"/>
    <w:link w:val="BalloonText"/>
    <w:rsid w:val="00E13AD4"/>
    <w:rPr>
      <w:rFonts w:ascii="Segoe UI" w:hAnsi="Segoe UI" w:cs="Segoe UI"/>
      <w:sz w:val="18"/>
      <w:szCs w:val="18"/>
      <w:lang w:val="ro-RO"/>
    </w:rPr>
  </w:style>
  <w:style w:type="paragraph" w:styleId="Header">
    <w:name w:val="header"/>
    <w:basedOn w:val="Normal"/>
    <w:link w:val="HeaderChar"/>
    <w:rsid w:val="00E13AD4"/>
    <w:pPr>
      <w:tabs>
        <w:tab w:val="center" w:pos="4513"/>
        <w:tab w:val="right" w:pos="9026"/>
      </w:tabs>
    </w:pPr>
  </w:style>
  <w:style w:type="character" w:customStyle="1" w:styleId="HeaderChar">
    <w:name w:val="Header Char"/>
    <w:basedOn w:val="DefaultParagraphFont"/>
    <w:link w:val="Header"/>
    <w:rsid w:val="00E13AD4"/>
    <w:rPr>
      <w:sz w:val="24"/>
      <w:lang w:val="ro-RO"/>
    </w:rPr>
  </w:style>
  <w:style w:type="character" w:styleId="FollowedHyperlink">
    <w:name w:val="FollowedHyperlink"/>
    <w:basedOn w:val="DefaultParagraphFont"/>
    <w:rsid w:val="006C3F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ALL/?uri=CELEX%3A32021R1059" TargetMode="External"/><Relationship Id="rId2" Type="http://schemas.openxmlformats.org/officeDocument/2006/relationships/hyperlink" Target="https://eur-lex.europa.eu/legal-content/RO/ALL/?uri=CELEX%3A32021R1058" TargetMode="External"/><Relationship Id="rId1" Type="http://schemas.openxmlformats.org/officeDocument/2006/relationships/hyperlink" Target="https://eur-lex.europa.eu/legal-content/RO/TXT/?uri=CELEX%3A32021R1060" TargetMode="External"/><Relationship Id="rId6" Type="http://schemas.openxmlformats.org/officeDocument/2006/relationships/hyperlink" Target="https://urban.jrc.ec.europa.eu/territorialstrategies/executive-summary" TargetMode="External"/><Relationship Id="rId5" Type="http://schemas.openxmlformats.org/officeDocument/2006/relationships/hyperlink" Target="https://urban.jrc.ec.europa.eu/strat-board/?lng=ro" TargetMode="External"/><Relationship Id="rId4" Type="http://schemas.openxmlformats.org/officeDocument/2006/relationships/hyperlink" Target="https://ec.europa.eu/regional_policy/sources/studies/integrated_strategies/integrated_strategie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AA5EA-A25D-450C-9A68-2ADFFF880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5649</Words>
  <Characters>34200</Characters>
  <Application>Microsoft Office Word</Application>
  <DocSecurity>0</DocSecurity>
  <Lines>285</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SEMEDO Teresa_RELEC</cp:lastModifiedBy>
  <cp:revision>3</cp:revision>
  <cp:lastPrinted>2004-11-19T15:42:00Z</cp:lastPrinted>
  <dcterms:created xsi:type="dcterms:W3CDTF">2024-02-26T09:05:00Z</dcterms:created>
  <dcterms:modified xsi:type="dcterms:W3CDTF">2024-07-12T14:07:00Z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A9-0420/2023</vt:lpwstr>
  </property>
  <property fmtid="{D5CDD505-2E9C-101B-9397-08002B2CF9AE}" pid="4" name="&lt;Type&gt;">
    <vt:lpwstr>RR</vt:lpwstr>
  </property>
</Properties>
</file>