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77B8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77B87" w:rsidRDefault="00C50618" w:rsidP="0010095E">
            <w:pPr>
              <w:pStyle w:val="EPName"/>
            </w:pPr>
            <w:r w:rsidRPr="00A77B87">
              <w:t>Európsky parlament</w:t>
            </w:r>
          </w:p>
          <w:p w:rsidR="00751A4A" w:rsidRPr="00A77B8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77B8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77B87" w:rsidRDefault="00187494" w:rsidP="0010095E">
            <w:pPr>
              <w:pStyle w:val="EPLogo"/>
            </w:pPr>
            <w:r w:rsidRPr="00A77B8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77B87" w:rsidRDefault="00D058B8" w:rsidP="004C5D52">
      <w:pPr>
        <w:pStyle w:val="LineTop"/>
      </w:pPr>
    </w:p>
    <w:p w:rsidR="00680577" w:rsidRPr="00A77B87" w:rsidRDefault="00C50618" w:rsidP="00680577">
      <w:pPr>
        <w:pStyle w:val="EPBodyTA1"/>
      </w:pPr>
      <w:r w:rsidRPr="00A77B87">
        <w:t>PRIJATÉ TEXTY</w:t>
      </w:r>
    </w:p>
    <w:p w:rsidR="00D058B8" w:rsidRPr="00A77B87" w:rsidRDefault="00D058B8" w:rsidP="00D058B8">
      <w:pPr>
        <w:pStyle w:val="LineBottom"/>
      </w:pPr>
    </w:p>
    <w:p w:rsidR="00C50618" w:rsidRPr="00A77B87" w:rsidRDefault="00C50618" w:rsidP="00C50618">
      <w:pPr>
        <w:pStyle w:val="ATHeading1"/>
      </w:pPr>
      <w:bookmarkStart w:id="0" w:name="TANumber"/>
      <w:r w:rsidRPr="00A77B87">
        <w:t>P9_TA(2024)00</w:t>
      </w:r>
      <w:r w:rsidR="00A77B87" w:rsidRPr="00A77B87">
        <w:t>10</w:t>
      </w:r>
      <w:bookmarkEnd w:id="0"/>
    </w:p>
    <w:p w:rsidR="00C50618" w:rsidRPr="00A77B87" w:rsidRDefault="00C50618" w:rsidP="00C50618">
      <w:pPr>
        <w:pStyle w:val="ATHeading2"/>
      </w:pPr>
      <w:bookmarkStart w:id="1" w:name="title"/>
      <w:r w:rsidRPr="00A77B87">
        <w:t>Vykonávanie územného rozvoja (NSU, hlava III kapitola II) a jeho uplatňovanie v Územnej agende Európskej únie 2030</w:t>
      </w:r>
      <w:bookmarkEnd w:id="1"/>
    </w:p>
    <w:p w:rsidR="00C50618" w:rsidRPr="00A77B87" w:rsidRDefault="00C50618" w:rsidP="00C50618">
      <w:pPr>
        <w:rPr>
          <w:i/>
          <w:vanish/>
        </w:rPr>
      </w:pPr>
      <w:r w:rsidRPr="00A77B87">
        <w:rPr>
          <w:i/>
        </w:rPr>
        <w:fldChar w:fldCharType="begin"/>
      </w:r>
      <w:r w:rsidRPr="00A77B87">
        <w:rPr>
          <w:i/>
        </w:rPr>
        <w:instrText xml:space="preserve"> TC"(</w:instrText>
      </w:r>
      <w:bookmarkStart w:id="2" w:name="DocNumber"/>
      <w:r w:rsidRPr="00A77B87">
        <w:rPr>
          <w:i/>
        </w:rPr>
        <w:instrText>A9-0420/2023</w:instrText>
      </w:r>
      <w:bookmarkEnd w:id="2"/>
      <w:r w:rsidRPr="00A77B87">
        <w:rPr>
          <w:i/>
        </w:rPr>
        <w:instrText xml:space="preserve"> - Spravodajca: Marcos Ros Sempere)"\l3 \n&gt; \* MERGEFORMAT </w:instrText>
      </w:r>
      <w:r w:rsidRPr="00A77B87">
        <w:rPr>
          <w:i/>
        </w:rPr>
        <w:fldChar w:fldCharType="end"/>
      </w:r>
    </w:p>
    <w:p w:rsidR="00C50618" w:rsidRPr="00A77B87" w:rsidRDefault="00C50618" w:rsidP="00C50618">
      <w:pPr>
        <w:rPr>
          <w:vanish/>
        </w:rPr>
      </w:pPr>
      <w:bookmarkStart w:id="3" w:name="Commission"/>
      <w:r w:rsidRPr="00A77B87">
        <w:rPr>
          <w:vanish/>
        </w:rPr>
        <w:t>Výbor pre regionálny rozvoj</w:t>
      </w:r>
      <w:bookmarkEnd w:id="3"/>
    </w:p>
    <w:p w:rsidR="00C50618" w:rsidRPr="00A77B87" w:rsidRDefault="00C50618" w:rsidP="00C50618">
      <w:pPr>
        <w:rPr>
          <w:vanish/>
        </w:rPr>
      </w:pPr>
      <w:bookmarkStart w:id="4" w:name="PE"/>
      <w:r w:rsidRPr="00A77B87">
        <w:rPr>
          <w:vanish/>
        </w:rPr>
        <w:t>PE750.084</w:t>
      </w:r>
      <w:bookmarkEnd w:id="4"/>
    </w:p>
    <w:p w:rsidR="00C50618" w:rsidRPr="00A77B87" w:rsidRDefault="00C50618" w:rsidP="00C50618">
      <w:pPr>
        <w:pStyle w:val="ATHeading3"/>
      </w:pPr>
      <w:bookmarkStart w:id="5" w:name="Sujet"/>
      <w:r w:rsidRPr="00A77B87">
        <w:t>Uznesenie Európskeho parlamentu z</w:t>
      </w:r>
      <w:r w:rsidR="00A77B87" w:rsidRPr="00A77B87">
        <w:t>o</w:t>
      </w:r>
      <w:r w:rsidRPr="00A77B87">
        <w:t xml:space="preserve"> </w:t>
      </w:r>
      <w:r w:rsidR="00A77B87" w:rsidRPr="00A77B87">
        <w:t>16</w:t>
      </w:r>
      <w:r w:rsidRPr="00A77B87">
        <w:t>. januára 2024 o vykonávaní územného rozvoja (NSU, hlava III kapitola II) a jeho uplatňovanie v Územnej agende Európskej únie 2030</w:t>
      </w:r>
      <w:bookmarkEnd w:id="5"/>
      <w:r w:rsidRPr="00A77B87">
        <w:t xml:space="preserve"> </w:t>
      </w:r>
      <w:bookmarkStart w:id="6" w:name="References"/>
      <w:r w:rsidRPr="00A77B87">
        <w:t>(2023/2048(INI))</w:t>
      </w:r>
      <w:bookmarkEnd w:id="6"/>
    </w:p>
    <w:p w:rsidR="00C50618" w:rsidRPr="00A77B87" w:rsidRDefault="00C50618" w:rsidP="00C50618"/>
    <w:p w:rsidR="005F53D3" w:rsidRPr="00A77B87" w:rsidRDefault="005F53D3" w:rsidP="005F53D3">
      <w:pPr>
        <w:widowControl/>
        <w:spacing w:after="240"/>
        <w:ind w:left="567" w:hanging="567"/>
      </w:pPr>
      <w:bookmarkStart w:id="7" w:name="TextBodyBegin"/>
      <w:bookmarkEnd w:id="7"/>
      <w:r w:rsidRPr="00A77B87">
        <w:rPr>
          <w:i/>
          <w:iCs/>
        </w:rPr>
        <w:t>Európsky parlament,</w:t>
      </w:r>
    </w:p>
    <w:p w:rsidR="005F53D3" w:rsidRPr="00A77B87" w:rsidRDefault="005F53D3" w:rsidP="005F53D3">
      <w:pPr>
        <w:widowControl/>
        <w:spacing w:after="240"/>
        <w:ind w:left="567" w:hanging="567"/>
        <w:rPr>
          <w:snapToGrid w:val="0"/>
        </w:rPr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>so zreteľom na Zmluvu o fungovaní Európskej únie, najmä na jej hlavu XVIII,</w:t>
      </w:r>
    </w:p>
    <w:p w:rsidR="005F53D3" w:rsidRPr="00A77B87" w:rsidRDefault="005F53D3" w:rsidP="005F53D3">
      <w:pPr>
        <w:widowControl/>
        <w:spacing w:after="240"/>
        <w:ind w:left="567" w:hanging="567"/>
        <w:rPr>
          <w:snapToGrid w:val="0"/>
        </w:rPr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 xml:space="preserve">so zreteľom na nariadenie Európskeho parlamentu a Rady (EÚ) 2021/1060 z 24. júna 2021, ktorým sa stanovujú spoločné ustanovenia o Európskom fonde regionálneho rozvoja, Európskom sociálnom fonde plus, Kohéznom fonde, Fonde na spravodlivú transformáciu a Európskom námornom, rybolovnom a </w:t>
      </w:r>
      <w:proofErr w:type="spellStart"/>
      <w:r w:rsidRPr="00A77B87">
        <w:rPr>
          <w:snapToGrid w:val="0"/>
        </w:rPr>
        <w:t>akvakultúrnom</w:t>
      </w:r>
      <w:proofErr w:type="spellEnd"/>
      <w:r w:rsidRPr="00A77B87">
        <w:rPr>
          <w:snapToGrid w:val="0"/>
        </w:rPr>
        <w:t xml:space="preserve"> fonde a rozpočtové pravidlá pre uvedené fondy, ako aj pre Fond pre azyl, migráciu a integráciu, Fond pre vnútornú bezpečnosť a Nástroj finančnej podpory na riadenie hraníc a vízovú politiku</w:t>
      </w:r>
      <w:r w:rsidRPr="00A77B87">
        <w:rPr>
          <w:snapToGrid w:val="0"/>
          <w:vertAlign w:val="superscript"/>
          <w:lang w:eastAsia="en-US"/>
        </w:rPr>
        <w:footnoteReference w:id="1"/>
      </w:r>
      <w:r w:rsidRPr="00A77B87">
        <w:rPr>
          <w:snapToGrid w:val="0"/>
        </w:rPr>
        <w:t xml:space="preserve"> (nariadenie o spoločných ustanoveniach – NSU),</w:t>
      </w:r>
    </w:p>
    <w:p w:rsidR="005F53D3" w:rsidRPr="00A77B87" w:rsidRDefault="005F53D3" w:rsidP="005F53D3">
      <w:pPr>
        <w:widowControl/>
        <w:spacing w:after="240"/>
        <w:ind w:left="567" w:hanging="567"/>
        <w:rPr>
          <w:snapToGrid w:val="0"/>
        </w:rPr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>so zreteľom na nariadenie Európskeho parlamentu a Rady (EÚ) 2021/1058 z 24. júna 2021 o Európskom fonde regionálneho rozvoja a Kohéznom fonde</w:t>
      </w:r>
      <w:r w:rsidRPr="00A77B87">
        <w:rPr>
          <w:snapToGrid w:val="0"/>
          <w:vertAlign w:val="superscript"/>
          <w:lang w:eastAsia="en-US"/>
        </w:rPr>
        <w:footnoteReference w:id="2"/>
      </w:r>
      <w:r w:rsidRPr="00A77B87">
        <w:rPr>
          <w:snapToGrid w:val="0"/>
        </w:rPr>
        <w:t>,</w:t>
      </w:r>
    </w:p>
    <w:p w:rsidR="005F53D3" w:rsidRPr="00A77B87" w:rsidRDefault="005F53D3" w:rsidP="005F53D3">
      <w:pPr>
        <w:widowControl/>
        <w:spacing w:after="240"/>
        <w:ind w:left="567" w:hanging="567"/>
        <w:rPr>
          <w:snapToGrid w:val="0"/>
        </w:rPr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>so zreteľom na nariadenie Európskeho parlamentu a Rady (EÚ) 2021/1059 z 24. júna 2021 o osobitných ustanoveniach týkajúcich sa cieľa Európska územná spolupráca (</w:t>
      </w:r>
      <w:proofErr w:type="spellStart"/>
      <w:r w:rsidRPr="00A77B87">
        <w:rPr>
          <w:snapToGrid w:val="0"/>
        </w:rPr>
        <w:t>Interreg</w:t>
      </w:r>
      <w:proofErr w:type="spellEnd"/>
      <w:r w:rsidRPr="00A77B87">
        <w:rPr>
          <w:snapToGrid w:val="0"/>
        </w:rPr>
        <w:t>) podporovaného z Európskeho fondu regionálneho rozvoja a vonkajších finančných nástrojov</w:t>
      </w:r>
      <w:r w:rsidRPr="00A77B87">
        <w:rPr>
          <w:snapToGrid w:val="0"/>
          <w:vertAlign w:val="superscript"/>
          <w:lang w:eastAsia="en-US"/>
        </w:rPr>
        <w:footnoteReference w:id="3"/>
      </w:r>
      <w:r w:rsidRPr="00A77B87">
        <w:rPr>
          <w:snapToGrid w:val="0"/>
        </w:rPr>
        <w:t>,</w:t>
      </w:r>
    </w:p>
    <w:p w:rsidR="005F53D3" w:rsidRPr="00A77B87" w:rsidRDefault="005F53D3" w:rsidP="005F53D3">
      <w:pPr>
        <w:widowControl/>
        <w:spacing w:after="240"/>
        <w:ind w:left="567" w:hanging="567"/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</w:r>
      <w:r w:rsidRPr="00A77B87">
        <w:t>so zreteľom na nariadenie Európskeho parlamentu a Rady (EÚ) 2021/1056 z 24. júna 2021, ktorým sa zriaďuje Fond na spravodlivú transformáciu</w:t>
      </w:r>
      <w:r w:rsidRPr="00A77B87">
        <w:rPr>
          <w:vertAlign w:val="superscript"/>
        </w:rPr>
        <w:footnoteReference w:id="4"/>
      </w:r>
      <w:r w:rsidRPr="00A77B87">
        <w:t>,</w:t>
      </w:r>
    </w:p>
    <w:p w:rsidR="005F53D3" w:rsidRPr="00A77B87" w:rsidRDefault="005F53D3" w:rsidP="005F53D3">
      <w:pPr>
        <w:pStyle w:val="NormalBold"/>
        <w:spacing w:after="240"/>
        <w:ind w:left="567" w:hanging="567"/>
        <w:rPr>
          <w:b w:val="0"/>
        </w:rPr>
      </w:pPr>
      <w:r w:rsidRPr="00A77B87">
        <w:rPr>
          <w:b w:val="0"/>
        </w:rPr>
        <w:t>–</w:t>
      </w:r>
      <w:r w:rsidRPr="00A77B87">
        <w:rPr>
          <w:b w:val="0"/>
        </w:rPr>
        <w:tab/>
        <w:t xml:space="preserve">so zreteľom na nariadenie Európskeho parlamentu a Rady (EÚ) 2021/2115 z 2. decembra 2021, ktorým sa stanovujú pravidlá podpory strategických plánov, ktoré majú </w:t>
      </w:r>
      <w:r w:rsidRPr="00A77B87">
        <w:rPr>
          <w:b w:val="0"/>
        </w:rPr>
        <w:lastRenderedPageBreak/>
        <w:t>zostaviť členské štáty v rámci spoločnej poľnohospodárskej politiky (strategické plány SPP) a ktoré sú financované z Európskeho poľnohospodárskeho záručného fondu (EPZF) a Európskeho poľnohospodárskeho fondu pre rozvoj vidieka (EPFRV), a ktorým sa zrušujú nariadenia (EÚ) č. 1305/2013 a (EÚ) č. 1307/2013</w:t>
      </w:r>
      <w:r w:rsidRPr="00A77B87">
        <w:rPr>
          <w:rStyle w:val="FootnoteReference"/>
          <w:b w:val="0"/>
        </w:rPr>
        <w:footnoteReference w:id="5"/>
      </w:r>
      <w:r w:rsidRPr="00A77B87">
        <w:rPr>
          <w:b w:val="0"/>
        </w:rPr>
        <w:t xml:space="preserve">, </w:t>
      </w:r>
    </w:p>
    <w:p w:rsidR="005F53D3" w:rsidRPr="00A77B87" w:rsidRDefault="005F53D3" w:rsidP="005F53D3">
      <w:pPr>
        <w:pStyle w:val="NormalHanging12a"/>
      </w:pPr>
      <w:r w:rsidRPr="00A77B87">
        <w:t>–</w:t>
      </w:r>
      <w:r w:rsidRPr="00A77B87">
        <w:tab/>
        <w:t>so zreteľom na nariadenie Európskeho parlamentu a Rady (EÚ) 2020/2220 z 23. decembra 2020, ktorým sa stanovujú určité prechodné ustanovenia týkajúce sa podpory z Európskeho poľnohospodárskeho fondu pre rozvoj vidieka (EPFRV) a Európskeho poľnohospodárskeho záručného fondu (EPZF) v rokoch 2021 a 2022 a ktorým sa menia nariadenia (EÚ) č. 1305/2013, (EÚ) č. 1306/2013 a (EÚ) č. 1307/2013, pokiaľ ide o zdroje a uplatňovanie v rokoch 2021 a 2022, a nariadenie (EÚ) č. 1308/2013, pokiaľ ide o zdroje a distribúciu tejto podpory v rokoch 2021 a 2022</w:t>
      </w:r>
      <w:r w:rsidRPr="00A77B87">
        <w:rPr>
          <w:vertAlign w:val="superscript"/>
        </w:rPr>
        <w:footnoteReference w:id="6"/>
      </w:r>
      <w:r w:rsidRPr="00A77B87">
        <w:t>,</w:t>
      </w:r>
    </w:p>
    <w:p w:rsidR="005F53D3" w:rsidRPr="00A77B87" w:rsidRDefault="005F53D3" w:rsidP="005F53D3">
      <w:pPr>
        <w:widowControl/>
        <w:spacing w:after="240"/>
        <w:ind w:left="567" w:hanging="567"/>
        <w:rPr>
          <w:snapToGrid w:val="0"/>
        </w:rPr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>so zreteľom na nariadenie Európskeho parlamentu a Rady (EÚ) č. 1303/2013 zo 17. decembra 2013, ktorým sa stanovujú spoločné ustanovenia o Európskom fonde regionálneho rozvoja, Európskom sociálnom fonde, Kohéznom fonde, Európskom poľnohospodárskom fonde pre rozvoj vidieka a Európskom námornom a rybárskom fonde a ktorým sa stanovujú všeobecné ustanovenia o Európskom fonde regionálneho rozvoja, Európskom sociálnom fonde, Kohéznom fonde a Európskom námornom a rybárskom fonde, a ktorým sa zrušuje nariadenie Rady (ES) č. 1083/2006</w:t>
      </w:r>
      <w:r w:rsidRPr="00A77B87">
        <w:rPr>
          <w:snapToGrid w:val="0"/>
          <w:vertAlign w:val="superscript"/>
          <w:lang w:eastAsia="en-US"/>
        </w:rPr>
        <w:footnoteReference w:id="7"/>
      </w:r>
      <w:r w:rsidRPr="00A77B87">
        <w:rPr>
          <w:snapToGrid w:val="0"/>
        </w:rPr>
        <w:t>,</w:t>
      </w:r>
    </w:p>
    <w:p w:rsidR="005F53D3" w:rsidRPr="00A77B87" w:rsidRDefault="005F53D3" w:rsidP="005F53D3">
      <w:pPr>
        <w:widowControl/>
        <w:spacing w:after="240"/>
        <w:ind w:left="567" w:hanging="567"/>
        <w:rPr>
          <w:snapToGrid w:val="0"/>
        </w:rPr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>so zreteľom na dohodu prijatú 12. decembra 2015 na 21. konferencii zmluvných strán Rámcového dohovoru Organizácie Spojených národov o zmene klímy (COP21) v Paríži (Parížska dohoda),</w:t>
      </w:r>
    </w:p>
    <w:p w:rsidR="005F53D3" w:rsidRPr="00A77B87" w:rsidRDefault="005F53D3" w:rsidP="005F53D3">
      <w:pPr>
        <w:widowControl/>
        <w:spacing w:after="240"/>
        <w:ind w:left="567" w:hanging="567"/>
        <w:rPr>
          <w:snapToGrid w:val="0"/>
        </w:rPr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>so zreteľom na Agendu OSN 2030 pre udržateľný rozvoj, najmä na cieľ udržateľného rozvoja č. 11 týkajúci sa udržateľných miest a komunít,</w:t>
      </w:r>
    </w:p>
    <w:p w:rsidR="005F53D3" w:rsidRPr="00A77B87" w:rsidRDefault="005F53D3" w:rsidP="005F53D3">
      <w:pPr>
        <w:widowControl/>
        <w:spacing w:after="240"/>
        <w:ind w:left="567" w:hanging="567"/>
        <w:rPr>
          <w:snapToGrid w:val="0"/>
        </w:rPr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>so zreteľom</w:t>
      </w:r>
      <w:r w:rsidRPr="00A77B87">
        <w:t xml:space="preserve"> na </w:t>
      </w:r>
      <w:r w:rsidRPr="00A77B87">
        <w:rPr>
          <w:snapToGrid w:val="0"/>
        </w:rPr>
        <w:t>Územnú agendu 2030</w:t>
      </w:r>
      <w:r w:rsidRPr="00A77B87">
        <w:t xml:space="preserve"> – budúcnosť pre všetky miesta </w:t>
      </w:r>
      <w:r w:rsidRPr="00A77B87">
        <w:rPr>
          <w:snapToGrid w:val="0"/>
        </w:rPr>
        <w:t>prijatú na neformálnom stretnutí ministrov zodpovedných za územné plánovanie, územný rozvoj</w:t>
      </w:r>
      <w:r w:rsidRPr="00A77B87">
        <w:t xml:space="preserve"> a/alebo územnú súdržnosť </w:t>
      </w:r>
      <w:r w:rsidRPr="00A77B87">
        <w:rPr>
          <w:snapToGrid w:val="0"/>
        </w:rPr>
        <w:t>1. decembra 2020</w:t>
      </w:r>
      <w:r w:rsidRPr="00A77B87">
        <w:t>,</w:t>
      </w:r>
    </w:p>
    <w:p w:rsidR="005F53D3" w:rsidRPr="00A77B87" w:rsidRDefault="005F53D3" w:rsidP="005F53D3">
      <w:pPr>
        <w:widowControl/>
        <w:spacing w:after="240"/>
        <w:ind w:left="567" w:hanging="567"/>
        <w:rPr>
          <w:snapToGrid w:val="0"/>
        </w:rPr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>so zreteľom na Amsterdamský pakt, ktorým sa ustanovuje mestská agenda EÚ, dohodnutý na neformálnom stretnutí ministrov EÚ zodpovedných za mestské záležitosti 30. mája 2016,</w:t>
      </w:r>
    </w:p>
    <w:p w:rsidR="005F53D3" w:rsidRPr="00A77B87" w:rsidRDefault="005F53D3" w:rsidP="005F53D3">
      <w:pPr>
        <w:widowControl/>
        <w:spacing w:after="240"/>
        <w:ind w:left="567" w:hanging="567"/>
        <w:rPr>
          <w:snapToGrid w:val="0"/>
        </w:rPr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>so zreteľom na novú Lipskú chartu – transformačná sila miest pre spoločné dobro, ktorá bola prijatá 30. novembra 2020 na neformálnom zasadnutí ministrov o mestských otázkach</w:t>
      </w:r>
      <w:r w:rsidRPr="00A77B87">
        <w:t>,</w:t>
      </w:r>
    </w:p>
    <w:p w:rsidR="005F53D3" w:rsidRPr="00A77B87" w:rsidRDefault="005F53D3" w:rsidP="005F53D3">
      <w:pPr>
        <w:widowControl/>
        <w:spacing w:after="240"/>
        <w:ind w:left="567" w:hanging="567"/>
        <w:rPr>
          <w:rFonts w:eastAsia="Calibri"/>
          <w:szCs w:val="24"/>
        </w:rPr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>so zreteľom na</w:t>
      </w:r>
      <w:r w:rsidRPr="00A77B87">
        <w:t xml:space="preserve"> Ľubľanskú dohodu prijatú na neformálnom stretnutí ministrov zodpovedných za mestské záležitosti 26. novembra 2021,</w:t>
      </w:r>
    </w:p>
    <w:p w:rsidR="005F53D3" w:rsidRPr="00A77B87" w:rsidRDefault="005F53D3" w:rsidP="005F53D3">
      <w:pPr>
        <w:widowControl/>
        <w:spacing w:after="240"/>
        <w:ind w:left="567" w:hanging="567"/>
        <w:rPr>
          <w:rFonts w:eastAsia="Calibri"/>
          <w:szCs w:val="24"/>
        </w:rPr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 xml:space="preserve">so zreteľom na </w:t>
      </w:r>
      <w:r w:rsidRPr="00A77B87">
        <w:t xml:space="preserve">Novú </w:t>
      </w:r>
      <w:proofErr w:type="spellStart"/>
      <w:r w:rsidRPr="00A77B87">
        <w:t>urbánnu</w:t>
      </w:r>
      <w:proofErr w:type="spellEnd"/>
      <w:r w:rsidRPr="00A77B87">
        <w:t xml:space="preserve"> agendu prijatú Organizáciou Spojených národov 20. októbra 2016,</w:t>
      </w:r>
    </w:p>
    <w:p w:rsidR="005F53D3" w:rsidRPr="00A77B87" w:rsidRDefault="005F53D3" w:rsidP="005F53D3">
      <w:pPr>
        <w:widowControl/>
        <w:spacing w:after="240"/>
        <w:ind w:left="567" w:hanging="567"/>
        <w:rPr>
          <w:rFonts w:eastAsia="Calibri"/>
          <w:szCs w:val="24"/>
        </w:rPr>
      </w:pPr>
      <w:r w:rsidRPr="00A77B87">
        <w:rPr>
          <w:snapToGrid w:val="0"/>
        </w:rPr>
        <w:lastRenderedPageBreak/>
        <w:t>–</w:t>
      </w:r>
      <w:r w:rsidRPr="00A77B87">
        <w:rPr>
          <w:snapToGrid w:val="0"/>
        </w:rPr>
        <w:tab/>
        <w:t>so zreteľom na</w:t>
      </w:r>
      <w:r w:rsidRPr="00A77B87">
        <w:t xml:space="preserve"> </w:t>
      </w:r>
      <w:r w:rsidRPr="00A77B87">
        <w:rPr>
          <w:shd w:val="clear" w:color="auto" w:fill="FFFFFF"/>
        </w:rPr>
        <w:t>oznámenie Komisie</w:t>
      </w:r>
      <w:r w:rsidRPr="00A77B87">
        <w:t xml:space="preserve"> </w:t>
      </w:r>
      <w:r w:rsidRPr="00A77B87">
        <w:rPr>
          <w:shd w:val="clear" w:color="auto" w:fill="FFFFFF"/>
        </w:rPr>
        <w:t>zo 17. januára 2023</w:t>
      </w:r>
      <w:r w:rsidRPr="00A77B87">
        <w:t xml:space="preserve"> s názvom Využitie talentov v regiónoch Európy (COM(2023)0032),</w:t>
      </w:r>
    </w:p>
    <w:p w:rsidR="005F53D3" w:rsidRPr="00A77B87" w:rsidRDefault="005F53D3" w:rsidP="005F53D3">
      <w:pPr>
        <w:widowControl/>
        <w:spacing w:after="240"/>
        <w:ind w:left="567" w:hanging="567"/>
        <w:rPr>
          <w:snapToGrid w:val="0"/>
          <w:szCs w:val="24"/>
        </w:rPr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>so zreteľom na</w:t>
      </w:r>
      <w:r w:rsidRPr="00A77B87">
        <w:t xml:space="preserve"> </w:t>
      </w:r>
      <w:r w:rsidRPr="00A77B87">
        <w:rPr>
          <w:shd w:val="clear" w:color="auto" w:fill="FFFFFF"/>
        </w:rPr>
        <w:t>oznámenie Komisie zo 4. februára</w:t>
      </w:r>
      <w:r w:rsidRPr="00A77B87">
        <w:t xml:space="preserve"> </w:t>
      </w:r>
      <w:r w:rsidRPr="00A77B87">
        <w:rPr>
          <w:shd w:val="clear" w:color="auto" w:fill="FFFFFF"/>
        </w:rPr>
        <w:t xml:space="preserve">2022o ôsmej správe o súdržnosti: Súdržnosť v Európe do roku 2050 </w:t>
      </w:r>
      <w:r w:rsidR="00D7496D" w:rsidRPr="00A77B87">
        <w:rPr>
          <w:shd w:val="clear" w:color="auto" w:fill="FFFFFF"/>
        </w:rPr>
        <w:t>(</w:t>
      </w:r>
      <w:r w:rsidRPr="00A77B87">
        <w:rPr>
          <w:shd w:val="clear" w:color="auto" w:fill="FFFFFF"/>
        </w:rPr>
        <w:t>COM(2022)0034</w:t>
      </w:r>
      <w:r w:rsidR="00D7496D" w:rsidRPr="00A77B87">
        <w:rPr>
          <w:shd w:val="clear" w:color="auto" w:fill="FFFFFF"/>
        </w:rPr>
        <w:t>)</w:t>
      </w:r>
      <w:r w:rsidRPr="00A77B87">
        <w:rPr>
          <w:shd w:val="clear" w:color="auto" w:fill="FFFFFF"/>
        </w:rPr>
        <w:t>,</w:t>
      </w:r>
    </w:p>
    <w:p w:rsidR="005F53D3" w:rsidRPr="00A77B87" w:rsidRDefault="005F53D3" w:rsidP="005F53D3">
      <w:pPr>
        <w:widowControl/>
        <w:spacing w:after="240"/>
        <w:ind w:left="567" w:hanging="567"/>
        <w:rPr>
          <w:snapToGrid w:val="0"/>
        </w:rPr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 xml:space="preserve">so zreteľom na oznámenie Komisie z 30. júna 2021 s názvom Dlhodobá vízia pre vidiecke oblasti EÚ – smerom k zabezpečeniu silnejších, prepojených, odolných a prosperujúcich vidieckych oblastí do roku 2040 </w:t>
      </w:r>
      <w:r w:rsidR="00D7496D" w:rsidRPr="00A77B87">
        <w:rPr>
          <w:snapToGrid w:val="0"/>
        </w:rPr>
        <w:t>(</w:t>
      </w:r>
      <w:r w:rsidRPr="00A77B87">
        <w:rPr>
          <w:snapToGrid w:val="0"/>
        </w:rPr>
        <w:t>COM(2021)0345</w:t>
      </w:r>
      <w:r w:rsidR="00D7496D" w:rsidRPr="00A77B87">
        <w:rPr>
          <w:snapToGrid w:val="0"/>
        </w:rPr>
        <w:t>)</w:t>
      </w:r>
      <w:r w:rsidRPr="00A77B87">
        <w:rPr>
          <w:snapToGrid w:val="0"/>
        </w:rPr>
        <w:t>,</w:t>
      </w:r>
    </w:p>
    <w:p w:rsidR="005F53D3" w:rsidRPr="00A77B87" w:rsidRDefault="005F53D3" w:rsidP="005F53D3">
      <w:pPr>
        <w:widowControl/>
        <w:spacing w:after="240"/>
        <w:ind w:left="567" w:hanging="567"/>
        <w:rPr>
          <w:snapToGrid w:val="0"/>
        </w:rPr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>so zreteľom na oznámenie Komisie z 3. marca 2021 s názvom Únia rovnosti: Stratégia v oblasti práv osôb so zdravotným postihnutím na roky 2021 – 2030 (COM(2021)0101),</w:t>
      </w:r>
    </w:p>
    <w:p w:rsidR="005F53D3" w:rsidRPr="00A77B87" w:rsidRDefault="005F53D3" w:rsidP="005F53D3">
      <w:pPr>
        <w:widowControl/>
        <w:spacing w:after="240"/>
        <w:ind w:left="567" w:hanging="567"/>
        <w:rPr>
          <w:rFonts w:eastAsia="Calibri" w:cs="Calibri"/>
          <w:szCs w:val="24"/>
        </w:rPr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 xml:space="preserve">so zreteľom na oznámenie Komisie z 11. decembra 2019 s názvom Európsky ekologický dohovor </w:t>
      </w:r>
      <w:r w:rsidR="00D7496D" w:rsidRPr="00A77B87">
        <w:rPr>
          <w:snapToGrid w:val="0"/>
        </w:rPr>
        <w:t>(</w:t>
      </w:r>
      <w:r w:rsidRPr="00A77B87">
        <w:rPr>
          <w:snapToGrid w:val="0"/>
        </w:rPr>
        <w:t>COM(2019)0640</w:t>
      </w:r>
      <w:r w:rsidR="00D7496D" w:rsidRPr="00A77B87">
        <w:rPr>
          <w:snapToGrid w:val="0"/>
        </w:rPr>
        <w:t>)</w:t>
      </w:r>
      <w:r w:rsidRPr="00A77B87">
        <w:rPr>
          <w:snapToGrid w:val="0"/>
        </w:rPr>
        <w:t>,</w:t>
      </w:r>
      <w:r w:rsidRPr="00A77B87">
        <w:t xml:space="preserve"> </w:t>
      </w:r>
    </w:p>
    <w:p w:rsidR="005F53D3" w:rsidRPr="00A77B87" w:rsidRDefault="005F53D3" w:rsidP="005F53D3">
      <w:pPr>
        <w:widowControl/>
        <w:spacing w:after="240"/>
        <w:ind w:left="567" w:hanging="567"/>
        <w:rPr>
          <w:snapToGrid w:val="0"/>
        </w:rPr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>so zreteľom na oznámenie Komisie zo 17. septembra 2020 s názvom</w:t>
      </w:r>
      <w:r w:rsidRPr="00A77B87">
        <w:t xml:space="preserve"> Ambicióznejšie klimatické ciele pre Európu na rok 2030 – Investícia do klimaticky neutrálnej budúcnosti v prospech našich občanov </w:t>
      </w:r>
      <w:r w:rsidRPr="00A77B87">
        <w:rPr>
          <w:snapToGrid w:val="0"/>
        </w:rPr>
        <w:t>(COM(2020)0562),</w:t>
      </w:r>
    </w:p>
    <w:p w:rsidR="005F53D3" w:rsidRPr="00A77B87" w:rsidRDefault="005F53D3" w:rsidP="005F53D3">
      <w:pPr>
        <w:widowControl/>
        <w:spacing w:after="240"/>
        <w:ind w:left="567" w:hanging="567"/>
        <w:rPr>
          <w:rFonts w:eastAsia="Calibri" w:cs="Calibri"/>
          <w:szCs w:val="24"/>
        </w:rPr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>so zreteľom</w:t>
      </w:r>
      <w:r w:rsidRPr="00A77B87">
        <w:t xml:space="preserve"> na iniciatívu Komisie s názvom Nový európsky </w:t>
      </w:r>
      <w:proofErr w:type="spellStart"/>
      <w:r w:rsidRPr="00A77B87">
        <w:t>Bauhaus</w:t>
      </w:r>
      <w:proofErr w:type="spellEnd"/>
      <w:r w:rsidRPr="00A77B87">
        <w:t>, ktorá sa začala 16. septembra 2020,</w:t>
      </w:r>
    </w:p>
    <w:p w:rsidR="005F53D3" w:rsidRPr="00A77B87" w:rsidRDefault="005F53D3" w:rsidP="005F53D3">
      <w:pPr>
        <w:spacing w:after="240"/>
        <w:ind w:left="567" w:hanging="567"/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>so zreteľom</w:t>
      </w:r>
      <w:r w:rsidRPr="00A77B87">
        <w:t xml:space="preserve"> na pracovný dokument útvarov Komisie zo 17. júna 2022 s názvom Finančný nástroj nového európskeho </w:t>
      </w:r>
      <w:proofErr w:type="spellStart"/>
      <w:r w:rsidRPr="00A77B87">
        <w:t>Bauhausu</w:t>
      </w:r>
      <w:proofErr w:type="spellEnd"/>
      <w:r w:rsidRPr="00A77B87">
        <w:t xml:space="preserve"> na podporu územného rozvoja (NEB TDM) (SWD(2022)0172),</w:t>
      </w:r>
    </w:p>
    <w:p w:rsidR="005F53D3" w:rsidRPr="00A77B87" w:rsidRDefault="005F53D3" w:rsidP="005F53D3">
      <w:pPr>
        <w:widowControl/>
        <w:spacing w:after="240"/>
        <w:ind w:left="567" w:hanging="567"/>
        <w:rPr>
          <w:snapToGrid w:val="0"/>
        </w:rPr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 xml:space="preserve">so zreteľom na svoje uznesenie zo 14. septembra 2022 o Novom európskom </w:t>
      </w:r>
      <w:proofErr w:type="spellStart"/>
      <w:r w:rsidRPr="00A77B87">
        <w:rPr>
          <w:snapToGrid w:val="0"/>
        </w:rPr>
        <w:t>Bauhause</w:t>
      </w:r>
      <w:proofErr w:type="spellEnd"/>
      <w:r w:rsidRPr="00A77B87">
        <w:rPr>
          <w:snapToGrid w:val="0"/>
          <w:vertAlign w:val="superscript"/>
          <w:lang w:eastAsia="en-US"/>
        </w:rPr>
        <w:footnoteReference w:id="8"/>
      </w:r>
      <w:r w:rsidRPr="00A77B87">
        <w:rPr>
          <w:snapToGrid w:val="0"/>
        </w:rPr>
        <w:t>,</w:t>
      </w:r>
    </w:p>
    <w:p w:rsidR="005F53D3" w:rsidRPr="00A77B87" w:rsidRDefault="005F53D3" w:rsidP="005F53D3">
      <w:pPr>
        <w:widowControl/>
        <w:spacing w:after="240"/>
        <w:ind w:left="567" w:hanging="567"/>
        <w:rPr>
          <w:snapToGrid w:val="0"/>
        </w:rPr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>so zreteľom na svoje uznesenie z 13. decembra 2022 o dlhodobej vízii pre vidiecke oblasti EÚ</w:t>
      </w:r>
      <w:r w:rsidRPr="00A77B87">
        <w:t> </w:t>
      </w:r>
      <w:r w:rsidRPr="00A77B87">
        <w:rPr>
          <w:shd w:val="clear" w:color="auto" w:fill="FFFFFF"/>
        </w:rPr>
        <w:t>– smerom k zabezpečeniu silnejších, prepojených, odolných a prosperujúcich vidieckych oblastí do roku 2040</w:t>
      </w:r>
      <w:r w:rsidRPr="00A77B87">
        <w:rPr>
          <w:snapToGrid w:val="0"/>
          <w:vertAlign w:val="superscript"/>
          <w:lang w:eastAsia="en-US"/>
        </w:rPr>
        <w:footnoteReference w:id="9"/>
      </w:r>
      <w:r w:rsidRPr="00A77B87">
        <w:rPr>
          <w:snapToGrid w:val="0"/>
        </w:rPr>
        <w:t xml:space="preserve">, </w:t>
      </w:r>
    </w:p>
    <w:p w:rsidR="005F53D3" w:rsidRPr="00A77B87" w:rsidRDefault="005F53D3" w:rsidP="005F53D3">
      <w:pPr>
        <w:widowControl/>
        <w:spacing w:after="240"/>
        <w:ind w:left="567" w:hanging="567"/>
        <w:rPr>
          <w:snapToGrid w:val="0"/>
        </w:rPr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>so zreteľom na svoje uznesenie z 15. septembra</w:t>
      </w:r>
      <w:r w:rsidRPr="00A77B87">
        <w:t xml:space="preserve"> </w:t>
      </w:r>
      <w:r w:rsidRPr="00A77B87">
        <w:rPr>
          <w:snapToGrid w:val="0"/>
        </w:rPr>
        <w:t>2022 o hospodárskej, sociálnej a územnej súdržnosti v EÚ: ôsma správa o súdržnosti</w:t>
      </w:r>
      <w:r w:rsidRPr="00A77B87">
        <w:rPr>
          <w:snapToGrid w:val="0"/>
          <w:vertAlign w:val="superscript"/>
          <w:lang w:eastAsia="en-US"/>
        </w:rPr>
        <w:footnoteReference w:id="10"/>
      </w:r>
      <w:r w:rsidRPr="00A77B87">
        <w:rPr>
          <w:snapToGrid w:val="0"/>
        </w:rPr>
        <w:t>,</w:t>
      </w:r>
    </w:p>
    <w:p w:rsidR="005F53D3" w:rsidRPr="00A77B87" w:rsidRDefault="005F53D3" w:rsidP="005F53D3">
      <w:pPr>
        <w:widowControl/>
        <w:spacing w:after="240"/>
        <w:ind w:left="567" w:hanging="567"/>
        <w:rPr>
          <w:snapToGrid w:val="0"/>
        </w:rPr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>so zreteľom na svoje uznesenie z 15. februára 2022 o výzvach pre mestské oblasti v období po skončení pandémie COVID-19</w:t>
      </w:r>
      <w:r w:rsidRPr="00A77B87">
        <w:rPr>
          <w:snapToGrid w:val="0"/>
          <w:vertAlign w:val="superscript"/>
          <w:lang w:eastAsia="en-US"/>
        </w:rPr>
        <w:footnoteReference w:id="11"/>
      </w:r>
      <w:r w:rsidRPr="00A77B87">
        <w:rPr>
          <w:snapToGrid w:val="0"/>
        </w:rPr>
        <w:t>,</w:t>
      </w:r>
    </w:p>
    <w:p w:rsidR="005F53D3" w:rsidRPr="00A77B87" w:rsidRDefault="005F53D3" w:rsidP="005F53D3">
      <w:pPr>
        <w:widowControl/>
        <w:spacing w:after="240"/>
        <w:ind w:left="567" w:hanging="567"/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</w:r>
      <w:r w:rsidRPr="00A77B87">
        <w:t>so zreteľom na svoje uznesenie z 20. mája 2021 o zvrátení demografických trendov v regiónoch EÚ pomocou nástrojov politiky súdržnosti</w:t>
      </w:r>
      <w:r w:rsidRPr="00A77B87">
        <w:rPr>
          <w:rStyle w:val="FootnoteReference"/>
        </w:rPr>
        <w:footnoteReference w:id="12"/>
      </w:r>
      <w:r w:rsidRPr="00A77B87">
        <w:t>,</w:t>
      </w:r>
    </w:p>
    <w:p w:rsidR="005F53D3" w:rsidRPr="00A77B87" w:rsidRDefault="005F53D3" w:rsidP="005F53D3">
      <w:pPr>
        <w:widowControl/>
        <w:spacing w:after="240"/>
        <w:ind w:left="567" w:hanging="567"/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</w:r>
      <w:r w:rsidRPr="00A77B87">
        <w:t>so zreteľom na svoje uznesenie z 25. marca 2021 o politike súdržnosti a regionálnych stratégiách v oblasti životného prostredia v boji proti zmene klímy</w:t>
      </w:r>
      <w:r w:rsidRPr="00A77B87">
        <w:rPr>
          <w:rStyle w:val="FootnoteReference"/>
        </w:rPr>
        <w:footnoteReference w:id="13"/>
      </w:r>
      <w:r w:rsidRPr="00A77B87">
        <w:t>,</w:t>
      </w:r>
    </w:p>
    <w:p w:rsidR="005F53D3" w:rsidRPr="00A77B87" w:rsidRDefault="005F53D3" w:rsidP="005F53D3">
      <w:pPr>
        <w:widowControl/>
        <w:spacing w:after="240"/>
        <w:ind w:left="567" w:hanging="567"/>
        <w:rPr>
          <w:snapToGrid w:val="0"/>
        </w:rPr>
      </w:pPr>
      <w:r w:rsidRPr="00A77B87">
        <w:rPr>
          <w:snapToGrid w:val="0"/>
        </w:rPr>
        <w:lastRenderedPageBreak/>
        <w:t>–</w:t>
      </w:r>
      <w:r w:rsidRPr="00A77B87">
        <w:rPr>
          <w:snapToGrid w:val="0"/>
        </w:rPr>
        <w:tab/>
        <w:t>so zreteľom na svoje uznesenie z 13. marca 2018 o úlohe regiónov a miest EÚ pri vykonávaní Parížskej dohody o zmene klímy COP 21</w:t>
      </w:r>
      <w:r w:rsidRPr="00A77B87">
        <w:rPr>
          <w:snapToGrid w:val="0"/>
          <w:vertAlign w:val="superscript"/>
          <w:lang w:eastAsia="en-US"/>
        </w:rPr>
        <w:footnoteReference w:id="14"/>
      </w:r>
      <w:r w:rsidRPr="00A77B87">
        <w:rPr>
          <w:snapToGrid w:val="0"/>
        </w:rPr>
        <w:t>,</w:t>
      </w:r>
    </w:p>
    <w:p w:rsidR="005F53D3" w:rsidRPr="00A77B87" w:rsidRDefault="005F53D3" w:rsidP="005F53D3">
      <w:pPr>
        <w:widowControl/>
        <w:spacing w:after="240"/>
        <w:ind w:left="567" w:hanging="567"/>
        <w:rPr>
          <w:snapToGrid w:val="0"/>
        </w:rPr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>so zreteľom na</w:t>
      </w:r>
      <w:r w:rsidRPr="00A77B87">
        <w:t xml:space="preserve"> stanovisko Európskeho hospodárskeho a sociálneho výboru z 18. septembra 2020 na tému Revízia Územnej agendy EÚ, Lipskej charty a </w:t>
      </w:r>
      <w:proofErr w:type="spellStart"/>
      <w:r w:rsidRPr="00A77B87">
        <w:t>Urbánnej</w:t>
      </w:r>
      <w:proofErr w:type="spellEnd"/>
      <w:r w:rsidRPr="00A77B87">
        <w:t xml:space="preserve"> agendy pre EÚ</w:t>
      </w:r>
      <w:r w:rsidRPr="00A77B87">
        <w:rPr>
          <w:rStyle w:val="FootnoteReference"/>
          <w:rFonts w:eastAsia="Calibri"/>
          <w:szCs w:val="24"/>
          <w:lang w:eastAsia="en-US"/>
        </w:rPr>
        <w:footnoteReference w:id="15"/>
      </w:r>
      <w:r w:rsidRPr="00A77B87">
        <w:t>,</w:t>
      </w:r>
    </w:p>
    <w:p w:rsidR="005F53D3" w:rsidRPr="00A77B87" w:rsidRDefault="005F53D3" w:rsidP="005F53D3">
      <w:pPr>
        <w:widowControl/>
        <w:spacing w:after="240"/>
        <w:ind w:left="567" w:hanging="567"/>
        <w:rPr>
          <w:szCs w:val="32"/>
        </w:rPr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>so zreteľom na</w:t>
      </w:r>
      <w:r w:rsidRPr="00A77B87">
        <w:t xml:space="preserve"> hĺbkovú analýzu s názvom </w:t>
      </w:r>
      <w:proofErr w:type="spellStart"/>
      <w:r w:rsidRPr="00A77B87">
        <w:t>Territorial</w:t>
      </w:r>
      <w:proofErr w:type="spellEnd"/>
      <w:r w:rsidRPr="00A77B87">
        <w:t xml:space="preserve"> Agenda 2030 – </w:t>
      </w:r>
      <w:proofErr w:type="spellStart"/>
      <w:r w:rsidRPr="00A77B87">
        <w:t>Implementation</w:t>
      </w:r>
      <w:proofErr w:type="spellEnd"/>
      <w:r w:rsidRPr="00A77B87">
        <w:t xml:space="preserve"> </w:t>
      </w:r>
      <w:proofErr w:type="spellStart"/>
      <w:r w:rsidRPr="00A77B87">
        <w:t>Review</w:t>
      </w:r>
      <w:proofErr w:type="spellEnd"/>
      <w:r w:rsidRPr="00A77B87">
        <w:t xml:space="preserve"> (Územná agenda 2030 – Preskúmanie vykonávania), ktorú uverejnilo generálne riaditeľstvo pre vnútorné politiky 7. júna 2023</w:t>
      </w:r>
      <w:r w:rsidRPr="00A77B87">
        <w:rPr>
          <w:rStyle w:val="FootnoteReference"/>
          <w:szCs w:val="32"/>
        </w:rPr>
        <w:footnoteReference w:id="16"/>
      </w:r>
      <w:r w:rsidRPr="00A77B87">
        <w:t>,</w:t>
      </w:r>
    </w:p>
    <w:p w:rsidR="005F53D3" w:rsidRPr="00A77B87" w:rsidRDefault="005F53D3" w:rsidP="005F53D3">
      <w:pPr>
        <w:widowControl/>
        <w:spacing w:after="240"/>
        <w:ind w:left="567" w:hanging="567"/>
        <w:rPr>
          <w:szCs w:val="32"/>
        </w:rPr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>so zreteľom na</w:t>
      </w:r>
      <w:r w:rsidRPr="00A77B87">
        <w:t xml:space="preserve"> štúdiu uskutočnenú pre Generálne riaditeľstvo Komisie pre regionálnu a mestskú politiku (</w:t>
      </w:r>
      <w:r w:rsidRPr="00A77B87">
        <w:rPr>
          <w:snapToGrid w:val="0"/>
        </w:rPr>
        <w:t>GR REGIO</w:t>
      </w:r>
      <w:r w:rsidRPr="00A77B87">
        <w:t xml:space="preserve">) s názvom </w:t>
      </w:r>
      <w:proofErr w:type="spellStart"/>
      <w:r w:rsidRPr="00A77B87">
        <w:t>Integrated</w:t>
      </w:r>
      <w:proofErr w:type="spellEnd"/>
      <w:r w:rsidRPr="00A77B87">
        <w:t xml:space="preserve"> </w:t>
      </w:r>
      <w:proofErr w:type="spellStart"/>
      <w:r w:rsidRPr="00A77B87">
        <w:t>territorial</w:t>
      </w:r>
      <w:proofErr w:type="spellEnd"/>
      <w:r w:rsidRPr="00A77B87">
        <w:t xml:space="preserve"> and </w:t>
      </w:r>
      <w:proofErr w:type="spellStart"/>
      <w:r w:rsidRPr="00A77B87">
        <w:t>urban</w:t>
      </w:r>
      <w:proofErr w:type="spellEnd"/>
      <w:r w:rsidRPr="00A77B87">
        <w:t xml:space="preserve"> </w:t>
      </w:r>
      <w:proofErr w:type="spellStart"/>
      <w:r w:rsidRPr="00A77B87">
        <w:t>strategies</w:t>
      </w:r>
      <w:proofErr w:type="spellEnd"/>
      <w:r w:rsidRPr="00A77B87">
        <w:t xml:space="preserve">: </w:t>
      </w:r>
      <w:proofErr w:type="spellStart"/>
      <w:r w:rsidRPr="00A77B87">
        <w:t>how</w:t>
      </w:r>
      <w:proofErr w:type="spellEnd"/>
      <w:r w:rsidRPr="00A77B87">
        <w:t xml:space="preserve"> are ESIF </w:t>
      </w:r>
      <w:proofErr w:type="spellStart"/>
      <w:r w:rsidRPr="00A77B87">
        <w:t>adding</w:t>
      </w:r>
      <w:proofErr w:type="spellEnd"/>
      <w:r w:rsidRPr="00A77B87">
        <w:t xml:space="preserve"> </w:t>
      </w:r>
      <w:proofErr w:type="spellStart"/>
      <w:r w:rsidRPr="00A77B87">
        <w:t>value</w:t>
      </w:r>
      <w:proofErr w:type="spellEnd"/>
      <w:r w:rsidRPr="00A77B87">
        <w:t xml:space="preserve"> in 2014-2020 (Integrované územné a mestské stratégie: aká je pridaná hodnota EŠIF v rokoch 2014 – 2020?), uverejnenú v decembri 2017</w:t>
      </w:r>
      <w:r w:rsidRPr="00A77B87">
        <w:rPr>
          <w:rFonts w:eastAsia="Calibri"/>
          <w:szCs w:val="24"/>
          <w:vertAlign w:val="superscript"/>
          <w:lang w:eastAsia="en-US"/>
        </w:rPr>
        <w:footnoteReference w:id="17"/>
      </w:r>
      <w:r w:rsidRPr="00A77B87">
        <w:t>,</w:t>
      </w:r>
    </w:p>
    <w:p w:rsidR="005F53D3" w:rsidRPr="00A77B87" w:rsidRDefault="005F53D3" w:rsidP="005F53D3">
      <w:pPr>
        <w:widowControl/>
        <w:spacing w:after="240"/>
        <w:ind w:left="567" w:hanging="567"/>
        <w:rPr>
          <w:snapToGrid w:val="0"/>
        </w:rPr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>so zreteľom na</w:t>
      </w:r>
      <w:r w:rsidRPr="00A77B87">
        <w:t xml:space="preserve"> </w:t>
      </w:r>
      <w:r w:rsidRPr="00A77B87">
        <w:rPr>
          <w:snapToGrid w:val="0"/>
        </w:rPr>
        <w:t>interaktívny nástroj STRAT-</w:t>
      </w:r>
      <w:proofErr w:type="spellStart"/>
      <w:r w:rsidRPr="00A77B87">
        <w:rPr>
          <w:snapToGrid w:val="0"/>
        </w:rPr>
        <w:t>Board</w:t>
      </w:r>
      <w:proofErr w:type="spellEnd"/>
      <w:r w:rsidRPr="00A77B87">
        <w:rPr>
          <w:snapToGrid w:val="0"/>
        </w:rPr>
        <w:t xml:space="preserve"> vyvinutý Spoločným výskumným centrom (JRC) Európskej komisie a GR REGIO, ktorý ukazuje, ako európske štrukturálne a investičné fondy (EŠIF) podporujú integrovaný prístup k mestskému a územnému rozvoju</w:t>
      </w:r>
      <w:r w:rsidR="00B317B9" w:rsidRPr="00A77B87">
        <w:rPr>
          <w:rStyle w:val="FootnoteReference"/>
          <w:snapToGrid w:val="0"/>
        </w:rPr>
        <w:footnoteReference w:id="18"/>
      </w:r>
      <w:r w:rsidRPr="00A77B87">
        <w:rPr>
          <w:snapToGrid w:val="0"/>
        </w:rPr>
        <w:t>,</w:t>
      </w:r>
    </w:p>
    <w:p w:rsidR="005F53D3" w:rsidRPr="00A77B87" w:rsidRDefault="005F53D3" w:rsidP="00814FC1">
      <w:pPr>
        <w:widowControl/>
        <w:spacing w:after="240"/>
        <w:ind w:left="567" w:hanging="567"/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>so zreteľom na</w:t>
      </w:r>
      <w:r w:rsidRPr="00A77B87">
        <w:t xml:space="preserve"> príručku stratégií územného a miestneho rozvoja</w:t>
      </w:r>
      <w:r w:rsidR="00B317B9" w:rsidRPr="00A77B87">
        <w:rPr>
          <w:rStyle w:val="FootnoteReference"/>
        </w:rPr>
        <w:footnoteReference w:id="19"/>
      </w:r>
      <w:r w:rsidRPr="00A77B87">
        <w:t xml:space="preserve"> a príručku stratégií udržateľného rozvoja miest</w:t>
      </w:r>
      <w:r w:rsidR="00B317B9" w:rsidRPr="00A77B87">
        <w:rPr>
          <w:rStyle w:val="FootnoteReference"/>
        </w:rPr>
        <w:footnoteReference w:id="20"/>
      </w:r>
      <w:r w:rsidRPr="00A77B87">
        <w:t>, ktorú uverejnilo JRC,</w:t>
      </w:r>
    </w:p>
    <w:p w:rsidR="005F53D3" w:rsidRPr="00A77B87" w:rsidRDefault="005F53D3" w:rsidP="00814FC1">
      <w:pPr>
        <w:pStyle w:val="NormalBold"/>
        <w:spacing w:after="240"/>
        <w:ind w:left="567" w:hanging="567"/>
      </w:pPr>
      <w:r w:rsidRPr="00A77B87">
        <w:rPr>
          <w:b w:val="0"/>
        </w:rPr>
        <w:t>–</w:t>
      </w:r>
      <w:r w:rsidRPr="00A77B87">
        <w:rPr>
          <w:b w:val="0"/>
        </w:rPr>
        <w:tab/>
        <w:t xml:space="preserve">so zreteľom na pracovný dokument GR REGIO s názvom </w:t>
      </w:r>
      <w:proofErr w:type="spellStart"/>
      <w:r w:rsidRPr="00A77B87">
        <w:rPr>
          <w:b w:val="0"/>
        </w:rPr>
        <w:t>The</w:t>
      </w:r>
      <w:proofErr w:type="spellEnd"/>
      <w:r w:rsidRPr="00A77B87">
        <w:rPr>
          <w:b w:val="0"/>
        </w:rPr>
        <w:t xml:space="preserve"> </w:t>
      </w:r>
      <w:proofErr w:type="spellStart"/>
      <w:r w:rsidRPr="00A77B87">
        <w:rPr>
          <w:b w:val="0"/>
        </w:rPr>
        <w:t>geography</w:t>
      </w:r>
      <w:proofErr w:type="spellEnd"/>
      <w:r w:rsidRPr="00A77B87">
        <w:rPr>
          <w:b w:val="0"/>
        </w:rPr>
        <w:t xml:space="preserve"> of EU </w:t>
      </w:r>
      <w:proofErr w:type="spellStart"/>
      <w:r w:rsidRPr="00A77B87">
        <w:rPr>
          <w:b w:val="0"/>
        </w:rPr>
        <w:t>discontent</w:t>
      </w:r>
      <w:proofErr w:type="spellEnd"/>
      <w:r w:rsidRPr="00A77B87">
        <w:rPr>
          <w:b w:val="0"/>
        </w:rPr>
        <w:t xml:space="preserve"> and </w:t>
      </w:r>
      <w:proofErr w:type="spellStart"/>
      <w:r w:rsidRPr="00A77B87">
        <w:rPr>
          <w:b w:val="0"/>
        </w:rPr>
        <w:t>the</w:t>
      </w:r>
      <w:proofErr w:type="spellEnd"/>
      <w:r w:rsidRPr="00A77B87">
        <w:rPr>
          <w:b w:val="0"/>
        </w:rPr>
        <w:t xml:space="preserve"> </w:t>
      </w:r>
      <w:proofErr w:type="spellStart"/>
      <w:r w:rsidRPr="00A77B87">
        <w:rPr>
          <w:b w:val="0"/>
        </w:rPr>
        <w:t>regional</w:t>
      </w:r>
      <w:proofErr w:type="spellEnd"/>
      <w:r w:rsidRPr="00A77B87">
        <w:rPr>
          <w:b w:val="0"/>
        </w:rPr>
        <w:t xml:space="preserve"> </w:t>
      </w:r>
      <w:proofErr w:type="spellStart"/>
      <w:r w:rsidRPr="00A77B87">
        <w:rPr>
          <w:b w:val="0"/>
        </w:rPr>
        <w:t>development</w:t>
      </w:r>
      <w:proofErr w:type="spellEnd"/>
      <w:r w:rsidRPr="00A77B87">
        <w:rPr>
          <w:b w:val="0"/>
        </w:rPr>
        <w:t xml:space="preserve"> trap (Geografia nespokojnosti v EÚ a pasca regionálneho rozvoja), ktorý bol uverejnený v marci 2023,</w:t>
      </w:r>
    </w:p>
    <w:p w:rsidR="005F53D3" w:rsidRPr="00A77B87" w:rsidRDefault="005F53D3" w:rsidP="00814FC1">
      <w:pPr>
        <w:pStyle w:val="NormalBold"/>
        <w:spacing w:after="240"/>
        <w:ind w:left="567" w:hanging="567"/>
        <w:rPr>
          <w:b w:val="0"/>
        </w:rPr>
      </w:pPr>
      <w:r w:rsidRPr="00A77B87">
        <w:rPr>
          <w:b w:val="0"/>
        </w:rPr>
        <w:t>–</w:t>
      </w:r>
      <w:r w:rsidRPr="00A77B87">
        <w:rPr>
          <w:b w:val="0"/>
        </w:rPr>
        <w:tab/>
        <w:t xml:space="preserve">so zreteľom na štúdiu vypracovanú pre Radu európskych obcí a regiónov s názvom ITI and CLLD – </w:t>
      </w:r>
      <w:proofErr w:type="spellStart"/>
      <w:r w:rsidRPr="00A77B87">
        <w:rPr>
          <w:b w:val="0"/>
        </w:rPr>
        <w:t>The</w:t>
      </w:r>
      <w:proofErr w:type="spellEnd"/>
      <w:r w:rsidRPr="00A77B87">
        <w:rPr>
          <w:b w:val="0"/>
        </w:rPr>
        <w:t xml:space="preserve"> </w:t>
      </w:r>
      <w:proofErr w:type="spellStart"/>
      <w:r w:rsidRPr="00A77B87">
        <w:rPr>
          <w:b w:val="0"/>
        </w:rPr>
        <w:t>use</w:t>
      </w:r>
      <w:proofErr w:type="spellEnd"/>
      <w:r w:rsidRPr="00A77B87">
        <w:rPr>
          <w:b w:val="0"/>
        </w:rPr>
        <w:t xml:space="preserve"> of </w:t>
      </w:r>
      <w:proofErr w:type="spellStart"/>
      <w:r w:rsidRPr="00A77B87">
        <w:rPr>
          <w:b w:val="0"/>
        </w:rPr>
        <w:t>integrate</w:t>
      </w:r>
      <w:proofErr w:type="spellEnd"/>
      <w:r w:rsidRPr="00A77B87">
        <w:rPr>
          <w:b w:val="0"/>
        </w:rPr>
        <w:t xml:space="preserve"> </w:t>
      </w:r>
      <w:proofErr w:type="spellStart"/>
      <w:r w:rsidRPr="00A77B87">
        <w:rPr>
          <w:b w:val="0"/>
        </w:rPr>
        <w:t>territorial</w:t>
      </w:r>
      <w:proofErr w:type="spellEnd"/>
      <w:r w:rsidRPr="00A77B87">
        <w:rPr>
          <w:b w:val="0"/>
        </w:rPr>
        <w:t xml:space="preserve"> </w:t>
      </w:r>
      <w:proofErr w:type="spellStart"/>
      <w:r w:rsidRPr="00A77B87">
        <w:rPr>
          <w:b w:val="0"/>
        </w:rPr>
        <w:t>tools</w:t>
      </w:r>
      <w:proofErr w:type="spellEnd"/>
      <w:r w:rsidRPr="00A77B87">
        <w:rPr>
          <w:b w:val="0"/>
        </w:rPr>
        <w:t xml:space="preserve"> in </w:t>
      </w:r>
      <w:proofErr w:type="spellStart"/>
      <w:r w:rsidRPr="00A77B87">
        <w:rPr>
          <w:b w:val="0"/>
        </w:rPr>
        <w:t>cohesion</w:t>
      </w:r>
      <w:proofErr w:type="spellEnd"/>
      <w:r w:rsidRPr="00A77B87">
        <w:rPr>
          <w:b w:val="0"/>
        </w:rPr>
        <w:t xml:space="preserve"> </w:t>
      </w:r>
      <w:proofErr w:type="spellStart"/>
      <w:r w:rsidRPr="00A77B87">
        <w:rPr>
          <w:b w:val="0"/>
        </w:rPr>
        <w:t>policy</w:t>
      </w:r>
      <w:proofErr w:type="spellEnd"/>
      <w:r w:rsidRPr="00A77B87">
        <w:rPr>
          <w:b w:val="0"/>
        </w:rPr>
        <w:t xml:space="preserve"> (Integrované územné investície a miestny rozvoj vedený komunitou – využívanie integrovaných územných nástrojov v politike súdržnosti), ktorá bola uverejnená v decembri 2022,</w:t>
      </w:r>
    </w:p>
    <w:p w:rsidR="005F53D3" w:rsidRPr="00A77B87" w:rsidRDefault="005F53D3" w:rsidP="00814FC1">
      <w:pPr>
        <w:pStyle w:val="NormalBold"/>
        <w:spacing w:after="240"/>
        <w:ind w:left="567" w:hanging="567"/>
        <w:rPr>
          <w:b w:val="0"/>
        </w:rPr>
      </w:pPr>
      <w:r w:rsidRPr="00A77B87">
        <w:rPr>
          <w:b w:val="0"/>
        </w:rPr>
        <w:t>–</w:t>
      </w:r>
      <w:r w:rsidRPr="00A77B87">
        <w:rPr>
          <w:b w:val="0"/>
        </w:rPr>
        <w:tab/>
        <w:t>so zreteľom na Chartu z Lipska o trvalej udržateľnosti európskych miest z roku 2007 a na novú Lipskú chartu – transformačná sila miest pre spoločné dobro z 30. novembra 2020,</w:t>
      </w:r>
    </w:p>
    <w:p w:rsidR="005F53D3" w:rsidRPr="00A77B87" w:rsidRDefault="005F53D3" w:rsidP="005F53D3">
      <w:pPr>
        <w:widowControl/>
        <w:spacing w:after="240"/>
        <w:ind w:left="567" w:hanging="567"/>
        <w:rPr>
          <w:snapToGrid w:val="0"/>
        </w:rPr>
      </w:pPr>
      <w:r w:rsidRPr="00A77B87">
        <w:rPr>
          <w:snapToGrid w:val="0"/>
        </w:rPr>
        <w:lastRenderedPageBreak/>
        <w:t>–</w:t>
      </w:r>
      <w:r w:rsidRPr="00A77B87">
        <w:rPr>
          <w:snapToGrid w:val="0"/>
        </w:rPr>
        <w:tab/>
        <w:t>so zreteľom na článok 54 rokovacieho poriadku, ako aj na článok 1 ods. 1 písm. e) rozhodnutia Konferencie predsedov z 12. decembra 2002 o postupe schvaľovania vypracovania iniciatívnych správ a na prílohu 3 k tomuto rozhodnutiu,</w:t>
      </w:r>
    </w:p>
    <w:p w:rsidR="005F53D3" w:rsidRPr="00A77B87" w:rsidRDefault="005F53D3" w:rsidP="005F53D3">
      <w:pPr>
        <w:widowControl/>
        <w:spacing w:after="240"/>
        <w:ind w:left="567" w:hanging="567"/>
        <w:rPr>
          <w:snapToGrid w:val="0"/>
        </w:rPr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>so zreteľom na</w:t>
      </w:r>
      <w:r w:rsidRPr="00A77B87">
        <w:t xml:space="preserve"> stanovisko Výboru pre poľnohospodárstvo a rozvoj vidieka,</w:t>
      </w:r>
    </w:p>
    <w:p w:rsidR="005F53D3" w:rsidRPr="00A77B87" w:rsidRDefault="005F53D3" w:rsidP="005F53D3">
      <w:pPr>
        <w:widowControl/>
        <w:spacing w:after="240"/>
        <w:ind w:left="567" w:hanging="567"/>
        <w:rPr>
          <w:snapToGrid w:val="0"/>
        </w:rPr>
      </w:pPr>
      <w:r w:rsidRPr="00A77B87">
        <w:rPr>
          <w:snapToGrid w:val="0"/>
        </w:rPr>
        <w:t>–</w:t>
      </w:r>
      <w:r w:rsidRPr="00A77B87">
        <w:rPr>
          <w:snapToGrid w:val="0"/>
        </w:rPr>
        <w:tab/>
        <w:t>so zreteľom na</w:t>
      </w:r>
      <w:r w:rsidRPr="00A77B87">
        <w:t xml:space="preserve"> správu Výboru pre regionálny rozvoj (A9-0420/2023),</w:t>
      </w:r>
    </w:p>
    <w:p w:rsidR="005F53D3" w:rsidRPr="00A77B87" w:rsidRDefault="005F53D3" w:rsidP="005F53D3">
      <w:pPr>
        <w:pStyle w:val="NormalHanging12a"/>
        <w:ind w:hanging="709"/>
      </w:pPr>
      <w:r w:rsidRPr="00A77B87">
        <w:t>A.</w:t>
      </w:r>
      <w:r w:rsidRPr="00A77B87">
        <w:tab/>
        <w:t xml:space="preserve">keďže politika súdržnosti zostáva a mala by zostať hlavnou investičnou politikou pre regióny a mestá EÚ a nie je určená na to, aby dôsledne slúžila ako prvá voľba finančnej pomoci na riešenie nepredvídaných udalostí, ktoré otriasajú našou sociálnou ekonomikou; keďže Územná agenda je usmerňujúcim nástrojom územnej politiky EÚ, ako sa odráža v jej národných programoch a projektoch, poskytuje orientáciu pre strategické územné plánovanie a regionálny rozvoj, vyzýva na posilnenie územného rozmeru odvetvových politík na všetkých úrovniach riadenia a snaží sa podporovať </w:t>
      </w:r>
      <w:proofErr w:type="spellStart"/>
      <w:r w:rsidRPr="00A77B87">
        <w:t>inkluzívnu</w:t>
      </w:r>
      <w:proofErr w:type="spellEnd"/>
      <w:r w:rsidRPr="00A77B87">
        <w:t xml:space="preserve"> a udržateľnú budúcnosť pre všetky miesta a pomáhať pri dosahovaní cieľov udržateľného rozvoja v Európe;</w:t>
      </w:r>
    </w:p>
    <w:p w:rsidR="005F53D3" w:rsidRPr="00A77B87" w:rsidRDefault="005F53D3" w:rsidP="005F53D3">
      <w:pPr>
        <w:pStyle w:val="NormalHanging12a"/>
        <w:rPr>
          <w:szCs w:val="24"/>
        </w:rPr>
      </w:pPr>
      <w:r w:rsidRPr="00A77B87">
        <w:t>B.</w:t>
      </w:r>
      <w:r w:rsidRPr="00A77B87">
        <w:tab/>
        <w:t>keďže výzvy, ktorým čelia regióny EÚ, sa identifikujú a riadia na územnej úrovni;</w:t>
      </w:r>
    </w:p>
    <w:p w:rsidR="005F53D3" w:rsidRPr="00A77B87" w:rsidRDefault="005F53D3" w:rsidP="005F53D3">
      <w:pPr>
        <w:pStyle w:val="NormalHanging12a"/>
      </w:pPr>
      <w:r w:rsidRPr="00A77B87">
        <w:t>C.</w:t>
      </w:r>
      <w:r w:rsidRPr="00A77B87">
        <w:tab/>
        <w:t>keďže predchádzajúce a súčasné nariadenia o spoločných ustanoveniach neobsahujú žiadny konkrétny odkaz na Územnú agendu 2020 alebo 2030; keďže hlava III kapitola II súčasného nariadenia o spoločných ustanoveniach poskytuje základ pre čerpanie fondov politiky súdržnosti prostredníctvom stratégií územného rozvoja; keďže v článku 7 nariadenia (EÚ) č. 1301/2013</w:t>
      </w:r>
      <w:r w:rsidRPr="00A77B87">
        <w:rPr>
          <w:rStyle w:val="FootnoteReference"/>
        </w:rPr>
        <w:footnoteReference w:id="21"/>
      </w:r>
      <w:r w:rsidRPr="00A77B87">
        <w:t xml:space="preserve"> sa ako rámec pre výber jednotlivých operácií uvádza udržateľný rozvoj miest založený na integrovaných udržateľných mestských stratégiách;</w:t>
      </w:r>
    </w:p>
    <w:p w:rsidR="005F53D3" w:rsidRPr="00A77B87" w:rsidRDefault="005F53D3" w:rsidP="005F53D3">
      <w:pPr>
        <w:pStyle w:val="NormalHanging12a"/>
        <w:rPr>
          <w:szCs w:val="24"/>
        </w:rPr>
      </w:pPr>
      <w:r w:rsidRPr="00A77B87">
        <w:t>D</w:t>
      </w:r>
      <w:r w:rsidR="00CB1D71">
        <w:t>.</w:t>
      </w:r>
      <w:r w:rsidRPr="00A77B87">
        <w:tab/>
        <w:t>keďže miestne orientovaný prístup k tvorbe politiky založený na integrovanom územnom rozvoji sa zameriava na uvoľnenie jedinečného potenciálu súvisiaceho s územnými zdrojmi, poznatkami a aktívami, pričom sa uznáva potreba prispôsobených riešení na rôznych typoch území;</w:t>
      </w:r>
    </w:p>
    <w:p w:rsidR="005F53D3" w:rsidRPr="00A77B87" w:rsidRDefault="005F53D3" w:rsidP="005F53D3">
      <w:pPr>
        <w:pStyle w:val="NormalHanging12a"/>
        <w:ind w:hanging="640"/>
      </w:pPr>
      <w:r w:rsidRPr="00A77B87">
        <w:t>E.</w:t>
      </w:r>
      <w:r w:rsidRPr="00A77B87">
        <w:tab/>
        <w:t xml:space="preserve">keďže sa zdá, že hlavnými ťažkosťami, s ktorými sa stretli miestne a regionálne inštitúcie a občianska spoločnosť v období 2014 - 2020, boli okrem pomalého čerpania finančných prostriedkov nedostatočná technická a administratívna podpora, neprimerané byrokratické prekážky, nedostatok zručností a odbornej prípravy, znalostí a budovania kapacít a slabá spolupráca medzi rôznymi úrovňami správy; </w:t>
      </w:r>
    </w:p>
    <w:p w:rsidR="005F53D3" w:rsidRPr="00A77B87" w:rsidRDefault="005F53D3" w:rsidP="005F53D3">
      <w:pPr>
        <w:pStyle w:val="NormalHanging12a"/>
        <w:rPr>
          <w:szCs w:val="24"/>
        </w:rPr>
      </w:pPr>
      <w:r w:rsidRPr="00A77B87">
        <w:t>F.</w:t>
      </w:r>
      <w:r w:rsidRPr="00A77B87">
        <w:tab/>
        <w:t>keďže sa zdá, že v regiónoch a administratívnych jednotkách, kde sa realizuje iniciatíva LEADER, prispieva povinný manažér miestnej akčnej skupiny zlepšiť výkonnosť a čerpanie regionálnych finančných prostriedkov;</w:t>
      </w:r>
    </w:p>
    <w:p w:rsidR="005F53D3" w:rsidRPr="00A77B87" w:rsidRDefault="005F53D3" w:rsidP="005F53D3">
      <w:pPr>
        <w:pStyle w:val="NormalHanging12a"/>
        <w:rPr>
          <w:szCs w:val="24"/>
        </w:rPr>
      </w:pPr>
      <w:r w:rsidRPr="00A77B87">
        <w:t>G.</w:t>
      </w:r>
      <w:r w:rsidRPr="00A77B87">
        <w:tab/>
        <w:t xml:space="preserve">keďže bohatstvo územnej rozmanitosti EÚ by sa malo chápať ako dynamický a komplexný systém, v ktorom každý región čelí výzvam v oblasti rozvoja v závislosti od svojich osobitostí; keďže rastúce nerovnosti medzi jednotlivými miestami a medzi ľuďmi dosiahli kritickú úroveň a na zabezpečenie pozitívnych budúcich perspektív pre všetkých ľudí a miesta v celej EÚ sú potrebné spoločné opatrenia na všetkých </w:t>
      </w:r>
      <w:r w:rsidRPr="00A77B87">
        <w:lastRenderedPageBreak/>
        <w:t>geografických a riadiacich úrovniach;</w:t>
      </w:r>
    </w:p>
    <w:p w:rsidR="005F53D3" w:rsidRPr="00A77B87" w:rsidRDefault="005F53D3" w:rsidP="005F53D3">
      <w:pPr>
        <w:pStyle w:val="NormalHanging12a"/>
        <w:ind w:left="570" w:hanging="570"/>
      </w:pPr>
      <w:r w:rsidRPr="00A77B87">
        <w:t>H.</w:t>
      </w:r>
      <w:r w:rsidRPr="00A77B87">
        <w:tab/>
        <w:t>keďže príručka stratégií územného a miestneho rozvoja ponúka metodickú podporu na všetkých úrovniach;</w:t>
      </w:r>
    </w:p>
    <w:p w:rsidR="005F53D3" w:rsidRPr="00A77B87" w:rsidRDefault="005F53D3" w:rsidP="005F53D3">
      <w:pPr>
        <w:pStyle w:val="NormalHanging12a"/>
        <w:rPr>
          <w:szCs w:val="24"/>
        </w:rPr>
      </w:pPr>
      <w:r w:rsidRPr="00A77B87">
        <w:t>I.</w:t>
      </w:r>
      <w:r w:rsidRPr="00A77B87">
        <w:tab/>
        <w:t xml:space="preserve">keďže </w:t>
      </w:r>
      <w:proofErr w:type="spellStart"/>
      <w:r w:rsidRPr="00A77B87">
        <w:t>mikrosúdržnosť</w:t>
      </w:r>
      <w:proofErr w:type="spellEnd"/>
      <w:r w:rsidRPr="00A77B87">
        <w:t xml:space="preserve"> je formou rovnováhy pre nedostatočne rozvinuté oblasti v rozvinutejších regiónoch; keďže Územná agenda (TA2030), ktorá sa výslovne zameriava na miesta a ľudí, je popri územnej súdržnosti priekopníkom myšlienky medziľudskej súdržnosti, pričom berie do úvahy, že tieto rozdiely možno riešiť len tak, že sa bude venovať väčšia pozornosť rozmanitosti a potenciálu území, ako aj navrhovaniu politík a stratégií založených na mieste s cieľom lepšie začleniť územný rozmer do všetkých fondov EÚ;</w:t>
      </w:r>
    </w:p>
    <w:p w:rsidR="005F53D3" w:rsidRPr="00A77B87" w:rsidRDefault="005F53D3" w:rsidP="005F53D3">
      <w:pPr>
        <w:pStyle w:val="NormalHanging12a"/>
        <w:rPr>
          <w:szCs w:val="24"/>
        </w:rPr>
      </w:pPr>
      <w:r w:rsidRPr="00A77B87">
        <w:t>J.</w:t>
      </w:r>
      <w:r w:rsidRPr="00A77B87">
        <w:tab/>
        <w:t>keďže v článku 28 NSU sa integrované územné investície (IÚI) a miestny rozvoj vedený komunitou označujú za nástroje na vykonávanie stratégií územného rozvoja a požaduje sa súdržnosť a koordinácia medzi fondmi, ak sa viaceré uplatňujú na tú istú stratégiu územného alebo miestneho rozvoja; keďže tieto nástroje sú zamerané na územný rozvoj zdola nahor a posilňujú aktívnu účasť miestnych zainteresovaných strán;</w:t>
      </w:r>
    </w:p>
    <w:p w:rsidR="005F53D3" w:rsidRPr="00A77B87" w:rsidRDefault="005F53D3" w:rsidP="005F53D3">
      <w:pPr>
        <w:pStyle w:val="NormalHanging12a"/>
        <w:ind w:left="570" w:hanging="570"/>
      </w:pPr>
      <w:r w:rsidRPr="00A77B87">
        <w:t>K.</w:t>
      </w:r>
      <w:r w:rsidRPr="00A77B87">
        <w:tab/>
        <w:t>keďže 28 členských štátov v období rokov 2014 – 2020 naplánovalo 1 975 stratégií, ktoré boli financované z Európskeho fondu regionálneho rozvoja (EFRR) vo výške 19 miliárd EUR, z čoho 13,8 miliardy EUR bolo pridelených na IÚI v deviatich členských štátoch;</w:t>
      </w:r>
    </w:p>
    <w:p w:rsidR="005F53D3" w:rsidRPr="00A77B87" w:rsidRDefault="005F53D3" w:rsidP="005F53D3">
      <w:pPr>
        <w:pStyle w:val="NormalHanging12a"/>
      </w:pPr>
      <w:r w:rsidRPr="00A77B87">
        <w:t>L.</w:t>
      </w:r>
      <w:r w:rsidRPr="00A77B87">
        <w:tab/>
        <w:t>keďže miestny rozvoj vedený komunitou bol druhým najpoužívanejším nástrojom členských štátov na rozvoj územných alebo miestnych stratégií v období 2014 – 2020 a zaručuje, že miestne a regionálne samosprávy a zainteresované strany budú úzko zapojené do prípravy, vykonávania a monitorovania finančných prostriedkov EÚ, ktoré dostávajú; keďže v programovom období 2021 – 2027 nie je vyčlenenie prostriedkov na využívanie miestneho rozvoja vedeného komunitou;</w:t>
      </w:r>
    </w:p>
    <w:p w:rsidR="005F53D3" w:rsidRPr="00A77B87" w:rsidRDefault="005F53D3" w:rsidP="005F53D3">
      <w:pPr>
        <w:pStyle w:val="NormalHanging12a"/>
      </w:pPr>
      <w:r w:rsidRPr="00A77B87">
        <w:t>M.</w:t>
      </w:r>
      <w:r w:rsidRPr="00A77B87">
        <w:tab/>
        <w:t xml:space="preserve">keďže vykonávanie integrovaných územných investícií a miestneho rozvoja vedeného komunitou je v rámci Únie naďalej nerovnomerné a zdá sa, že viaceré členské štáty a riadiace orgány nie sú veľmi odhodlané ich vykonávať; keďže výklad a vykonávanie cieľa politiky 5 „Európa bližšie k občanom“ (CP 5) sa v jednotlivých členských štátoch líši, čo vedie k nízkej miere vykonávania integrovaných územných investícií a miestneho rozvoja vedeného komunitou; keďže </w:t>
      </w:r>
      <w:proofErr w:type="spellStart"/>
      <w:r w:rsidRPr="00A77B87">
        <w:t>spoluzákonodarcovia</w:t>
      </w:r>
      <w:proofErr w:type="spellEnd"/>
      <w:r w:rsidRPr="00A77B87">
        <w:t xml:space="preserve"> by mali v budúcnosti zvážiť pružnejšie vykonávanie CP 5 bez prísnych požiadaviek na stratégie a riadenie, čo by pomohlo otvoriť ho pre všetky druhy iniciatív, ktoré prispievajú k regionálnemu a miestnemu rozvoju;</w:t>
      </w:r>
    </w:p>
    <w:p w:rsidR="005F53D3" w:rsidRPr="00A77B87" w:rsidRDefault="005F53D3" w:rsidP="005F53D3">
      <w:pPr>
        <w:pStyle w:val="NormalHanging12a"/>
        <w:rPr>
          <w:szCs w:val="24"/>
        </w:rPr>
      </w:pPr>
      <w:r w:rsidRPr="00A77B87">
        <w:t>N.</w:t>
      </w:r>
      <w:r w:rsidRPr="00A77B87">
        <w:tab/>
        <w:t>keďže integrované územné investície a miestny rozvoj vedený komunitou sú nástroje, ktoré by sa mali zameriavať nielen na uľahčenie prístupu zdola nahor k územnému rozvoju tým, že od začiatku zapájajú miestne a regionálne samosprávy, ale aj na uľahčenie dialógu medzi rôznymi zainteresovanými stranami a na zvýšenie spolupráce medzi verejným a súkromným sektorom, ako aj na podporu spolupráce a prenosu informácií medzi všetkými úrovňami verejnej správy;</w:t>
      </w:r>
    </w:p>
    <w:p w:rsidR="005F53D3" w:rsidRPr="00A77B87" w:rsidRDefault="005F53D3" w:rsidP="005F53D3">
      <w:pPr>
        <w:pStyle w:val="NormalHanging12a"/>
      </w:pPr>
      <w:r w:rsidRPr="00A77B87">
        <w:t>O.</w:t>
      </w:r>
      <w:r w:rsidRPr="00A77B87">
        <w:tab/>
        <w:t>keďže v UA2030 sa Európsky parlament a jeho Výbor pre regionálny rozvoj ako výbor zodpovedný za hospodársku, sociálnu a územnú súdržnosť, vyzývajú, aby zohľadnili jej ciele tým, že budú presadzovať jej priority v legislatívnych procesoch EÚ;</w:t>
      </w:r>
    </w:p>
    <w:p w:rsidR="005F53D3" w:rsidRPr="00A77B87" w:rsidRDefault="005F53D3" w:rsidP="005F53D3">
      <w:pPr>
        <w:pStyle w:val="NormalHanging12a"/>
      </w:pPr>
      <w:r w:rsidRPr="00A77B87">
        <w:lastRenderedPageBreak/>
        <w:t>P.</w:t>
      </w:r>
      <w:r w:rsidRPr="00A77B87">
        <w:tab/>
        <w:t>keďže integrovaný územný rozvoj a miestne orientované politiky sú nevyhnutnými podmienkami na dosiahnutie strategických cieľov EÚ, ako je zelená a digitálna transformácia; keďže miestne orientované politiky môžu pomôcť územiam predísť dlhodobému hospodárskemu úpadku a tzv. pasci regionálneho rozvoja, keď si región nedokáže udržať svoju hospodársku dynamiku z hľadiska príjmov, produktivity a zamestnanosti;</w:t>
      </w:r>
    </w:p>
    <w:p w:rsidR="005F53D3" w:rsidRPr="00A77B87" w:rsidRDefault="005F53D3" w:rsidP="005F53D3">
      <w:pPr>
        <w:pStyle w:val="NormalHanging12a"/>
      </w:pPr>
      <w:r w:rsidRPr="00A77B87">
        <w:t>Q.</w:t>
      </w:r>
      <w:r w:rsidRPr="00A77B87">
        <w:tab/>
        <w:t>keďže v UA2030 sa vymedzujú dva všeobecné ciele: spravodlivá Európa a zelená Európa, ktoré majú šesť priorít (vyvážená Európa, funkčné regióny, integrácia za hranicami, zdravé životné prostredie, obehové hospodárstvo a udržateľné prepojenia) pre rozvoj európskeho územia ako celku spolu so všetkými jeho miestami; keďže UA2030 ďalej zosúlaďuje ciele EÚ v oblasti územného rozvoja s Agendou OSN 2030 pre udržateľný rozvoj a Európskou zelenou dohodou; keďže Európska mestská agenda prostredníctvom Lipskej charty podporuje ciele UA2030;</w:t>
      </w:r>
    </w:p>
    <w:p w:rsidR="005F53D3" w:rsidRPr="00A77B87" w:rsidRDefault="005F53D3" w:rsidP="005F53D3">
      <w:pPr>
        <w:pStyle w:val="NormalHanging12a"/>
        <w:rPr>
          <w:szCs w:val="24"/>
        </w:rPr>
      </w:pPr>
      <w:r w:rsidRPr="00A77B87">
        <w:t>R.</w:t>
      </w:r>
      <w:r w:rsidRPr="00A77B87">
        <w:tab/>
        <w:t>keďže silný spoločný územný rozvoj prostredníctvom nariadenia o spoločných ustanoveniach a vykonávania UA2030 môže slúžiť ako prostriedok na posilnenie solidarity a demokratických procesov a spravodlivej a ekologickej EÚ; keďže územné prístupy prinášajú pridanú hodnotu uplatňovaním strategického, priestorového hľadiska, ktoré zachytáva špecifické kombinácie sociálnych, inštitucionálnych, hospodárskych a environmentálnych výziev a príležitostí, ktoré ovplyvňujú rozvoj všetkých typov území;</w:t>
      </w:r>
    </w:p>
    <w:p w:rsidR="005F53D3" w:rsidRPr="00A77B87" w:rsidRDefault="005F53D3" w:rsidP="005F53D3">
      <w:pPr>
        <w:pStyle w:val="NormalHanging12a"/>
      </w:pPr>
      <w:r w:rsidRPr="00A77B87">
        <w:t>S.</w:t>
      </w:r>
      <w:r w:rsidRPr="00A77B87">
        <w:tab/>
        <w:t>keďže vykonávanie priorít UA2030 je v rámci EÚ naďalej nerovnomerné, najmä vzhľadom na priestorové rozdiely, ako je ostrovný charakter; keďže závery UA2030 poukazujú na rastúce nerovnosti v rámci EÚ, ktoré zvýrazňujú rozdiely medzi ľuďmi a medzi územiami;</w:t>
      </w:r>
    </w:p>
    <w:p w:rsidR="005F53D3" w:rsidRPr="00A77B87" w:rsidRDefault="005F53D3" w:rsidP="005F53D3">
      <w:pPr>
        <w:pStyle w:val="NormalHanging12a"/>
      </w:pPr>
      <w:r w:rsidRPr="00A77B87">
        <w:t>T.</w:t>
      </w:r>
      <w:r w:rsidRPr="00A77B87">
        <w:tab/>
        <w:t>keďže UA2030 požaduje posilnenie územného rozmeru odvetvových politík na všetkých úrovniach riadenia; keďže hlavné zásady UA2030 sú zahrnuté do dvoch priorít „Ľudia a miesta sa od seba vzďaľujú“ a „Udržateľný rozvoj a zmena klímy“;</w:t>
      </w:r>
    </w:p>
    <w:p w:rsidR="005F53D3" w:rsidRPr="00A77B87" w:rsidRDefault="005F53D3" w:rsidP="005F53D3">
      <w:pPr>
        <w:pStyle w:val="NormalHanging12a"/>
      </w:pPr>
      <w:r w:rsidRPr="00A77B87">
        <w:t>U.</w:t>
      </w:r>
      <w:r w:rsidRPr="00A77B87">
        <w:tab/>
        <w:t>keďže prijatím UA2030 sa začalo sedem pilotných akcií, ktoré slúžia ako príklad uplatňovania jej cieľov v praxi na miestnej a regionálnej úrovni a inšpirujú spoločné akcie v celej EÚ, konkrétne: „Budúcnosť pre zaostávajúce regióny“, „Pochopenie toho, ako odvetvové politiky formujú priestorovú (</w:t>
      </w:r>
      <w:proofErr w:type="spellStart"/>
      <w:r w:rsidRPr="00A77B87">
        <w:t>ne</w:t>
      </w:r>
      <w:proofErr w:type="spellEnd"/>
      <w:r w:rsidRPr="00A77B87">
        <w:t>)rovnováhu“, „Na malých miestach záleží“, „Cezhraničné územné plánovanie, „Opatrenia v oblasti klímy v alpských mestách“, „Adaptácia na zmenu klímy a odolnosť prostredníctvom transformácie krajiny“ a “Obmedzenie premeny pôdy na umelé plochy, rozrastania miest a zástavby pôdy v mestách rôznych veľkostí a funkčných mestských oblastiach“;</w:t>
      </w:r>
    </w:p>
    <w:p w:rsidR="005F53D3" w:rsidRPr="00A77B87" w:rsidRDefault="005F53D3" w:rsidP="005F53D3">
      <w:pPr>
        <w:pStyle w:val="NormalHanging12a"/>
        <w:rPr>
          <w:szCs w:val="24"/>
        </w:rPr>
      </w:pPr>
      <w:r w:rsidRPr="00A77B87">
        <w:t>V.</w:t>
      </w:r>
      <w:r w:rsidRPr="00A77B87">
        <w:tab/>
        <w:t>keďže vzhľadom na obmedzenú geografickú rovnováhu vo vývoji týchto pilotných akcií a administratívne ťažkosti, ktoré sa vyskytli pri financovaní pilotných akcií z viacerých programov, je potrebný lepší zber údajov, ako aj koherentná revízia UA2030;</w:t>
      </w:r>
    </w:p>
    <w:p w:rsidR="005F53D3" w:rsidRPr="00A77B87" w:rsidRDefault="005F53D3" w:rsidP="005F53D3">
      <w:pPr>
        <w:pStyle w:val="NormalHanging12a"/>
      </w:pPr>
      <w:r w:rsidRPr="00A77B87">
        <w:t>1.</w:t>
      </w:r>
      <w:r w:rsidRPr="00A77B87">
        <w:tab/>
        <w:t>zdôrazňuje, že v období 2014 – 2020 sa prostredníctvom IÚI realizovalo len 28 % stratégií udržateľného rozvoja miest; vyzýva Komisiu, aby prijala opatrenia na podporu využívania takýchto nástrojov na rozvoj UA2030, najmä prostredníctvom zintenzívnených komunikačných činností;</w:t>
      </w:r>
    </w:p>
    <w:p w:rsidR="005F53D3" w:rsidRPr="00A77B87" w:rsidRDefault="005F53D3" w:rsidP="005F53D3">
      <w:pPr>
        <w:pStyle w:val="NormalHanging12a"/>
      </w:pPr>
      <w:r w:rsidRPr="00A77B87">
        <w:t>2.</w:t>
      </w:r>
      <w:r w:rsidRPr="00A77B87">
        <w:tab/>
        <w:t xml:space="preserve">zdôrazňuje cenný prínos činností vykonávaných prostredníctvom miestneho rozvoja vedeného komunitou, ako sú činnosti v rámci iniciatívy LEADER, k územnému </w:t>
      </w:r>
      <w:r w:rsidRPr="00A77B87">
        <w:lastRenderedPageBreak/>
        <w:t>rozvoju; vyzýva Komisiu a členské štáty, aby posilnili iniciatívu LEADER zvýšením jej rozpočtového krytia, zabezpečením vysokej miery autonómie miestnych akčných skupín, pokiaľ ide o ich zriadenie a rozhodovanie, a znížením administratívnej záťaže;</w:t>
      </w:r>
    </w:p>
    <w:p w:rsidR="005F53D3" w:rsidRPr="00A77B87" w:rsidRDefault="005F53D3" w:rsidP="005F53D3">
      <w:pPr>
        <w:pStyle w:val="NormalHanging12a"/>
        <w:rPr>
          <w:szCs w:val="24"/>
        </w:rPr>
      </w:pPr>
      <w:r w:rsidRPr="00A77B87">
        <w:t>3.</w:t>
      </w:r>
      <w:r w:rsidRPr="00A77B87">
        <w:tab/>
        <w:t>vyzýva Komisiu, aby výsledky nadchádzajúcej hodnotiacej správy za rok 2024 za programové obdobie 2014 – 2020, ako aj výsledky opatrení realizovaných prostredníctvom miestneho rozvoja vedeného komunitou, napríklad v rámci iniciatívy LEADER využila na podporu programov na obdobie 2021 – 2027; poukazuje na význam kvalitatívnej analýzy nástrojov územného rozvoja; v tejto súvislosti vyjadruje poľutovanie nad záverom osobitnej správy Európskeho dvora audítorov o iniciatíve LEADER a miestnom rozvoji vedenom komunitou, že ich prínosy nie sú dostatočne preukázané;</w:t>
      </w:r>
    </w:p>
    <w:p w:rsidR="005F53D3" w:rsidRPr="00A77B87" w:rsidRDefault="005F53D3" w:rsidP="005F53D3">
      <w:pPr>
        <w:pStyle w:val="NormalHanging12a"/>
        <w:rPr>
          <w:szCs w:val="24"/>
        </w:rPr>
      </w:pPr>
      <w:r w:rsidRPr="00A77B87">
        <w:t>4.</w:t>
      </w:r>
      <w:r w:rsidRPr="00A77B87">
        <w:tab/>
        <w:t>víta príručku stratégií územného a miestneho rozvoja a príručku stratégií udržateľného rozvoja miest ako usmernenia pre všetky administratívne úrovne na navrhovanie, vykonávanie a monitorovanie stratégií územného a miestneho rozvoja vrátane mestského rozvoja; domnieva sa, že by sa malo podporovať šírenie osvedčených postupov s cieľom zabezpečiť účinnosť a udržateľnosť projektov; vyjadruje však poľutovanie nad oneskoreným uverejnením týchto príručiek a nabáda Komisiu, aby včas vypracovala usmernenia na zjednodušenie procesu vypracúvania programov; zdôrazňuje, že je potrebné poskytnúť členským štátom viac usmernení a väčšiu flexibilitu, pokiaľ ide o vykonávanie CP 5 „Európa bližšie k občanom“ a opatrení na jeho dosiahnutie, a zosúladiť ich s opatreniami stanovenými v UA2030 a vytvoriť stimuly na vyčlenenie väčšieho objemu finančných prostriedkov na CP 5;</w:t>
      </w:r>
    </w:p>
    <w:p w:rsidR="005F53D3" w:rsidRPr="00A77B87" w:rsidRDefault="005F53D3" w:rsidP="005F53D3">
      <w:pPr>
        <w:pStyle w:val="NormalHanging12a"/>
      </w:pPr>
      <w:r w:rsidRPr="00A77B87">
        <w:t>5.</w:t>
      </w:r>
      <w:r w:rsidRPr="00A77B87">
        <w:tab/>
        <w:t>vyzýva členské štáty, aby podporovali strategické územné plánovanie, ktoré zohľadňuje územia ako celok mimo metropolitných, mestských a funkčných mestských oblastí; ďalej vyzýva členské štáty, aby posilnili väzby medzi vidiekom a mestami ako spôsob dosiahnutia vyváženejšieho územného rozvoja v celej EÚ a aby zvážili cezhraničné plánovanie a implementáciu prostredníctvom prístupov zdola nahor, ako je miestny rozvoj vedený komunitou/ITI;</w:t>
      </w:r>
    </w:p>
    <w:p w:rsidR="005F53D3" w:rsidRPr="00A77B87" w:rsidRDefault="005F53D3" w:rsidP="005F53D3">
      <w:pPr>
        <w:pStyle w:val="NormalHanging12a"/>
        <w:rPr>
          <w:szCs w:val="24"/>
        </w:rPr>
      </w:pPr>
      <w:r w:rsidRPr="00A77B87">
        <w:t>6.</w:t>
      </w:r>
      <w:r w:rsidRPr="00A77B87">
        <w:tab/>
        <w:t>vyzýva Komisiu a Radu, aby vyčlenili finančné prostriedky pre vidiecke oblasti a regióny, ktoré sú závažne a trvalo znevýhodnené prírodnými alebo demografickými podmienkami, rovnako, ako je 8 % prostriedkov politiky súdržnosti vyčlenených na rozvoj programov v rámci mestskej agendy; konštatuje, že tieto prostriedky by sa mali využívať predovšetkým prostredníctvom nástrojov integrovaného územného rozvoja;</w:t>
      </w:r>
    </w:p>
    <w:p w:rsidR="005F53D3" w:rsidRPr="00A77B87" w:rsidRDefault="005F53D3" w:rsidP="005F53D3">
      <w:pPr>
        <w:pStyle w:val="NormalHanging12a"/>
        <w:rPr>
          <w:szCs w:val="24"/>
        </w:rPr>
      </w:pPr>
      <w:r w:rsidRPr="00A77B87">
        <w:t>7.</w:t>
      </w:r>
      <w:r w:rsidRPr="00A77B87">
        <w:tab/>
        <w:t xml:space="preserve">berie do úvahy schopnosti, ktoré miestne a regionálne orgány preukázali pri vykonávaní a riadení územných nástrojov, a považuje za potrebnú zmenu paradigmy pri zapájaní miestnych a regionálnych orgánov do plánovania, vykonávania a riadenia územných nástrojov; požaduje účinné uplatňovanie zásady partnerstva a hĺbkové konzultácie s miestnymi a regionálnymi orgánmi a zainteresovanými stranami pred vymedzením opatrení v oblasti integrovaných územných investícií a miestneho rozvoja vedeného komunitou; zdôrazňuje význam prístupu zdola nahor k územnému rozvoju, ktorý občanom umožňuje prevziať zodpovednosť za rozvoj svojho územia; </w:t>
      </w:r>
    </w:p>
    <w:p w:rsidR="005F53D3" w:rsidRPr="00A77B87" w:rsidRDefault="005F53D3" w:rsidP="005F53D3">
      <w:pPr>
        <w:pStyle w:val="NormalHanging12a"/>
      </w:pPr>
      <w:r w:rsidRPr="00A77B87">
        <w:t>8.</w:t>
      </w:r>
      <w:r w:rsidRPr="00A77B87">
        <w:tab/>
        <w:t xml:space="preserve">žiada, aby sa stratégie územného alebo miestneho rozvoja financované z viac ako jedného programu zlúčili do jedného postupu v súlade s článkom 28 NSU a v prípade potreby s podporou Komisie, aby sa predišlo oneskoreniam a administratívnym prekážkam; víta možnosť zavedenú v programovom období 2021 – 2027, a to určiť </w:t>
      </w:r>
      <w:r w:rsidRPr="00A77B87">
        <w:lastRenderedPageBreak/>
        <w:t>hlavný fond pre stratégie financované z viac ako jedného fondu;</w:t>
      </w:r>
    </w:p>
    <w:p w:rsidR="005F53D3" w:rsidRPr="00A77B87" w:rsidRDefault="005F53D3" w:rsidP="005F53D3">
      <w:pPr>
        <w:pStyle w:val="NormalHanging12a"/>
        <w:rPr>
          <w:szCs w:val="24"/>
        </w:rPr>
      </w:pPr>
      <w:r w:rsidRPr="00A77B87">
        <w:t>9.</w:t>
      </w:r>
      <w:r w:rsidRPr="00A77B87">
        <w:tab/>
        <w:t>konštatuje, že územné nástroje, ako napríklad miestny rozvoj vedený komunitou a integrované územné investície, sú osvedčenými opatreniami na priblíženie EÚ občanom; konštatuje, že údaje v STRAT-</w:t>
      </w:r>
      <w:proofErr w:type="spellStart"/>
      <w:r w:rsidRPr="00A77B87">
        <w:t>Board</w:t>
      </w:r>
      <w:proofErr w:type="spellEnd"/>
      <w:r w:rsidRPr="00A77B87">
        <w:t xml:space="preserve"> za obdobie 2014 – 2020 ukazujú, že miestny rozvoj vedený komunitou zohrával významnú úlohu pri rozvoji územných stratégií, čo poukazuje na veľký záujem na miestnej úrovni aktívne sa podieľať na vypracúvaní týchto stratégií; vyzýva členské štáty a Komisiu, aby zjednodušili administratívne riadenie fondov, najmä v prípadoch, keď miestny rozvoj vedený komunitou čerpá z viac ako jedného fondu; zdôrazňuje, že integrované územné investície sú hlavným nástrojom, ktorý využívajú členské štáty s väčším objemom finančných prostriedkov pridelených z EFRR, pretože môžu rýchlo absorbovať sumy a sú schopné pokryť niekoľko hlavných osí prítomných v jednom alebo viacerých programoch;</w:t>
      </w:r>
    </w:p>
    <w:p w:rsidR="005F53D3" w:rsidRPr="00A77B87" w:rsidRDefault="005F53D3" w:rsidP="005F53D3">
      <w:pPr>
        <w:pStyle w:val="NormalHanging12a"/>
      </w:pPr>
      <w:r w:rsidRPr="00A77B87">
        <w:t>10.</w:t>
      </w:r>
      <w:r w:rsidRPr="00A77B87">
        <w:tab/>
        <w:t>zdôrazňuje jasné rozlišovanie medzi členskými štátmi, ktoré sa zaviazali rozvíjať IÚI alebo miestny rozvoj vedený komunitou, a tými, ktoré tak neurobili; vyzýva Komisiu, aby objasnila toto rozlíšenie s cieľom zabr</w:t>
      </w:r>
      <w:bookmarkStart w:id="8" w:name="_GoBack"/>
      <w:bookmarkEnd w:id="8"/>
      <w:r w:rsidRPr="00A77B87">
        <w:t xml:space="preserve">ániť geografickým rozdielom a poskytnúť prispôsobenú technickú podporu členským štátom, ktoré tieto územné nástroje nevyužili; nabáda všetky členské štáty, aby vo väčšej miere využívali nástroje integrovaného územného rozvoja, ako sú definované v článku 28 nariadenia o spoločných ustanoveniach, a aby zabezpečili dodržiavanie partnerstva, ako sa vymedzuje v článku 8 nariadenia </w:t>
      </w:r>
      <w:r w:rsidR="00CB1D71">
        <w:t>o spoločných ustanoveniach</w:t>
      </w:r>
      <w:r w:rsidRPr="00A77B87">
        <w:t>; zastáva názor, že integrované nástroje územného rozvoja by mali byť pre členské štáty povinné;</w:t>
      </w:r>
    </w:p>
    <w:p w:rsidR="005F53D3" w:rsidRPr="00A77B87" w:rsidRDefault="005F53D3" w:rsidP="005F53D3">
      <w:pPr>
        <w:pStyle w:val="NormalHanging12a"/>
        <w:rPr>
          <w:szCs w:val="24"/>
        </w:rPr>
      </w:pPr>
      <w:r w:rsidRPr="00A77B87">
        <w:t>11.</w:t>
      </w:r>
      <w:r w:rsidRPr="00A77B87">
        <w:tab/>
        <w:t xml:space="preserve">víta technické zjednodušenia v oblasti územného rozvoja zavedené v programovom období 2021 - 2027; vyzýva však Komisiu a členské štáty, aby potrebné dodatočné administratívne predpisy obmedzili na nevyhnutné minimum a viac sa zamerali na proporcionalitu, keďže malé projekty majú v súčasnosti proporcionálne vyššiu administratívnu záťaž (pre príjemcov) a administratívne náklady (pre orgány zodpovedné za programy) ako finančne väčšie projekty; </w:t>
      </w:r>
    </w:p>
    <w:p w:rsidR="005F53D3" w:rsidRPr="00A77B87" w:rsidRDefault="005F53D3" w:rsidP="005F53D3">
      <w:pPr>
        <w:pStyle w:val="NormalHanging12a"/>
      </w:pPr>
      <w:r w:rsidRPr="00A77B87">
        <w:t>12.</w:t>
      </w:r>
      <w:r w:rsidRPr="00A77B87">
        <w:tab/>
        <w:t>považuje UA2030 za skutočný a vhodný nástroj, ktorého cieľom je znížiť priestorový rozmer nerovností a zabezpečiť súdržnosť EÚ prostredníctvom riadenia každého z jej regiónov s ich osobitosťami; domnieva sa preto, že spoločnosti a územia by sa mali viac zapojiť do uznávania významu tohto programu; vyzýva Komisiu, aby zmenila úlohu UA2030 nad rámec usmerňovania územného riadenia;</w:t>
      </w:r>
    </w:p>
    <w:p w:rsidR="005F53D3" w:rsidRPr="00A77B87" w:rsidRDefault="005F53D3" w:rsidP="005F53D3">
      <w:pPr>
        <w:pStyle w:val="NormalHanging12a"/>
      </w:pPr>
      <w:r w:rsidRPr="00A77B87">
        <w:t>13.</w:t>
      </w:r>
      <w:r w:rsidRPr="00A77B87">
        <w:tab/>
        <w:t>konštatuje, že UA2030 nielenže podporuje miestne orientované politické reakcie na územné výzvy, ale poskytuje aj víziu a ambície pre cieľ územnej súdržnosti prostredníctvom lepšieho zapojenia miestnych a regionálnych orgánov a občanov;</w:t>
      </w:r>
    </w:p>
    <w:p w:rsidR="005F53D3" w:rsidRPr="00A77B87" w:rsidRDefault="005F53D3" w:rsidP="005F53D3">
      <w:pPr>
        <w:pStyle w:val="NormalHanging12a"/>
      </w:pPr>
      <w:r w:rsidRPr="00A77B87">
        <w:t>14.</w:t>
      </w:r>
      <w:r w:rsidRPr="00A77B87">
        <w:tab/>
        <w:t>zdôrazňuje, že hoci je financovanie z viacerých zdrojov jedným z hlavných cieľov územných integrovaných nástrojov, zo súčasných zistení vyplýva, že využívanie financovania z viacerých zdrojov môže byť v niektorých krajinách stále zložité, najmä preto, že v súčasnom období už EPFRV (rozvoj vidieka) nie je zahrnutý do NSU, a preto by boli potrebné dodatočné a osobitné opatrenia na zosúladenie pravidiel EPFRV a iných fondov politiky súdržnosti (t. j. využívanie rôznych fondov EÚ na integrované projekty na miestnej úrovni, ktoré sa zaoberajú viacerými politickými cieľmi);</w:t>
      </w:r>
    </w:p>
    <w:p w:rsidR="005F53D3" w:rsidRPr="00A77B87" w:rsidRDefault="005F53D3" w:rsidP="005F53D3">
      <w:pPr>
        <w:pStyle w:val="NormalHanging12a"/>
      </w:pPr>
      <w:r w:rsidRPr="00A77B87">
        <w:t>15.</w:t>
      </w:r>
      <w:r w:rsidRPr="00A77B87">
        <w:tab/>
        <w:t xml:space="preserve">vyzýva členské štáty, aby aktívne podporovali uplatňovanie rodového hľadiska pri </w:t>
      </w:r>
      <w:r w:rsidRPr="00A77B87">
        <w:lastRenderedPageBreak/>
        <w:t>príprave a realizácii pilotných projektov UA2030 na mieste;</w:t>
      </w:r>
    </w:p>
    <w:p w:rsidR="005F53D3" w:rsidRPr="00A77B87" w:rsidRDefault="005F53D3" w:rsidP="00C37C1D">
      <w:pPr>
        <w:pStyle w:val="NormalHanging12a"/>
      </w:pPr>
      <w:r w:rsidRPr="00A77B87">
        <w:t>16.</w:t>
      </w:r>
      <w:r w:rsidRPr="00A77B87">
        <w:tab/>
        <w:t>zdôrazňuje, že spravodlivý a dôstojný príjem a kvalita života občanov a ich rodín vo vidieckych oblastiach sú nevyhnutné na zabezpečenie sociálneho pokroku a úspešného územného a miestneho rozvoja; trvá na potrebe zabezpečiť dôstojné pracovné a životné podmienky a sociálnu ochranu pre všetkých;</w:t>
      </w:r>
    </w:p>
    <w:p w:rsidR="005F53D3" w:rsidRPr="00A77B87" w:rsidRDefault="005F53D3" w:rsidP="005F53D3">
      <w:pPr>
        <w:widowControl/>
        <w:ind w:left="567" w:hanging="567"/>
      </w:pPr>
      <w:r w:rsidRPr="00A77B87">
        <w:t>17.</w:t>
      </w:r>
      <w:r w:rsidRPr="00A77B87">
        <w:tab/>
        <w:t>zdôrazňuje, že je dôležité zlepšiť politickú súdržnosť a vykonávať overovanie vplyvu na vidiecke oblasti budúcich iniciatív EÚ v oblasti integrovaného územného rozvoja a iných významných iniciatív s cieľom posúdiť súdržnosť a komplementárnosť politík EÚ a ich potenciálny vplyv na vidiecke oblasti, čím sa účinne zabráni vyľudňovaniu vidieka a uľahčí sa generačná výmena, prístup k vysokokvalitným základným službám a vytváranie pracovných miest vo vidieckych oblastiach; zdôrazňuje význam mechanizmu overovania vplyvov na vidiecke oblasti aj pre členské štáty pri posudzovaní vplyvu navrhovaných právnych predpisov vo vidieckych oblastiach; zdôrazňuje význam zapojenia miestnych a regionálnych orgánov do vymedzovania a vykonávania mechanizmov overovania vplyvov na vidiecke oblasti, ako aj do ich riadenia na európskej aj vnútroštátnej úrovni s cieľom bojovať proti sociálnemu vylúčeniu súvisiacemu s dopravou a zlepšiť územnú dostupnosť dotknutých oblastí s cieľom zlepšiť cezhraničnú a vidiecko-mestskú spoluprácu, prístup k širokopásmovému internetu a primeraným službám, najmä v oblasti zdravotníctva a vzdelávania, ako aj diverzifikáciu vidieckeho hospodárstva a revitalizáciu vidieckych oblastí, zvýšiť atraktívnosť týchto oblastí, ako aj zabezpečiť udržateľnú budúcnosť pre tieto komunity;</w:t>
      </w:r>
    </w:p>
    <w:p w:rsidR="005F53D3" w:rsidRPr="00A77B87" w:rsidRDefault="005F53D3" w:rsidP="005F53D3">
      <w:pPr>
        <w:pStyle w:val="NormalHanging12a"/>
        <w:rPr>
          <w:szCs w:val="24"/>
        </w:rPr>
      </w:pPr>
      <w:r w:rsidRPr="00A77B87">
        <w:t>18.</w:t>
      </w:r>
      <w:r w:rsidRPr="00A77B87">
        <w:tab/>
        <w:t>zdôrazňuje, že opatrenia UA2030 by mali zohrávať ústrednú úlohu v partnerských dohodách a programoch; poukazuje na to, že tieto opatrenia by mali byť rozhodnejšie pri prideľovaní finančných prostriedkov a že je potrebné podporovať integráciu UA2030 do politík EÚ so zameraním na úrovne riadenia bližšie k terénu; domnieva sa, že UA2030 by mala mať v budúcom viacročnom finančnom rámci k dispozícii primerané finančné prostriedky a metodiku prideľovania;</w:t>
      </w:r>
    </w:p>
    <w:p w:rsidR="005F53D3" w:rsidRPr="00A77B87" w:rsidRDefault="005F53D3" w:rsidP="005F53D3">
      <w:pPr>
        <w:pStyle w:val="NormalHanging12a"/>
        <w:rPr>
          <w:szCs w:val="24"/>
        </w:rPr>
      </w:pPr>
      <w:r w:rsidRPr="00A77B87">
        <w:t>19.</w:t>
      </w:r>
      <w:r w:rsidRPr="00A77B87">
        <w:tab/>
        <w:t>zdôrazňuje, že je nevyhnutné začleniť priority a ciele UA2030 do legislatívnych nástrojov a programov fondov politiky súdržnosti, ktoré by mali byť prispôsobené každému územiu; víta pilotné akcie UA2030, ktoré boli vypracované, a vyzýva členské štáty a Komisiu, aby naďalej investovali do týchto akcií, zlepšovali ich geografickú rovnováhu a lepšie ich koordinovali so zásadami UA2030;</w:t>
      </w:r>
    </w:p>
    <w:p w:rsidR="005F53D3" w:rsidRPr="00A77B87" w:rsidRDefault="005F53D3" w:rsidP="005F53D3">
      <w:pPr>
        <w:pStyle w:val="NormalHanging12a"/>
        <w:rPr>
          <w:szCs w:val="24"/>
        </w:rPr>
      </w:pPr>
      <w:r w:rsidRPr="00A77B87">
        <w:t>20.</w:t>
      </w:r>
      <w:r w:rsidRPr="00A77B87">
        <w:tab/>
        <w:t xml:space="preserve">zdôrazňuje potrebu zapojiť </w:t>
      </w:r>
      <w:r w:rsidR="006F3DAE" w:rsidRPr="00A77B87">
        <w:t>Európsky p</w:t>
      </w:r>
      <w:r w:rsidRPr="00A77B87">
        <w:t xml:space="preserve">arlament, najmä jeho príslušný Výbor pre regionálny rozvoj, do pilotných akcií s cieľom zabezpečiť, aby boli v súlade so súčasnými prioritami EÚ, a propagovať výsledky pilotných akcií a informovať o nich na úrovni EÚ, integrovať ich a koordinovať s iniciatívami, ako je politika súdržnosti, najmä EFRR a </w:t>
      </w:r>
      <w:proofErr w:type="spellStart"/>
      <w:r w:rsidRPr="00A77B87">
        <w:t>Interreg</w:t>
      </w:r>
      <w:proofErr w:type="spellEnd"/>
      <w:r w:rsidRPr="00A77B87">
        <w:t>;</w:t>
      </w:r>
    </w:p>
    <w:p w:rsidR="005F53D3" w:rsidRPr="00A77B87" w:rsidRDefault="005F53D3" w:rsidP="005F53D3">
      <w:pPr>
        <w:pStyle w:val="NormalHanging12a"/>
      </w:pPr>
      <w:r w:rsidRPr="00A77B87">
        <w:t>21.</w:t>
      </w:r>
      <w:r w:rsidRPr="00A77B87">
        <w:tab/>
        <w:t>požaduje stratégiu na uľahčenie synergií medzi rôznymi fondmi EÚ pre projekty vykonávané prostredníctvom územných nástrojov a na administratívne zjednodušenie pilotných akcií financovaných z viac ako jedného fondu s cieľom znížiť administratívne prekážky a uľahčiť podávanie žiadostí o tieto projekty;</w:t>
      </w:r>
    </w:p>
    <w:p w:rsidR="005F53D3" w:rsidRPr="00A77B87" w:rsidRDefault="005F53D3" w:rsidP="005F53D3">
      <w:pPr>
        <w:pStyle w:val="NormalHanging12a"/>
      </w:pPr>
      <w:r w:rsidRPr="00A77B87">
        <w:t>22.</w:t>
      </w:r>
      <w:r w:rsidRPr="00A77B87">
        <w:tab/>
        <w:t>domnieva sa, že podniky by mohli zohrávať zásadnú úlohu v stratégiách územného rozvoja; vyzýva Komisiu, aby podporovala systémy spolupráce medzi podnikmi a miestnymi a regionálnymi orgánmi s cieľom rozvíjať projekty územného rozvoja, ktoré podporujú vytváranie pracovných miest a hospodársky rast;</w:t>
      </w:r>
    </w:p>
    <w:p w:rsidR="005F53D3" w:rsidRPr="00A77B87" w:rsidRDefault="005F53D3" w:rsidP="005F53D3">
      <w:pPr>
        <w:pStyle w:val="NormalHanging12a"/>
        <w:rPr>
          <w:szCs w:val="24"/>
        </w:rPr>
      </w:pPr>
      <w:r w:rsidRPr="00A77B87">
        <w:lastRenderedPageBreak/>
        <w:t>23.</w:t>
      </w:r>
      <w:r w:rsidRPr="00A77B87">
        <w:tab/>
        <w:t xml:space="preserve">poukazuje na obrovský potenciál UA2030 a jej súčasných a budúcich pilotných projektov pri riešení veľmi rozmanitých potrieb </w:t>
      </w:r>
      <w:proofErr w:type="spellStart"/>
      <w:r w:rsidRPr="00A77B87">
        <w:t>mimomestských</w:t>
      </w:r>
      <w:proofErr w:type="spellEnd"/>
      <w:r w:rsidRPr="00A77B87">
        <w:t xml:space="preserve"> oblastí vrátane vidieckych oblastí, horských oblastí, ostrovov a pobrežných oblastí, odľahlých a riedko osídlených oblastí a mnohých ďalších typov území, kde koexistuje kombinácia mestských a vidieckych prvkov; zdôrazňuje najmä skutočnosť, že vidiecke oblasti často čelia demografickým výzvam, nízkej hustote obyvateľstva a obmedzenému prístupu k službám všeobecného záujmu a ich kvalite, pričom nie vždy majú kapacity na navrhovanie a realizáciu inovatívnych riešení, a preto môžu mať veľký úžitok z výmeny najlepších postupov;</w:t>
      </w:r>
    </w:p>
    <w:p w:rsidR="005F53D3" w:rsidRPr="00A77B87" w:rsidRDefault="005F53D3" w:rsidP="005F53D3">
      <w:pPr>
        <w:pStyle w:val="NormalHanging12a"/>
        <w:rPr>
          <w:szCs w:val="24"/>
        </w:rPr>
      </w:pPr>
      <w:r w:rsidRPr="00A77B87">
        <w:t>24.</w:t>
      </w:r>
      <w:r w:rsidRPr="00A77B87">
        <w:tab/>
        <w:t>zdôrazňuje potrebu väčšieho šírenia opatrení a úspechov pilotných projektov ako príkladov využívania fondov EÚ; podporuje myšlienku usporadúvať každé dva roky konferenciu s cieľom predstaviť pilotné akcie miestnym a regionálnym orgánom, ako aj príslušným aktérom na vnútroštátnej úrovni a na úrovni EÚ, a prepojiť ju s inými podujatiami, ako je vidiecky pakt alebo fórum miest;</w:t>
      </w:r>
    </w:p>
    <w:p w:rsidR="005F53D3" w:rsidRPr="00A77B87" w:rsidRDefault="005F53D3" w:rsidP="005F53D3">
      <w:pPr>
        <w:pStyle w:val="NormalHanging12a"/>
      </w:pPr>
      <w:r w:rsidRPr="00A77B87">
        <w:t>25.</w:t>
      </w:r>
      <w:r w:rsidRPr="00A77B87">
        <w:tab/>
        <w:t>vyzýva členské štáty, aby rozvíjali svoje územné programy v súlade s UA2030 ako základ pre plánovanie svojich územných stratégií, ktoré zohľadnia osobitosti a veľmi rôznorodé potreby jednotlivých regiónov a budú slúžiť ako podnety, ako aj na stimulovanie rozhodovacieho procesu a navrhovania územných a mestských politík; ďalej vyzýva členské štáty, aby umožnili rôzne územné stratégie pre všetky regióny EÚ vrátane vidieckych oblastí, oblastí zasiahnutých priemyselnou transformáciou, regiónov závažne a trvalo znevýhodnených prírodnými a demografickými podmienkami, ako sú najsevernejšie regióny a regióny s veľmi nízkou hustotou obyvateľstva, ostrovy, cezhraničné a horské regióny;</w:t>
      </w:r>
    </w:p>
    <w:p w:rsidR="005F53D3" w:rsidRPr="00A77B87" w:rsidRDefault="005F53D3" w:rsidP="005F53D3">
      <w:pPr>
        <w:pStyle w:val="NormalHanging12a"/>
      </w:pPr>
      <w:r w:rsidRPr="00A77B87">
        <w:t>26.</w:t>
      </w:r>
      <w:r w:rsidRPr="00A77B87">
        <w:tab/>
        <w:t>zdôrazňuje, že dobrá výkonnosť riadiacich štruktúr môže určovať optimálnu kombináciu investičných priorít s cieľom dosiahnuť potrebnú viacúrovňovú vertikálnu a horizontálnu koordináciu pri navrhovaní a realizovaní integrovaných stratégií rozvoja;</w:t>
      </w:r>
    </w:p>
    <w:p w:rsidR="005F53D3" w:rsidRPr="00A77B87" w:rsidRDefault="005F53D3" w:rsidP="005F53D3">
      <w:pPr>
        <w:pStyle w:val="NormalHanging12a"/>
      </w:pPr>
      <w:r w:rsidRPr="00A77B87">
        <w:t>27.</w:t>
      </w:r>
      <w:r w:rsidRPr="00A77B87">
        <w:tab/>
        <w:t>vyzýva členské štáty a Komisiu, aby podporovali vykonávanie UA2030 nad rámec pilotných akcií, čím sa tento nástroj stane referenčným rámcom pre opatrenia, ktorý poskytuje konkrétne a prispôsobené usmernenia pre územia EÚ na zlepšenie ich výkonnosti; zdôrazňuje možnosť prepojiť regionálne financovanie s dosahovaním priorít UA2030 a vyzýva Komisiu, aby vypracovala monitorovacie ukazovatele spájajúce UA2030 s využívaním fondov politiky súdržnosti, najmä EFRR;</w:t>
      </w:r>
    </w:p>
    <w:p w:rsidR="005F53D3" w:rsidRPr="00A77B87" w:rsidRDefault="005F53D3" w:rsidP="005F53D3">
      <w:pPr>
        <w:pStyle w:val="NormalHanging12a"/>
      </w:pPr>
      <w:r w:rsidRPr="00A77B87">
        <w:t>28.</w:t>
      </w:r>
      <w:r w:rsidRPr="00A77B87">
        <w:tab/>
        <w:t>opakuje, že je potrebné urýchlene posilniť politiku EÚ v oblasti zmierňovania zmeny klímy a adaptácie na ňu, a to aj vzhľadom na rastúci trend extrémnych poveternostných javov v EÚ v posledných rokoch a mesiacoch; vyzýva preto verejné orgány, aby pokračovali v boji proti zmene klímy; v tejto súvislosti zdôrazňuje potrebu zvýšiť ambície a kvalitu pilotných projektov v rámci cieľa Ekologickejšia Európa a jeho prvej priority Zdravšie životné prostredie; zdôrazňuje, že územný rozvoj je kľúčom k budovaniu odolných regiónov a k zabezpečeniu udržateľného využívania finančných prostriedkov politiky súdržnosti;</w:t>
      </w:r>
    </w:p>
    <w:p w:rsidR="005F53D3" w:rsidRPr="00A77B87" w:rsidRDefault="005F53D3" w:rsidP="005F53D3">
      <w:pPr>
        <w:pStyle w:val="NormalHanging12a"/>
        <w:ind w:hanging="425"/>
      </w:pPr>
      <w:r w:rsidRPr="00A77B87">
        <w:t>29.</w:t>
      </w:r>
      <w:r w:rsidRPr="00A77B87">
        <w:tab/>
        <w:t xml:space="preserve">víta návrh Európskeho hospodárskeho a sociálneho výboru na podporu celoeurópskej charty vidieckych a mestských práv a povinností; je tiež presvedčený, že je potrebná väčšia spolupráca s mestskými oblasťami, aby sa zabezpečilo, že na žiadnu oblasť ani občana sa nezabudne pri spravodlivej transformácii na klimaticky neutrálnu, udržateľnú a prosperujúcu Európsku úniu, pričom sa usiluje o to, aby sa vidiecke a mestské oblasti </w:t>
      </w:r>
      <w:r w:rsidRPr="00A77B87">
        <w:lastRenderedPageBreak/>
        <w:t>zaviazali k spravodlivému prístupu a ukázali pridanú hodnotu spolupráce vidieckych a mestských organizácií;</w:t>
      </w:r>
    </w:p>
    <w:p w:rsidR="005F53D3" w:rsidRPr="00A77B87" w:rsidRDefault="005F53D3" w:rsidP="005F53D3">
      <w:pPr>
        <w:pStyle w:val="NormalHanging12a"/>
      </w:pPr>
      <w:r w:rsidRPr="00A77B87">
        <w:t>30.</w:t>
      </w:r>
      <w:r w:rsidRPr="00A77B87">
        <w:tab/>
        <w:t>zdôrazňuje, že je potrebné zabezpečiť vyváženejší rozvoj regiónov EÚ zaistením lepšieho rozdelenia finančných prostriedkov EÚ vrátane podpory SPP v rámci členských štátov a medzi nimi; zdôrazňuje, že nie je možné dosiahnuť udržateľný a dlhodobý územný rozvoj, ak sa podpora bude prideľovať rôznym regiónom na základe historických údajov;</w:t>
      </w:r>
    </w:p>
    <w:p w:rsidR="005F53D3" w:rsidRPr="00A77B87" w:rsidRDefault="005F53D3" w:rsidP="005F53D3">
      <w:pPr>
        <w:pStyle w:val="NormalHanging12a"/>
      </w:pPr>
      <w:r w:rsidRPr="00A77B87">
        <w:t>31.</w:t>
      </w:r>
      <w:r w:rsidRPr="00A77B87">
        <w:tab/>
        <w:t>konštatuje, že čoraz viac ľudí sa rozhoduje žiť v mestách a pracovať vo vidieckych oblastiach; vyzýva Komisiu, aby navrhla programy zohľadňujúce všetky územia vrátane metropolitných, mestských a funkčných oblastí; nabáda Komisiu, aby iniciatívu LEADER navrhla tak, aby ju mohli využívať malé mestá;</w:t>
      </w:r>
    </w:p>
    <w:p w:rsidR="005F53D3" w:rsidRPr="00A77B87" w:rsidRDefault="005F53D3" w:rsidP="005F53D3">
      <w:pPr>
        <w:pStyle w:val="NormalHanging12a"/>
      </w:pPr>
      <w:r w:rsidRPr="00A77B87">
        <w:t>32.</w:t>
      </w:r>
      <w:r w:rsidRPr="00A77B87">
        <w:tab/>
        <w:t>vyzýva Komisiu, aby prepojila skúsenosti získané pri vykonávaní UA2030 s budúcou politikou súdržnosti a odporúčaniami skupiny na vysokej úrovni pre budúcnosť politiky súdržnosti s cieľom účinnejšie prekonať územnú nerovnováhu a funkčný nesúlad; poukazuje na príležitosť, ktorú predstavuje UA2030 ako nástroj na hodnotenie vplyvu politiky súdržnosti, pokiaľ ide o cieľ územnej súdržnosti;</w:t>
      </w:r>
    </w:p>
    <w:p w:rsidR="005F53D3" w:rsidRPr="00A77B87" w:rsidRDefault="005F53D3" w:rsidP="005F53D3">
      <w:pPr>
        <w:pStyle w:val="NormalHanging12a"/>
        <w:rPr>
          <w:szCs w:val="24"/>
        </w:rPr>
      </w:pPr>
      <w:r w:rsidRPr="00A77B87">
        <w:t>33.</w:t>
      </w:r>
      <w:r w:rsidRPr="00A77B87">
        <w:tab/>
        <w:t>vyzýva Komisiu a členské štáty, aby do konca roka 2024 vykonali ucelené preskúmanie UA2030 vrátane dôkladného preskúmania jej systému riadenia, pokroku dosiahnutého pri jej vykonávaní a relevantnosti jej priorít, ako sú uvedené v UA2030;</w:t>
      </w:r>
    </w:p>
    <w:p w:rsidR="005F53D3" w:rsidRPr="00A77B87" w:rsidRDefault="005F53D3" w:rsidP="005F53D3">
      <w:pPr>
        <w:pStyle w:val="NormalHanging12a"/>
      </w:pPr>
      <w:r w:rsidRPr="00A77B87">
        <w:t>34.</w:t>
      </w:r>
      <w:r w:rsidRPr="00A77B87">
        <w:tab/>
        <w:t>víta záväzný charakter metodiky opísanej v príručke stratégií územného a miestneho rozvoja, ktorá dáva územným politikám rovnaký význam ako mestským politikám;</w:t>
      </w:r>
    </w:p>
    <w:p w:rsidR="005F53D3" w:rsidRPr="00A77B87" w:rsidRDefault="005F53D3" w:rsidP="005F53D3">
      <w:pPr>
        <w:pStyle w:val="NormalHanging12a"/>
      </w:pPr>
      <w:r w:rsidRPr="00A77B87">
        <w:t>35.</w:t>
      </w:r>
      <w:r w:rsidRPr="00A77B87">
        <w:tab/>
        <w:t>požaduje jednotný rámec pre stratégie zamerané na mestský aj širší územný rozvoj, ktorý by zohľadňoval územné požiadavky ako celok; zdôrazňuje, že by to mohlo výrazne znížiť byrokratické prekážky pri získavaní finančných prostriedkov;</w:t>
      </w:r>
    </w:p>
    <w:p w:rsidR="005F53D3" w:rsidRPr="00A77B87" w:rsidRDefault="005F53D3" w:rsidP="005F53D3">
      <w:pPr>
        <w:pStyle w:val="NormalHanging12a"/>
      </w:pPr>
      <w:r w:rsidRPr="00A77B87">
        <w:t>36.</w:t>
      </w:r>
      <w:r w:rsidRPr="00A77B87">
        <w:tab/>
        <w:t>vyzýva Komisiu, aby zabezpečila riadne využívanie finančných prostriedkov a vykonávanie územných nástrojov a uprednostnila účinné riadenie bez neprimeranej byrokracie; zdôrazňuje, že je potrebné zjednodušiť prístup k fondom určením jednotných kontaktných miest pre potenciálnych príjemcov projektov integrovaných územných investícií alebo miestneho rozvoja vedeného komunitou z Kohézneho fondu EÚ, najmä pokiaľ ide o prístup k informáciám o type financovania, administratívnych požiadavkách a oprávnenosti;</w:t>
      </w:r>
    </w:p>
    <w:p w:rsidR="005F53D3" w:rsidRPr="00A77B87" w:rsidRDefault="005F53D3" w:rsidP="005F53D3">
      <w:pPr>
        <w:pStyle w:val="NormalHanging12a"/>
      </w:pPr>
      <w:r w:rsidRPr="00A77B87">
        <w:t>37.</w:t>
      </w:r>
      <w:r w:rsidRPr="00A77B87">
        <w:tab/>
        <w:t>uznáva úlohu Európskej rady pri rozvoji územných činností členských štátov; vyzýva členské štáty, aby zabezpečili dostatočné ľudské zdroje pre riadiace orgány aj pre vykonávacie orgány zodpovedné za integrované územné investície alebo miestny rozvoj vedený komunitou s cieľom zabezpečiť technickú podporu a poradenské služby osobitne pre miestne akčné skupiny a partnerov v oblasti integrovaných územných investícií, aby sa umožnil súlad s právnymi predpismi;</w:t>
      </w:r>
    </w:p>
    <w:p w:rsidR="005F53D3" w:rsidRPr="00A77B87" w:rsidRDefault="005F53D3" w:rsidP="005F53D3">
      <w:pPr>
        <w:pStyle w:val="NormalHanging12a"/>
      </w:pPr>
      <w:r w:rsidRPr="00A77B87">
        <w:t>38.</w:t>
      </w:r>
      <w:r w:rsidRPr="00A77B87">
        <w:tab/>
        <w:t xml:space="preserve">vyzýva Komisiu, aby zvýšila svoje zapojenie do územnej politiky prostredníctvom politiky súdržnosti a posilnila riadenie regiónov s cieľom podporiť súdržnosť a </w:t>
      </w:r>
      <w:proofErr w:type="spellStart"/>
      <w:r w:rsidRPr="00A77B87">
        <w:t>mikrosúdržnosť</w:t>
      </w:r>
      <w:proofErr w:type="spellEnd"/>
      <w:r w:rsidRPr="00A77B87">
        <w:t xml:space="preserve"> zahrnutím osobitostí každého regiónu, zlepšením rozhodovania na miestnej a regionálnej úrovni a uplatňovaním existujúcich nástrojov s cieľom zlepšiť riadenie legislatívnych nástrojov; okrem toho vyzýva Komisiu a členské štáty, aby </w:t>
      </w:r>
      <w:r w:rsidRPr="00A77B87">
        <w:lastRenderedPageBreak/>
        <w:t>naďalej podporovali fondy politiky súdržnosti s cieľom zvýšiť odolnosť územného rozvoja, najmä s cieľom zmierniť účinky neočakávaných udalostí, chrániť regióny pred ich následkami a dodržiavať zásadu nepoškodzovať súdržnosť;</w:t>
      </w:r>
    </w:p>
    <w:p w:rsidR="005F53D3" w:rsidRPr="00A77B87" w:rsidRDefault="005F53D3" w:rsidP="005F53D3">
      <w:pPr>
        <w:pStyle w:val="NormalHanging12a"/>
        <w:rPr>
          <w:szCs w:val="24"/>
        </w:rPr>
      </w:pPr>
      <w:r w:rsidRPr="00A77B87">
        <w:t>39.</w:t>
      </w:r>
      <w:r w:rsidRPr="00A77B87">
        <w:tab/>
        <w:t xml:space="preserve">uvedomuje si vplyv rozhodnutí prijatých v rámci európskeho semestra na územnú súdržnosť a následne na kapacitu vypracovať územné programy; opakuje, že je potrebné posilniť územný rozmer európskeho semestra a zlepšiť prepojenie medzi politikou súdržnosti a európskou správou hospodárskych záležitostí, a to zapojením miestnych a regionálnych orgánov do všetkých fáz postupov súvisiacich s európskym semestrom a jeho odporúčaniami pre jednotlivé krajiny; </w:t>
      </w:r>
    </w:p>
    <w:p w:rsidR="005F53D3" w:rsidRPr="00A77B87" w:rsidRDefault="005F53D3" w:rsidP="005F53D3">
      <w:pPr>
        <w:pStyle w:val="NormalHanging12a"/>
        <w:rPr>
          <w:szCs w:val="24"/>
        </w:rPr>
      </w:pPr>
      <w:r w:rsidRPr="00A77B87">
        <w:t>40.</w:t>
      </w:r>
      <w:r w:rsidRPr="00A77B87">
        <w:tab/>
        <w:t>vyzýva Európsky výbor regiónov a Európsky hospodársky a sociálny výbor, aby zohrávali aktívnejšiu úlohu pri sledovaní a ďalšom rozvoji UA2030; vyzýva Komisiu, aby vypracovala štúdiu o schopnosti každého regiónu zmierniť budúce globálne výzvy ovplyvňujúce územnú súdržnosť; konštatuje, že by sa tak vytvoril nástroj rýchlej reakcie, ktorý by umožnil flexibilitu pri prideľovaní alebo posilňovaní zdrojov v závislosti od aktuálnej situácie regiónov EÚ;</w:t>
      </w:r>
    </w:p>
    <w:p w:rsidR="005F53D3" w:rsidRPr="00A77B87" w:rsidRDefault="005F53D3" w:rsidP="005F53D3">
      <w:pPr>
        <w:pStyle w:val="NormalHanging12a"/>
        <w:rPr>
          <w:szCs w:val="24"/>
        </w:rPr>
      </w:pPr>
      <w:r w:rsidRPr="00A77B87">
        <w:t>41.</w:t>
      </w:r>
      <w:r w:rsidRPr="00A77B87">
        <w:tab/>
        <w:t xml:space="preserve">zdôrazňuje význam územných nástrojov z hľadiska zvýšenej a </w:t>
      </w:r>
      <w:proofErr w:type="spellStart"/>
      <w:r w:rsidRPr="00A77B87">
        <w:t>inkluzívnej</w:t>
      </w:r>
      <w:proofErr w:type="spellEnd"/>
      <w:r w:rsidRPr="00A77B87">
        <w:t xml:space="preserve"> účasti občianskej spoločnosti a miestnych a regionálnych samospráv; vyzýva Komisiu, aby preskúmala nové spôsoby, ako zlepšiť informovanosť o ich opodstatnenosti a podstatne zvýšiť využívanie integrovaných územných investícií a miestneho rozvoja vedeného komunitou, a to aj prípadným vyčlenením určitého percentuálneho podielu, ktorý by sa použil v rámci politiky súdržnosti po roku 2027;</w:t>
      </w:r>
    </w:p>
    <w:p w:rsidR="005F53D3" w:rsidRPr="00A77B87" w:rsidRDefault="005F53D3" w:rsidP="005F53D3">
      <w:pPr>
        <w:pStyle w:val="NormalHanging12a"/>
        <w:rPr>
          <w:szCs w:val="24"/>
        </w:rPr>
      </w:pPr>
      <w:r w:rsidRPr="00A77B87">
        <w:t>42.</w:t>
      </w:r>
      <w:r w:rsidRPr="00A77B87">
        <w:tab/>
        <w:t xml:space="preserve">vyzýva Európsku investičnú banku, aby zvýšila finančné prostriedky plánované pre fondy politiky súdržnosti určené na zabezpečenie rovnováhy a riadneho fungovania regiónov; </w:t>
      </w:r>
    </w:p>
    <w:p w:rsidR="005F53D3" w:rsidRPr="00A77B87" w:rsidRDefault="005F53D3" w:rsidP="005F53D3">
      <w:pPr>
        <w:pStyle w:val="NormalHanging12a"/>
      </w:pPr>
      <w:r w:rsidRPr="00A77B87">
        <w:t>43.</w:t>
      </w:r>
      <w:r w:rsidRPr="00A77B87">
        <w:tab/>
        <w:t xml:space="preserve">poveruje svoju predsedníčku, aby postúpila toto uznesenie Rade, Komisii a národným a regionálnym parlamentom členských štátov. </w:t>
      </w:r>
    </w:p>
    <w:sectPr w:rsidR="005F53D3" w:rsidRPr="00A77B87" w:rsidSect="007E56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618" w:rsidRPr="007E566E" w:rsidRDefault="00C50618">
      <w:r w:rsidRPr="007E566E">
        <w:separator/>
      </w:r>
    </w:p>
  </w:endnote>
  <w:endnote w:type="continuationSeparator" w:id="0">
    <w:p w:rsidR="00C50618" w:rsidRPr="007E566E" w:rsidRDefault="00C50618">
      <w:r w:rsidRPr="007E566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566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566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566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618" w:rsidRPr="007E566E" w:rsidRDefault="00C50618">
      <w:r w:rsidRPr="007E566E">
        <w:separator/>
      </w:r>
    </w:p>
  </w:footnote>
  <w:footnote w:type="continuationSeparator" w:id="0">
    <w:p w:rsidR="00C50618" w:rsidRPr="007E566E" w:rsidRDefault="00C50618">
      <w:r w:rsidRPr="007E566E">
        <w:continuationSeparator/>
      </w:r>
    </w:p>
  </w:footnote>
  <w:footnote w:id="1">
    <w:p w:rsidR="005F53D3" w:rsidRPr="007E566E" w:rsidRDefault="005F53D3" w:rsidP="007E566E">
      <w:pPr>
        <w:pStyle w:val="FootnoteText1"/>
        <w:ind w:left="567" w:hanging="567"/>
        <w:jc w:val="left"/>
        <w:rPr>
          <w:sz w:val="24"/>
          <w:lang w:val="sk-SK"/>
        </w:rPr>
      </w:pPr>
      <w:r w:rsidRPr="007E566E">
        <w:rPr>
          <w:rStyle w:val="FootnoteReference"/>
          <w:sz w:val="24"/>
          <w:lang w:val="sk-SK"/>
        </w:rPr>
        <w:footnoteRef/>
      </w:r>
      <w:r w:rsidR="007E566E" w:rsidRPr="007E566E">
        <w:rPr>
          <w:sz w:val="24"/>
          <w:lang w:val="sk-SK"/>
        </w:rPr>
        <w:t xml:space="preserve"> </w:t>
      </w:r>
      <w:r w:rsidR="007E566E" w:rsidRPr="007E566E">
        <w:rPr>
          <w:sz w:val="24"/>
          <w:lang w:val="sk-SK"/>
        </w:rPr>
        <w:tab/>
      </w:r>
      <w:r w:rsidRPr="00D7496D">
        <w:rPr>
          <w:sz w:val="24"/>
          <w:lang w:val="sk-SK"/>
        </w:rPr>
        <w:t>Ú. v. EÚ</w:t>
      </w:r>
      <w:r w:rsidRPr="007E566E">
        <w:rPr>
          <w:sz w:val="24"/>
          <w:lang w:val="sk-SK"/>
        </w:rPr>
        <w:t xml:space="preserve"> L 231, 30.6.2021, s. 159.</w:t>
      </w:r>
    </w:p>
  </w:footnote>
  <w:footnote w:id="2">
    <w:p w:rsidR="005F53D3" w:rsidRPr="007E566E" w:rsidRDefault="005F53D3" w:rsidP="007E566E">
      <w:pPr>
        <w:pStyle w:val="FootnoteText1"/>
        <w:ind w:left="567" w:hanging="567"/>
        <w:jc w:val="left"/>
        <w:rPr>
          <w:sz w:val="24"/>
          <w:lang w:val="sk-SK"/>
        </w:rPr>
      </w:pPr>
      <w:r w:rsidRPr="007E566E">
        <w:rPr>
          <w:rStyle w:val="FootnoteReference"/>
          <w:sz w:val="24"/>
          <w:lang w:val="sk-SK"/>
        </w:rPr>
        <w:footnoteRef/>
      </w:r>
      <w:r w:rsidR="007E566E" w:rsidRPr="007E566E">
        <w:rPr>
          <w:sz w:val="24"/>
          <w:lang w:val="sk-SK"/>
        </w:rPr>
        <w:t xml:space="preserve"> </w:t>
      </w:r>
      <w:r w:rsidR="007E566E" w:rsidRPr="007E566E">
        <w:rPr>
          <w:sz w:val="24"/>
          <w:lang w:val="sk-SK"/>
        </w:rPr>
        <w:tab/>
      </w:r>
      <w:r w:rsidRPr="00D7496D">
        <w:rPr>
          <w:sz w:val="24"/>
          <w:lang w:val="sk-SK"/>
        </w:rPr>
        <w:t>Ú. v. EÚ</w:t>
      </w:r>
      <w:r w:rsidRPr="007E566E">
        <w:rPr>
          <w:sz w:val="24"/>
          <w:lang w:val="sk-SK"/>
        </w:rPr>
        <w:t xml:space="preserve"> L 231, 30.6.2021, s. 60.</w:t>
      </w:r>
    </w:p>
  </w:footnote>
  <w:footnote w:id="3">
    <w:p w:rsidR="005F53D3" w:rsidRPr="007E566E" w:rsidRDefault="005F53D3" w:rsidP="007E566E">
      <w:pPr>
        <w:pStyle w:val="FootnoteText1"/>
        <w:ind w:left="567" w:hanging="567"/>
        <w:jc w:val="left"/>
        <w:rPr>
          <w:sz w:val="24"/>
          <w:lang w:val="sk-SK"/>
        </w:rPr>
      </w:pPr>
      <w:r w:rsidRPr="007E566E">
        <w:rPr>
          <w:rStyle w:val="FootnoteReference"/>
          <w:sz w:val="24"/>
          <w:lang w:val="sk-SK"/>
        </w:rPr>
        <w:footnoteRef/>
      </w:r>
      <w:r w:rsidR="007E566E" w:rsidRPr="007E566E">
        <w:rPr>
          <w:sz w:val="24"/>
          <w:lang w:val="sk-SK"/>
        </w:rPr>
        <w:t xml:space="preserve"> </w:t>
      </w:r>
      <w:r w:rsidR="007E566E" w:rsidRPr="007E566E">
        <w:rPr>
          <w:sz w:val="24"/>
          <w:lang w:val="sk-SK"/>
        </w:rPr>
        <w:tab/>
      </w:r>
      <w:r w:rsidRPr="00D7496D">
        <w:rPr>
          <w:sz w:val="24"/>
          <w:lang w:val="sk-SK"/>
        </w:rPr>
        <w:t>Ú. v. EÚ</w:t>
      </w:r>
      <w:r w:rsidRPr="007E566E">
        <w:rPr>
          <w:sz w:val="24"/>
          <w:lang w:val="sk-SK"/>
        </w:rPr>
        <w:t xml:space="preserve"> L 231, 30.6.2021, s. 94.</w:t>
      </w:r>
    </w:p>
  </w:footnote>
  <w:footnote w:id="4">
    <w:p w:rsidR="005F53D3" w:rsidRPr="007E566E" w:rsidRDefault="005F53D3" w:rsidP="007E566E">
      <w:pPr>
        <w:pStyle w:val="FootnoteText"/>
        <w:ind w:left="567" w:hanging="567"/>
        <w:rPr>
          <w:sz w:val="24"/>
          <w:lang w:val="sk-SK"/>
        </w:rPr>
      </w:pPr>
      <w:r w:rsidRPr="007E566E">
        <w:rPr>
          <w:rStyle w:val="FootnoteReference"/>
          <w:sz w:val="24"/>
          <w:lang w:val="sk-SK"/>
        </w:rPr>
        <w:footnoteRef/>
      </w:r>
      <w:r w:rsidR="007E566E" w:rsidRPr="007E566E">
        <w:rPr>
          <w:sz w:val="24"/>
          <w:lang w:val="sk-SK"/>
        </w:rPr>
        <w:t xml:space="preserve"> </w:t>
      </w:r>
      <w:r w:rsidR="007E566E" w:rsidRPr="007E566E">
        <w:rPr>
          <w:sz w:val="24"/>
          <w:lang w:val="sk-SK"/>
        </w:rPr>
        <w:tab/>
      </w:r>
      <w:r w:rsidRPr="007E566E">
        <w:rPr>
          <w:sz w:val="24"/>
          <w:lang w:val="sk-SK"/>
        </w:rPr>
        <w:t>Ú. v. EÚ L 231, 30.6.2021, s. 1.</w:t>
      </w:r>
    </w:p>
  </w:footnote>
  <w:footnote w:id="5">
    <w:p w:rsidR="005F53D3" w:rsidRPr="007E566E" w:rsidRDefault="005F53D3" w:rsidP="007E566E">
      <w:pPr>
        <w:pStyle w:val="FootnoteText"/>
        <w:ind w:left="567" w:hanging="567"/>
        <w:rPr>
          <w:sz w:val="24"/>
          <w:lang w:val="sk-SK"/>
        </w:rPr>
      </w:pPr>
      <w:r w:rsidRPr="007E566E">
        <w:rPr>
          <w:rStyle w:val="FootnoteReference"/>
          <w:sz w:val="24"/>
          <w:lang w:val="sk-SK"/>
        </w:rPr>
        <w:footnoteRef/>
      </w:r>
      <w:r w:rsidR="007E566E" w:rsidRPr="007E566E">
        <w:rPr>
          <w:sz w:val="24"/>
          <w:lang w:val="sk-SK"/>
        </w:rPr>
        <w:t xml:space="preserve"> </w:t>
      </w:r>
      <w:r w:rsidR="007E566E" w:rsidRPr="007E566E">
        <w:rPr>
          <w:sz w:val="24"/>
          <w:lang w:val="sk-SK"/>
        </w:rPr>
        <w:tab/>
      </w:r>
      <w:r w:rsidRPr="007E566E">
        <w:rPr>
          <w:sz w:val="24"/>
          <w:lang w:val="sk-SK"/>
        </w:rPr>
        <w:t>Ú. v. EÚ L 435, 6.12.2021, s. 1.</w:t>
      </w:r>
    </w:p>
  </w:footnote>
  <w:footnote w:id="6">
    <w:p w:rsidR="005F53D3" w:rsidRPr="007E566E" w:rsidRDefault="005F53D3" w:rsidP="007E566E">
      <w:pPr>
        <w:pStyle w:val="FootnoteText"/>
        <w:ind w:left="567" w:hanging="567"/>
        <w:rPr>
          <w:sz w:val="24"/>
          <w:lang w:val="sk-SK"/>
        </w:rPr>
      </w:pPr>
      <w:r w:rsidRPr="007E566E">
        <w:rPr>
          <w:rStyle w:val="FootnoteReference"/>
          <w:sz w:val="24"/>
          <w:lang w:val="sk-SK"/>
        </w:rPr>
        <w:footnoteRef/>
      </w:r>
      <w:r w:rsidR="007E566E" w:rsidRPr="007E566E">
        <w:rPr>
          <w:sz w:val="24"/>
          <w:lang w:val="sk-SK"/>
        </w:rPr>
        <w:t xml:space="preserve"> </w:t>
      </w:r>
      <w:r w:rsidR="007E566E" w:rsidRPr="007E566E">
        <w:rPr>
          <w:sz w:val="24"/>
          <w:lang w:val="sk-SK"/>
        </w:rPr>
        <w:tab/>
      </w:r>
      <w:r w:rsidRPr="007E566E">
        <w:rPr>
          <w:sz w:val="24"/>
          <w:lang w:val="sk-SK"/>
        </w:rPr>
        <w:t>Ú. v. EÚ L 437, 28.12.2020, s. 1.</w:t>
      </w:r>
    </w:p>
  </w:footnote>
  <w:footnote w:id="7">
    <w:p w:rsidR="005F53D3" w:rsidRPr="007E566E" w:rsidRDefault="005F53D3" w:rsidP="007E566E">
      <w:pPr>
        <w:pStyle w:val="FootnoteText1"/>
        <w:ind w:left="567" w:hanging="567"/>
        <w:jc w:val="left"/>
        <w:rPr>
          <w:sz w:val="24"/>
          <w:lang w:val="sk-SK"/>
        </w:rPr>
      </w:pPr>
      <w:r w:rsidRPr="007E566E">
        <w:rPr>
          <w:rStyle w:val="FootnoteReference"/>
          <w:sz w:val="24"/>
          <w:lang w:val="sk-SK"/>
        </w:rPr>
        <w:footnoteRef/>
      </w:r>
      <w:r w:rsidR="007E566E" w:rsidRPr="007E566E">
        <w:rPr>
          <w:sz w:val="24"/>
          <w:lang w:val="sk-SK"/>
        </w:rPr>
        <w:t xml:space="preserve"> </w:t>
      </w:r>
      <w:r w:rsidR="007E566E" w:rsidRPr="007E566E">
        <w:rPr>
          <w:sz w:val="24"/>
          <w:lang w:val="sk-SK"/>
        </w:rPr>
        <w:tab/>
      </w:r>
      <w:r w:rsidRPr="007E566E">
        <w:rPr>
          <w:sz w:val="24"/>
          <w:lang w:val="sk-SK"/>
        </w:rPr>
        <w:t>Ú. v. EÚ L 347, 20.12.2013, s. 320.</w:t>
      </w:r>
    </w:p>
  </w:footnote>
  <w:footnote w:id="8">
    <w:p w:rsidR="005F53D3" w:rsidRPr="007E566E" w:rsidRDefault="005F53D3" w:rsidP="007E566E">
      <w:pPr>
        <w:pStyle w:val="FootnoteText1"/>
        <w:ind w:left="567" w:hanging="567"/>
        <w:jc w:val="left"/>
        <w:rPr>
          <w:sz w:val="24"/>
          <w:lang w:val="sk-SK"/>
        </w:rPr>
      </w:pPr>
      <w:r w:rsidRPr="007E566E">
        <w:rPr>
          <w:rStyle w:val="FootnoteReference"/>
          <w:sz w:val="24"/>
          <w:lang w:val="sk-SK"/>
        </w:rPr>
        <w:footnoteRef/>
      </w:r>
      <w:r w:rsidR="007E566E" w:rsidRPr="007E566E">
        <w:rPr>
          <w:sz w:val="24"/>
          <w:lang w:val="sk-SK"/>
        </w:rPr>
        <w:t xml:space="preserve"> </w:t>
      </w:r>
      <w:r w:rsidR="007E566E" w:rsidRPr="007E566E">
        <w:rPr>
          <w:sz w:val="24"/>
          <w:lang w:val="sk-SK"/>
        </w:rPr>
        <w:tab/>
      </w:r>
      <w:r w:rsidRPr="007E566E">
        <w:rPr>
          <w:sz w:val="24"/>
          <w:lang w:val="sk-SK"/>
        </w:rPr>
        <w:t>Ú. v. EÚ C 125, 5.4.2023, s. 56.</w:t>
      </w:r>
    </w:p>
  </w:footnote>
  <w:footnote w:id="9">
    <w:p w:rsidR="005F53D3" w:rsidRPr="007E566E" w:rsidRDefault="005F53D3" w:rsidP="007E566E">
      <w:pPr>
        <w:pStyle w:val="FootnoteText1"/>
        <w:ind w:left="567" w:hanging="567"/>
        <w:jc w:val="left"/>
        <w:rPr>
          <w:sz w:val="24"/>
          <w:lang w:val="sk-SK"/>
        </w:rPr>
      </w:pPr>
      <w:r w:rsidRPr="007E566E">
        <w:rPr>
          <w:rStyle w:val="FootnoteReference"/>
          <w:sz w:val="24"/>
          <w:lang w:val="sk-SK"/>
        </w:rPr>
        <w:footnoteRef/>
      </w:r>
      <w:r w:rsidR="007E566E" w:rsidRPr="007E566E">
        <w:rPr>
          <w:sz w:val="24"/>
          <w:lang w:val="sk-SK"/>
        </w:rPr>
        <w:t xml:space="preserve"> </w:t>
      </w:r>
      <w:r w:rsidR="007E566E" w:rsidRPr="007E566E">
        <w:rPr>
          <w:sz w:val="24"/>
          <w:lang w:val="sk-SK"/>
        </w:rPr>
        <w:tab/>
      </w:r>
      <w:r w:rsidRPr="007E566E">
        <w:rPr>
          <w:sz w:val="24"/>
          <w:lang w:val="sk-SK"/>
        </w:rPr>
        <w:t>Ú. v. EÚ C 177, 17.5.2023, s. 35.</w:t>
      </w:r>
    </w:p>
  </w:footnote>
  <w:footnote w:id="10">
    <w:p w:rsidR="005F53D3" w:rsidRPr="007E566E" w:rsidRDefault="005F53D3" w:rsidP="007E566E">
      <w:pPr>
        <w:pStyle w:val="FootnoteText1"/>
        <w:ind w:left="567" w:hanging="567"/>
        <w:jc w:val="left"/>
        <w:rPr>
          <w:sz w:val="24"/>
          <w:lang w:val="sk-SK"/>
        </w:rPr>
      </w:pPr>
      <w:r w:rsidRPr="007E566E">
        <w:rPr>
          <w:rStyle w:val="FootnoteReference"/>
          <w:sz w:val="24"/>
          <w:lang w:val="sk-SK"/>
        </w:rPr>
        <w:footnoteRef/>
      </w:r>
      <w:r w:rsidR="007E566E" w:rsidRPr="007E566E">
        <w:rPr>
          <w:sz w:val="24"/>
          <w:lang w:val="sk-SK"/>
        </w:rPr>
        <w:t xml:space="preserve"> </w:t>
      </w:r>
      <w:r w:rsidR="007E566E" w:rsidRPr="007E566E">
        <w:rPr>
          <w:sz w:val="24"/>
          <w:lang w:val="sk-SK"/>
        </w:rPr>
        <w:tab/>
      </w:r>
      <w:r w:rsidRPr="007E566E">
        <w:rPr>
          <w:sz w:val="24"/>
          <w:lang w:val="sk-SK"/>
        </w:rPr>
        <w:t>Ú. v. EÚ C 125, 5.4.2023, s. 100.</w:t>
      </w:r>
    </w:p>
  </w:footnote>
  <w:footnote w:id="11">
    <w:p w:rsidR="005F53D3" w:rsidRPr="007E566E" w:rsidRDefault="005F53D3" w:rsidP="007E566E">
      <w:pPr>
        <w:pStyle w:val="FootnoteText1"/>
        <w:ind w:left="567" w:hanging="567"/>
        <w:jc w:val="left"/>
        <w:rPr>
          <w:sz w:val="24"/>
          <w:lang w:val="sk-SK"/>
        </w:rPr>
      </w:pPr>
      <w:r w:rsidRPr="007E566E">
        <w:rPr>
          <w:rStyle w:val="FootnoteReference"/>
          <w:sz w:val="24"/>
          <w:lang w:val="sk-SK"/>
        </w:rPr>
        <w:footnoteRef/>
      </w:r>
      <w:r w:rsidR="007E566E" w:rsidRPr="007E566E">
        <w:rPr>
          <w:sz w:val="24"/>
          <w:lang w:val="sk-SK"/>
        </w:rPr>
        <w:t xml:space="preserve"> </w:t>
      </w:r>
      <w:r w:rsidR="007E566E" w:rsidRPr="007E566E">
        <w:rPr>
          <w:sz w:val="24"/>
          <w:lang w:val="sk-SK"/>
        </w:rPr>
        <w:tab/>
      </w:r>
      <w:r w:rsidRPr="007E566E">
        <w:rPr>
          <w:sz w:val="24"/>
          <w:lang w:val="sk-SK"/>
        </w:rPr>
        <w:t>Ú. v. EÚ C 342, 6.9.2022, s. 2.</w:t>
      </w:r>
    </w:p>
  </w:footnote>
  <w:footnote w:id="12">
    <w:p w:rsidR="005F53D3" w:rsidRPr="007E566E" w:rsidRDefault="005F53D3" w:rsidP="007E566E">
      <w:pPr>
        <w:pStyle w:val="FootnoteText"/>
        <w:ind w:left="567" w:hanging="567"/>
        <w:rPr>
          <w:sz w:val="24"/>
          <w:lang w:val="sk-SK"/>
        </w:rPr>
      </w:pPr>
      <w:r w:rsidRPr="007E566E">
        <w:rPr>
          <w:rStyle w:val="FootnoteReference"/>
          <w:sz w:val="24"/>
          <w:lang w:val="sk-SK"/>
        </w:rPr>
        <w:footnoteRef/>
      </w:r>
      <w:r w:rsidR="007E566E" w:rsidRPr="007E566E">
        <w:rPr>
          <w:sz w:val="24"/>
          <w:lang w:val="sk-SK"/>
        </w:rPr>
        <w:t xml:space="preserve"> </w:t>
      </w:r>
      <w:r w:rsidR="007E566E" w:rsidRPr="007E566E">
        <w:rPr>
          <w:sz w:val="24"/>
          <w:lang w:val="sk-SK"/>
        </w:rPr>
        <w:tab/>
      </w:r>
      <w:r w:rsidRPr="007E566E">
        <w:rPr>
          <w:sz w:val="24"/>
          <w:lang w:val="sk-SK"/>
        </w:rPr>
        <w:t>Ú. v. EÚ C 15, 12.1.2022, s. 125.</w:t>
      </w:r>
    </w:p>
  </w:footnote>
  <w:footnote w:id="13">
    <w:p w:rsidR="005F53D3" w:rsidRPr="007E566E" w:rsidRDefault="005F53D3" w:rsidP="007E566E">
      <w:pPr>
        <w:pStyle w:val="FootnoteText"/>
        <w:ind w:left="567" w:hanging="567"/>
        <w:rPr>
          <w:sz w:val="24"/>
          <w:lang w:val="sk-SK"/>
        </w:rPr>
      </w:pPr>
      <w:r w:rsidRPr="007E566E">
        <w:rPr>
          <w:rStyle w:val="FootnoteReference"/>
          <w:sz w:val="24"/>
          <w:lang w:val="sk-SK"/>
        </w:rPr>
        <w:footnoteRef/>
      </w:r>
      <w:r w:rsidR="007E566E" w:rsidRPr="007E566E">
        <w:rPr>
          <w:sz w:val="24"/>
          <w:lang w:val="sk-SK"/>
        </w:rPr>
        <w:t xml:space="preserve"> </w:t>
      </w:r>
      <w:r w:rsidR="007E566E" w:rsidRPr="007E566E">
        <w:rPr>
          <w:sz w:val="24"/>
          <w:lang w:val="sk-SK"/>
        </w:rPr>
        <w:tab/>
      </w:r>
      <w:r w:rsidRPr="007E566E">
        <w:rPr>
          <w:sz w:val="24"/>
          <w:lang w:val="sk-SK"/>
        </w:rPr>
        <w:t>Ú. v. EÚ C 494, 8.12.2021, s. 26.</w:t>
      </w:r>
    </w:p>
  </w:footnote>
  <w:footnote w:id="14">
    <w:p w:rsidR="005F53D3" w:rsidRPr="007E566E" w:rsidRDefault="005F53D3" w:rsidP="007E566E">
      <w:pPr>
        <w:pStyle w:val="FootnoteText1"/>
        <w:ind w:left="567" w:hanging="567"/>
        <w:jc w:val="left"/>
        <w:rPr>
          <w:sz w:val="24"/>
          <w:szCs w:val="16"/>
          <w:lang w:val="sk-SK"/>
        </w:rPr>
      </w:pPr>
      <w:r w:rsidRPr="007E566E">
        <w:rPr>
          <w:rStyle w:val="FootnoteReference"/>
          <w:sz w:val="24"/>
          <w:lang w:val="sk-SK"/>
        </w:rPr>
        <w:footnoteRef/>
      </w:r>
      <w:r w:rsidR="007E566E" w:rsidRPr="007E566E">
        <w:rPr>
          <w:sz w:val="24"/>
          <w:lang w:val="sk-SK"/>
        </w:rPr>
        <w:t xml:space="preserve"> </w:t>
      </w:r>
      <w:r w:rsidR="007E566E" w:rsidRPr="007E566E">
        <w:rPr>
          <w:sz w:val="24"/>
          <w:lang w:val="sk-SK"/>
        </w:rPr>
        <w:tab/>
      </w:r>
      <w:r w:rsidRPr="00D7496D">
        <w:rPr>
          <w:sz w:val="24"/>
          <w:lang w:val="sk-SK"/>
        </w:rPr>
        <w:t>Ú. v. EÚ</w:t>
      </w:r>
      <w:r w:rsidRPr="007E566E">
        <w:rPr>
          <w:sz w:val="24"/>
          <w:lang w:val="sk-SK"/>
        </w:rPr>
        <w:t xml:space="preserve"> C 162, 10.5.2019, s. 31.</w:t>
      </w:r>
    </w:p>
  </w:footnote>
  <w:footnote w:id="15">
    <w:p w:rsidR="005F53D3" w:rsidRPr="007E566E" w:rsidRDefault="005F53D3" w:rsidP="007E566E">
      <w:pPr>
        <w:pStyle w:val="FootnoteText"/>
        <w:ind w:left="567" w:hanging="567"/>
        <w:rPr>
          <w:sz w:val="24"/>
          <w:lang w:val="sk-SK"/>
        </w:rPr>
      </w:pPr>
      <w:r w:rsidRPr="007E566E">
        <w:rPr>
          <w:rStyle w:val="FootnoteReference"/>
          <w:sz w:val="24"/>
          <w:lang w:val="sk-SK"/>
        </w:rPr>
        <w:footnoteRef/>
      </w:r>
      <w:r w:rsidR="007E566E" w:rsidRPr="007E566E">
        <w:rPr>
          <w:sz w:val="24"/>
          <w:lang w:val="sk-SK"/>
        </w:rPr>
        <w:t xml:space="preserve"> </w:t>
      </w:r>
      <w:r w:rsidR="007E566E" w:rsidRPr="007E566E">
        <w:rPr>
          <w:sz w:val="24"/>
          <w:lang w:val="sk-SK"/>
        </w:rPr>
        <w:tab/>
      </w:r>
      <w:r w:rsidRPr="007E566E">
        <w:rPr>
          <w:sz w:val="24"/>
          <w:lang w:val="sk-SK"/>
        </w:rPr>
        <w:t>Ú. v. EÚ C 429, 11.12.2020, s. 145.</w:t>
      </w:r>
    </w:p>
  </w:footnote>
  <w:footnote w:id="16">
    <w:p w:rsidR="005F53D3" w:rsidRPr="007E566E" w:rsidRDefault="005F53D3" w:rsidP="007E566E">
      <w:pPr>
        <w:pStyle w:val="FootnoteText"/>
        <w:ind w:left="567" w:hanging="567"/>
        <w:rPr>
          <w:sz w:val="24"/>
          <w:lang w:val="sk-SK"/>
        </w:rPr>
      </w:pPr>
      <w:r w:rsidRPr="007E566E">
        <w:rPr>
          <w:rStyle w:val="FootnoteReference"/>
          <w:sz w:val="24"/>
          <w:lang w:val="sk-SK"/>
        </w:rPr>
        <w:footnoteRef/>
      </w:r>
      <w:r w:rsidR="007E566E" w:rsidRPr="007E566E">
        <w:rPr>
          <w:sz w:val="24"/>
          <w:lang w:val="sk-SK"/>
        </w:rPr>
        <w:t xml:space="preserve"> </w:t>
      </w:r>
      <w:r w:rsidR="007E566E" w:rsidRPr="007E566E">
        <w:rPr>
          <w:sz w:val="24"/>
          <w:lang w:val="sk-SK"/>
        </w:rPr>
        <w:tab/>
      </w:r>
      <w:r w:rsidRPr="007E566E">
        <w:rPr>
          <w:sz w:val="24"/>
          <w:lang w:val="sk-SK"/>
        </w:rPr>
        <w:t>In-</w:t>
      </w:r>
      <w:proofErr w:type="spellStart"/>
      <w:r w:rsidRPr="007E566E">
        <w:rPr>
          <w:sz w:val="24"/>
          <w:lang w:val="sk-SK"/>
        </w:rPr>
        <w:t>depth</w:t>
      </w:r>
      <w:proofErr w:type="spellEnd"/>
      <w:r w:rsidRPr="007E566E">
        <w:rPr>
          <w:sz w:val="24"/>
          <w:lang w:val="sk-SK"/>
        </w:rPr>
        <w:t xml:space="preserve"> </w:t>
      </w:r>
      <w:proofErr w:type="spellStart"/>
      <w:r w:rsidRPr="007E566E">
        <w:rPr>
          <w:sz w:val="24"/>
          <w:lang w:val="sk-SK"/>
        </w:rPr>
        <w:t>analysis</w:t>
      </w:r>
      <w:proofErr w:type="spellEnd"/>
      <w:r w:rsidRPr="007E566E">
        <w:rPr>
          <w:sz w:val="24"/>
          <w:lang w:val="sk-SK"/>
        </w:rPr>
        <w:t xml:space="preserve"> – ‘</w:t>
      </w:r>
      <w:proofErr w:type="spellStart"/>
      <w:r w:rsidRPr="007E566E">
        <w:rPr>
          <w:sz w:val="24"/>
          <w:lang w:val="sk-SK"/>
        </w:rPr>
        <w:t>Territorial</w:t>
      </w:r>
      <w:proofErr w:type="spellEnd"/>
      <w:r w:rsidRPr="007E566E">
        <w:rPr>
          <w:sz w:val="24"/>
          <w:lang w:val="sk-SK"/>
        </w:rPr>
        <w:t xml:space="preserve"> Agenda 2030 – </w:t>
      </w:r>
      <w:proofErr w:type="spellStart"/>
      <w:r w:rsidRPr="007E566E">
        <w:rPr>
          <w:sz w:val="24"/>
          <w:lang w:val="sk-SK"/>
        </w:rPr>
        <w:t>Implementation</w:t>
      </w:r>
      <w:proofErr w:type="spellEnd"/>
      <w:r w:rsidRPr="007E566E">
        <w:rPr>
          <w:sz w:val="24"/>
          <w:lang w:val="sk-SK"/>
        </w:rPr>
        <w:t xml:space="preserve"> </w:t>
      </w:r>
      <w:proofErr w:type="spellStart"/>
      <w:r w:rsidRPr="007E566E">
        <w:rPr>
          <w:sz w:val="24"/>
          <w:lang w:val="sk-SK"/>
        </w:rPr>
        <w:t>Review</w:t>
      </w:r>
      <w:proofErr w:type="spellEnd"/>
      <w:r w:rsidRPr="007E566E">
        <w:rPr>
          <w:sz w:val="24"/>
          <w:lang w:val="sk-SK"/>
        </w:rPr>
        <w:t xml:space="preserve"> (Podrobná analýza – Územná agenda 2030 – Preskúmanie vykonávania), Európsky parlament, Generálne riaditeľstvo pre vnútorné politiky, tematická sekcia B pre štrukturálne politiky a politiky súdržnosti, 7. júna 2023.</w:t>
      </w:r>
    </w:p>
  </w:footnote>
  <w:footnote w:id="17">
    <w:p w:rsidR="005F53D3" w:rsidRPr="007E566E" w:rsidRDefault="005F53D3" w:rsidP="007E566E">
      <w:pPr>
        <w:pStyle w:val="FootnoteText1"/>
        <w:ind w:left="567" w:hanging="567"/>
        <w:jc w:val="left"/>
        <w:rPr>
          <w:sz w:val="24"/>
          <w:u w:val="single"/>
          <w:lang w:val="sk-SK"/>
        </w:rPr>
      </w:pPr>
      <w:r w:rsidRPr="007E566E">
        <w:rPr>
          <w:rStyle w:val="FootnoteReference"/>
          <w:sz w:val="24"/>
          <w:lang w:val="sk-SK"/>
        </w:rPr>
        <w:footnoteRef/>
      </w:r>
      <w:r w:rsidR="007E566E" w:rsidRPr="007E566E">
        <w:rPr>
          <w:sz w:val="24"/>
          <w:lang w:val="sk-SK"/>
        </w:rPr>
        <w:t xml:space="preserve"> </w:t>
      </w:r>
      <w:r w:rsidR="007E566E" w:rsidRPr="007E566E">
        <w:rPr>
          <w:sz w:val="24"/>
          <w:lang w:val="sk-SK"/>
        </w:rPr>
        <w:tab/>
      </w:r>
      <w:r w:rsidRPr="007E566E">
        <w:rPr>
          <w:sz w:val="24"/>
          <w:lang w:val="sk-SK"/>
        </w:rPr>
        <w:t xml:space="preserve">Európska komisia, </w:t>
      </w:r>
      <w:hyperlink r:id="rId1" w:history="1">
        <w:r w:rsidRPr="007E566E">
          <w:rPr>
            <w:rStyle w:val="Hyperlink"/>
            <w:sz w:val="24"/>
            <w:lang w:val="sk-SK"/>
          </w:rPr>
          <w:t>Integrované územné a mestské stratégie:</w:t>
        </w:r>
      </w:hyperlink>
      <w:hyperlink r:id="rId2" w:history="1">
        <w:r w:rsidRPr="007E566E">
          <w:rPr>
            <w:rStyle w:val="Hyperlink"/>
            <w:sz w:val="24"/>
            <w:lang w:val="sk-SK"/>
          </w:rPr>
          <w:t xml:space="preserve"> aká je pridaná hodnota EŠIF v rokoch 2014 – 2020?</w:t>
        </w:r>
      </w:hyperlink>
      <w:hyperlink r:id="rId3" w:history="1">
        <w:r w:rsidRPr="007E566E">
          <w:rPr>
            <w:rStyle w:val="Hyperlink"/>
            <w:sz w:val="24"/>
            <w:lang w:val="sk-SK"/>
          </w:rPr>
          <w:t xml:space="preserve"> – Záverečná správa</w:t>
        </w:r>
      </w:hyperlink>
      <w:r w:rsidRPr="007E566E">
        <w:rPr>
          <w:sz w:val="24"/>
          <w:u w:val="single"/>
          <w:lang w:val="sk-SK"/>
        </w:rPr>
        <w:t xml:space="preserve">’, december 2017. </w:t>
      </w:r>
    </w:p>
  </w:footnote>
  <w:footnote w:id="18">
    <w:p w:rsidR="00B317B9" w:rsidRPr="00A77B87" w:rsidRDefault="00B317B9" w:rsidP="00A77B87">
      <w:pPr>
        <w:pStyle w:val="FootnoteText"/>
        <w:ind w:left="567" w:hanging="567"/>
        <w:rPr>
          <w:lang w:val="sk-SK"/>
        </w:rPr>
      </w:pPr>
      <w:r>
        <w:rPr>
          <w:rStyle w:val="FootnoteReference"/>
        </w:rPr>
        <w:footnoteRef/>
      </w:r>
      <w:r w:rsidRPr="00A77B87">
        <w:rPr>
          <w:lang w:val="sk-SK"/>
        </w:rPr>
        <w:t xml:space="preserve"> </w:t>
      </w:r>
      <w:r>
        <w:rPr>
          <w:lang w:val="sk-SK"/>
        </w:rPr>
        <w:tab/>
      </w:r>
      <w:r w:rsidRPr="00E77005">
        <w:rPr>
          <w:sz w:val="24"/>
          <w:lang w:val="sk-SK"/>
        </w:rPr>
        <w:t>Európska komisia,</w:t>
      </w:r>
      <w:r w:rsidRPr="007E566E">
        <w:rPr>
          <w:sz w:val="24"/>
          <w:u w:val="single"/>
          <w:lang w:val="sk-SK"/>
        </w:rPr>
        <w:t xml:space="preserve"> </w:t>
      </w:r>
      <w:hyperlink r:id="rId4" w:history="1">
        <w:r w:rsidRPr="007E566E">
          <w:rPr>
            <w:rStyle w:val="Hyperlink"/>
            <w:sz w:val="24"/>
            <w:lang w:val="sk-SK"/>
          </w:rPr>
          <w:t>STRAT-</w:t>
        </w:r>
        <w:proofErr w:type="spellStart"/>
        <w:r w:rsidRPr="007E566E">
          <w:rPr>
            <w:rStyle w:val="Hyperlink"/>
            <w:sz w:val="24"/>
            <w:lang w:val="sk-SK"/>
          </w:rPr>
          <w:t>Board</w:t>
        </w:r>
        <w:proofErr w:type="spellEnd"/>
      </w:hyperlink>
      <w:r w:rsidRPr="007E566E">
        <w:rPr>
          <w:rStyle w:val="Hyperlink"/>
          <w:sz w:val="24"/>
          <w:lang w:val="sk-SK"/>
        </w:rPr>
        <w:t>.</w:t>
      </w:r>
    </w:p>
  </w:footnote>
  <w:footnote w:id="19">
    <w:p w:rsidR="00B317B9" w:rsidRPr="00A77B87" w:rsidRDefault="00B317B9" w:rsidP="00A77B87">
      <w:pPr>
        <w:pStyle w:val="FootnoteText"/>
        <w:ind w:left="567" w:hanging="567"/>
        <w:rPr>
          <w:lang w:val="sk-SK"/>
        </w:rPr>
      </w:pPr>
      <w:r>
        <w:rPr>
          <w:rStyle w:val="FootnoteReference"/>
        </w:rPr>
        <w:footnoteRef/>
      </w:r>
      <w:r w:rsidRPr="00A77B87">
        <w:rPr>
          <w:lang w:val="sk-SK"/>
        </w:rPr>
        <w:t xml:space="preserve"> </w:t>
      </w:r>
      <w:r>
        <w:rPr>
          <w:lang w:val="sk-SK"/>
        </w:rPr>
        <w:tab/>
      </w:r>
      <w:r w:rsidRPr="00A77B87">
        <w:rPr>
          <w:sz w:val="24"/>
          <w:lang w:val="sk-SK"/>
        </w:rPr>
        <w:t>Európska komisia,</w:t>
      </w:r>
      <w:r w:rsidRPr="007E566E">
        <w:rPr>
          <w:sz w:val="24"/>
          <w:u w:val="single"/>
          <w:lang w:val="sk-SK"/>
        </w:rPr>
        <w:t xml:space="preserve"> </w:t>
      </w:r>
      <w:hyperlink r:id="rId5" w:anchor="the-chapter" w:history="1">
        <w:proofErr w:type="spellStart"/>
        <w:r w:rsidRPr="007E566E">
          <w:rPr>
            <w:rStyle w:val="Hyperlink"/>
            <w:sz w:val="24"/>
            <w:lang w:val="sk-SK"/>
          </w:rPr>
          <w:t>Handbook</w:t>
        </w:r>
        <w:proofErr w:type="spellEnd"/>
        <w:r w:rsidRPr="007E566E">
          <w:rPr>
            <w:rStyle w:val="Hyperlink"/>
            <w:sz w:val="24"/>
            <w:lang w:val="sk-SK"/>
          </w:rPr>
          <w:t xml:space="preserve"> of </w:t>
        </w:r>
        <w:proofErr w:type="spellStart"/>
        <w:r w:rsidRPr="007E566E">
          <w:rPr>
            <w:rStyle w:val="Hyperlink"/>
            <w:sz w:val="24"/>
            <w:lang w:val="sk-SK"/>
          </w:rPr>
          <w:t>territorial</w:t>
        </w:r>
        <w:proofErr w:type="spellEnd"/>
        <w:r w:rsidRPr="007E566E">
          <w:rPr>
            <w:rStyle w:val="Hyperlink"/>
            <w:sz w:val="24"/>
            <w:lang w:val="sk-SK"/>
          </w:rPr>
          <w:t xml:space="preserve"> and </w:t>
        </w:r>
        <w:proofErr w:type="spellStart"/>
        <w:r w:rsidRPr="007E566E">
          <w:rPr>
            <w:rStyle w:val="Hyperlink"/>
            <w:sz w:val="24"/>
            <w:lang w:val="sk-SK"/>
          </w:rPr>
          <w:t>local</w:t>
        </w:r>
        <w:proofErr w:type="spellEnd"/>
        <w:r w:rsidRPr="007E566E">
          <w:rPr>
            <w:rStyle w:val="Hyperlink"/>
            <w:sz w:val="24"/>
            <w:lang w:val="sk-SK"/>
          </w:rPr>
          <w:t xml:space="preserve"> </w:t>
        </w:r>
        <w:proofErr w:type="spellStart"/>
        <w:r w:rsidRPr="007E566E">
          <w:rPr>
            <w:rStyle w:val="Hyperlink"/>
            <w:sz w:val="24"/>
            <w:lang w:val="sk-SK"/>
          </w:rPr>
          <w:t>development</w:t>
        </w:r>
        <w:proofErr w:type="spellEnd"/>
        <w:r w:rsidRPr="007E566E">
          <w:rPr>
            <w:rStyle w:val="Hyperlink"/>
            <w:sz w:val="24"/>
            <w:lang w:val="sk-SK"/>
          </w:rPr>
          <w:t xml:space="preserve"> </w:t>
        </w:r>
        <w:proofErr w:type="spellStart"/>
        <w:r w:rsidRPr="007E566E">
          <w:rPr>
            <w:rStyle w:val="Hyperlink"/>
            <w:sz w:val="24"/>
            <w:lang w:val="sk-SK"/>
          </w:rPr>
          <w:t>strategies</w:t>
        </w:r>
        <w:proofErr w:type="spellEnd"/>
        <w:r w:rsidRPr="007E566E">
          <w:rPr>
            <w:rStyle w:val="Hyperlink"/>
            <w:sz w:val="24"/>
            <w:lang w:val="sk-SK"/>
          </w:rPr>
          <w:t>’</w:t>
        </w:r>
      </w:hyperlink>
      <w:r w:rsidRPr="007E566E">
        <w:rPr>
          <w:sz w:val="24"/>
          <w:lang w:val="sk-SK"/>
        </w:rPr>
        <w:t>(Príručka stratégií územného a miestneho rozvoja)</w:t>
      </w:r>
      <w:r w:rsidRPr="00A77B87">
        <w:rPr>
          <w:rStyle w:val="Hyperlink"/>
          <w:sz w:val="24"/>
          <w:u w:val="none"/>
          <w:lang w:val="sk-SK"/>
        </w:rPr>
        <w:t>.</w:t>
      </w:r>
    </w:p>
  </w:footnote>
  <w:footnote w:id="20">
    <w:p w:rsidR="00B317B9" w:rsidRPr="00A77B87" w:rsidRDefault="00B317B9" w:rsidP="00A77B87">
      <w:pPr>
        <w:pStyle w:val="FootnoteText"/>
        <w:ind w:left="567" w:hanging="567"/>
        <w:rPr>
          <w:lang w:val="sk-SK"/>
        </w:rPr>
      </w:pPr>
      <w:r>
        <w:rPr>
          <w:rStyle w:val="FootnoteReference"/>
        </w:rPr>
        <w:footnoteRef/>
      </w:r>
      <w:r w:rsidRPr="00A77B87">
        <w:rPr>
          <w:lang w:val="sk-SK"/>
        </w:rPr>
        <w:t xml:space="preserve"> </w:t>
      </w:r>
      <w:r>
        <w:rPr>
          <w:lang w:val="sk-SK"/>
        </w:rPr>
        <w:tab/>
      </w:r>
      <w:r w:rsidRPr="00A77B87">
        <w:rPr>
          <w:sz w:val="24"/>
          <w:lang w:val="sk-SK"/>
        </w:rPr>
        <w:t>Európska komisia,</w:t>
      </w:r>
      <w:r w:rsidRPr="007E566E">
        <w:rPr>
          <w:sz w:val="24"/>
          <w:u w:val="single"/>
          <w:lang w:val="sk-SK"/>
        </w:rPr>
        <w:t xml:space="preserve"> </w:t>
      </w:r>
      <w:hyperlink r:id="rId6" w:anchor="the-chapter" w:history="1">
        <w:proofErr w:type="spellStart"/>
        <w:r w:rsidRPr="007E566E">
          <w:rPr>
            <w:rStyle w:val="Hyperlink"/>
            <w:sz w:val="24"/>
            <w:lang w:val="sk-SK"/>
          </w:rPr>
          <w:t>Handbook</w:t>
        </w:r>
        <w:proofErr w:type="spellEnd"/>
        <w:r w:rsidRPr="007E566E">
          <w:rPr>
            <w:rStyle w:val="Hyperlink"/>
            <w:sz w:val="24"/>
            <w:lang w:val="sk-SK"/>
          </w:rPr>
          <w:t xml:space="preserve"> of </w:t>
        </w:r>
        <w:proofErr w:type="spellStart"/>
        <w:r w:rsidRPr="007E566E">
          <w:rPr>
            <w:rStyle w:val="Hyperlink"/>
            <w:sz w:val="24"/>
            <w:lang w:val="sk-SK"/>
          </w:rPr>
          <w:t>territorial</w:t>
        </w:r>
        <w:proofErr w:type="spellEnd"/>
        <w:r w:rsidRPr="007E566E">
          <w:rPr>
            <w:rStyle w:val="Hyperlink"/>
            <w:sz w:val="24"/>
            <w:lang w:val="sk-SK"/>
          </w:rPr>
          <w:t xml:space="preserve"> and </w:t>
        </w:r>
        <w:proofErr w:type="spellStart"/>
        <w:r w:rsidRPr="007E566E">
          <w:rPr>
            <w:rStyle w:val="Hyperlink"/>
            <w:sz w:val="24"/>
            <w:lang w:val="sk-SK"/>
          </w:rPr>
          <w:t>local</w:t>
        </w:r>
        <w:proofErr w:type="spellEnd"/>
        <w:r w:rsidRPr="007E566E">
          <w:rPr>
            <w:rStyle w:val="Hyperlink"/>
            <w:sz w:val="24"/>
            <w:lang w:val="sk-SK"/>
          </w:rPr>
          <w:t xml:space="preserve"> </w:t>
        </w:r>
        <w:proofErr w:type="spellStart"/>
        <w:r w:rsidRPr="007E566E">
          <w:rPr>
            <w:rStyle w:val="Hyperlink"/>
            <w:sz w:val="24"/>
            <w:lang w:val="sk-SK"/>
          </w:rPr>
          <w:t>development</w:t>
        </w:r>
        <w:proofErr w:type="spellEnd"/>
        <w:r w:rsidRPr="007E566E">
          <w:rPr>
            <w:rStyle w:val="Hyperlink"/>
            <w:sz w:val="24"/>
            <w:lang w:val="sk-SK"/>
          </w:rPr>
          <w:t xml:space="preserve"> </w:t>
        </w:r>
        <w:proofErr w:type="spellStart"/>
        <w:r w:rsidRPr="007E566E">
          <w:rPr>
            <w:rStyle w:val="Hyperlink"/>
            <w:sz w:val="24"/>
            <w:lang w:val="sk-SK"/>
          </w:rPr>
          <w:t>strategies</w:t>
        </w:r>
        <w:proofErr w:type="spellEnd"/>
        <w:r w:rsidRPr="007E566E">
          <w:rPr>
            <w:rStyle w:val="Hyperlink"/>
            <w:sz w:val="24"/>
            <w:lang w:val="sk-SK"/>
          </w:rPr>
          <w:t>’</w:t>
        </w:r>
      </w:hyperlink>
      <w:r w:rsidRPr="007E566E">
        <w:rPr>
          <w:sz w:val="24"/>
          <w:lang w:val="sk-SK"/>
        </w:rPr>
        <w:t>(Príručka stratégií územného a miestneho rozvoja)</w:t>
      </w:r>
      <w:r w:rsidRPr="00A77B87">
        <w:rPr>
          <w:rStyle w:val="Hyperlink"/>
          <w:sz w:val="24"/>
          <w:u w:val="none"/>
          <w:lang w:val="sk-SK"/>
        </w:rPr>
        <w:t>.</w:t>
      </w:r>
    </w:p>
  </w:footnote>
  <w:footnote w:id="21">
    <w:p w:rsidR="005F53D3" w:rsidRPr="007E566E" w:rsidRDefault="005F53D3" w:rsidP="007E566E">
      <w:pPr>
        <w:pStyle w:val="FootnoteText"/>
        <w:ind w:left="567" w:hanging="567"/>
        <w:rPr>
          <w:sz w:val="24"/>
          <w:lang w:val="sk-SK"/>
        </w:rPr>
      </w:pPr>
      <w:r w:rsidRPr="007E566E">
        <w:rPr>
          <w:rStyle w:val="FootnoteReference"/>
          <w:sz w:val="24"/>
          <w:lang w:val="sk-SK"/>
        </w:rPr>
        <w:footnoteRef/>
      </w:r>
      <w:r w:rsidR="007E566E" w:rsidRPr="007E566E">
        <w:rPr>
          <w:sz w:val="24"/>
          <w:lang w:val="sk-SK"/>
        </w:rPr>
        <w:t xml:space="preserve"> </w:t>
      </w:r>
      <w:r w:rsidR="007E566E" w:rsidRPr="007E566E">
        <w:rPr>
          <w:sz w:val="24"/>
          <w:lang w:val="sk-SK"/>
        </w:rPr>
        <w:tab/>
      </w:r>
      <w:r w:rsidRPr="007E566E">
        <w:rPr>
          <w:sz w:val="24"/>
          <w:lang w:val="sk-SK"/>
        </w:rPr>
        <w:t>Nariadenie Európskeho parlamentu a Rady (EÚ) č. 1301/2013 zo 17. decembra 2013 o Európskom fonde regionálneho rozvoja a o osobitných ustanoveniach týkajúcich sa cieľa Investovanie do rastu a zamestnanosti, a ktorým sa zrušuje nariadenie (ES) č. 1080/2006 (Ú. v. EÚ L 347, 20.12.2013, s. 289).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566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566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566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0/2023"/>
    <w:docVar w:name="dvlangue" w:val="SK"/>
    <w:docVar w:name="dvnumam" w:val="0"/>
    <w:docVar w:name="dvpe" w:val="750.084"/>
    <w:docVar w:name="dvrapporteur" w:val="Spravodajca: "/>
    <w:docVar w:name="dvtitre" w:val="Uznesenie Európskeho parlamentu z xx. januára 2024 o vykonávaní územného rozvoja (NSU, hlava III kapitola II) a jeho uplatňovanie v Územnej agende Európskej únie 2030(2023/2048(INI))"/>
  </w:docVars>
  <w:rsids>
    <w:rsidRoot w:val="00C5061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53D3"/>
    <w:rsid w:val="006037C0"/>
    <w:rsid w:val="006631B6"/>
    <w:rsid w:val="00680577"/>
    <w:rsid w:val="006F3DA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566E"/>
    <w:rsid w:val="00814FC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77B87"/>
    <w:rsid w:val="00AB441E"/>
    <w:rsid w:val="00AB6293"/>
    <w:rsid w:val="00AE0928"/>
    <w:rsid w:val="00AF3B82"/>
    <w:rsid w:val="00B1267D"/>
    <w:rsid w:val="00B12E95"/>
    <w:rsid w:val="00B22876"/>
    <w:rsid w:val="00B317B9"/>
    <w:rsid w:val="00B558F0"/>
    <w:rsid w:val="00BD48FE"/>
    <w:rsid w:val="00BD7BD8"/>
    <w:rsid w:val="00BE6ADC"/>
    <w:rsid w:val="00C05BFE"/>
    <w:rsid w:val="00C23CD4"/>
    <w:rsid w:val="00C37C1D"/>
    <w:rsid w:val="00C50618"/>
    <w:rsid w:val="00C61C0C"/>
    <w:rsid w:val="00C941CB"/>
    <w:rsid w:val="00CB1D71"/>
    <w:rsid w:val="00CC2357"/>
    <w:rsid w:val="00CF071A"/>
    <w:rsid w:val="00D058B8"/>
    <w:rsid w:val="00D56C11"/>
    <w:rsid w:val="00D7496D"/>
    <w:rsid w:val="00D834A0"/>
    <w:rsid w:val="00D872DF"/>
    <w:rsid w:val="00D91E21"/>
    <w:rsid w:val="00DA7FCD"/>
    <w:rsid w:val="00E1512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65B5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AD0A86"/>
  <w15:chartTrackingRefBased/>
  <w15:docId w15:val="{06FD21BD-3D77-4E1E-947B-46F19909C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F53D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5F53D3"/>
    <w:pPr>
      <w:spacing w:after="240"/>
    </w:pPr>
  </w:style>
  <w:style w:type="paragraph" w:customStyle="1" w:styleId="PageHeading">
    <w:name w:val="PageHeading"/>
    <w:basedOn w:val="Normal"/>
    <w:rsid w:val="005F53D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5F53D3"/>
    <w:rPr>
      <w:b/>
    </w:rPr>
  </w:style>
  <w:style w:type="paragraph" w:customStyle="1" w:styleId="NormalHanging12a">
    <w:name w:val="NormalHanging12a"/>
    <w:basedOn w:val="Normal"/>
    <w:link w:val="NormalHanging12aChar"/>
    <w:rsid w:val="005F53D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F53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F53D3"/>
    <w:rPr>
      <w:sz w:val="24"/>
      <w:lang w:val="sk-SK"/>
    </w:rPr>
  </w:style>
  <w:style w:type="paragraph" w:customStyle="1" w:styleId="EPFooter">
    <w:name w:val="EPFooter"/>
    <w:basedOn w:val="Normal"/>
    <w:rsid w:val="005F53D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unhideWhenUsed/>
    <w:rsid w:val="005F53D3"/>
    <w:rPr>
      <w:color w:val="0000FF"/>
      <w:u w:val="single"/>
    </w:rPr>
  </w:style>
  <w:style w:type="paragraph" w:customStyle="1" w:styleId="FootnoteText1">
    <w:name w:val="Footnote Text1"/>
    <w:basedOn w:val="Normal"/>
    <w:next w:val="FootnoteText"/>
    <w:semiHidden/>
    <w:rsid w:val="005F53D3"/>
    <w:pPr>
      <w:widowControl/>
      <w:jc w:val="both"/>
    </w:pPr>
    <w:rPr>
      <w:sz w:val="20"/>
      <w:lang w:val="en-GB"/>
    </w:rPr>
  </w:style>
  <w:style w:type="character" w:customStyle="1" w:styleId="FootnoteTextChar1">
    <w:name w:val="Footnote Text Char1"/>
    <w:basedOn w:val="DefaultParagraphFont"/>
    <w:locked/>
    <w:rsid w:val="005F53D3"/>
    <w:rPr>
      <w:lang w:val="sk-SK"/>
    </w:rPr>
  </w:style>
  <w:style w:type="character" w:customStyle="1" w:styleId="NormalHanging12aChar">
    <w:name w:val="NormalHanging12a Char"/>
    <w:basedOn w:val="DefaultParagraphFont"/>
    <w:link w:val="NormalHanging12a"/>
    <w:rsid w:val="005F53D3"/>
    <w:rPr>
      <w:sz w:val="24"/>
      <w:lang w:val="sk-SK"/>
    </w:rPr>
  </w:style>
  <w:style w:type="paragraph" w:customStyle="1" w:styleId="Normal24a">
    <w:name w:val="Normal24a"/>
    <w:basedOn w:val="Normal"/>
    <w:rsid w:val="005F53D3"/>
    <w:pPr>
      <w:spacing w:after="480"/>
    </w:pPr>
  </w:style>
  <w:style w:type="paragraph" w:customStyle="1" w:styleId="PageHeadingNotTOC">
    <w:name w:val="PageHeadingNotTOC"/>
    <w:basedOn w:val="Normal"/>
    <w:rsid w:val="005F53D3"/>
    <w:pPr>
      <w:keepNext/>
      <w:spacing w:after="480"/>
      <w:jc w:val="center"/>
    </w:pPr>
    <w:rPr>
      <w:rFonts w:ascii="Arial" w:hAnsi="Arial" w:cs="Arial"/>
      <w:b/>
    </w:rPr>
  </w:style>
  <w:style w:type="paragraph" w:styleId="Footer">
    <w:name w:val="footer"/>
    <w:basedOn w:val="Normal"/>
    <w:link w:val="FooterChar"/>
    <w:rsid w:val="007E56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E566E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regional_policy/sources/studies/integrated_strategies/integrated_strategies_en.pdf" TargetMode="External"/><Relationship Id="rId2" Type="http://schemas.openxmlformats.org/officeDocument/2006/relationships/hyperlink" Target="https://ec.europa.eu/regional_policy/sources/studies/integrated_strategies/integrated_strategies_en.pdf" TargetMode="External"/><Relationship Id="rId1" Type="http://schemas.openxmlformats.org/officeDocument/2006/relationships/hyperlink" Target="https://ec.europa.eu/regional_policy/sources/studies/integrated_strategies/integrated_strategies_en.pdf" TargetMode="External"/><Relationship Id="rId6" Type="http://schemas.openxmlformats.org/officeDocument/2006/relationships/hyperlink" Target="https://urban.jrc.ec.europa.eu/territorialstrategies/executive-summary" TargetMode="External"/><Relationship Id="rId5" Type="http://schemas.openxmlformats.org/officeDocument/2006/relationships/hyperlink" Target="https://urban.jrc.ec.europa.eu/territorialstrategies/executive-summary" TargetMode="External"/><Relationship Id="rId4" Type="http://schemas.openxmlformats.org/officeDocument/2006/relationships/hyperlink" Target="https://urban.jrc.ec.europa.eu/strat-board/?lng=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7C6ED-1648-498A-A20E-4702507DF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5067</Words>
  <Characters>31659</Characters>
  <Application>Microsoft Office Word</Application>
  <DocSecurity>0</DocSecurity>
  <Lines>263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DINGA-SUPOVA Lucia</cp:lastModifiedBy>
  <cp:revision>2</cp:revision>
  <cp:lastPrinted>2004-11-19T15:42:00Z</cp:lastPrinted>
  <dcterms:created xsi:type="dcterms:W3CDTF">2024-02-22T10:52:00Z</dcterms:created>
  <dcterms:modified xsi:type="dcterms:W3CDTF">2024-02-22T10:52:00Z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A9-0420/2023</vt:lpwstr>
  </property>
  <property fmtid="{D5CDD505-2E9C-101B-9397-08002B2CF9AE}" pid="4" name="&lt;Type&gt;">
    <vt:lpwstr>RR</vt:lpwstr>
  </property>
</Properties>
</file>