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F7C" w:rsidTr="0010095E">
        <w:trPr>
          <w:trHeight w:hRule="exact" w:val="1418"/>
        </w:trPr>
        <w:tc>
          <w:tcPr>
            <w:tcW w:w="6804" w:type="dxa"/>
            <w:shd w:val="clear" w:color="auto" w:fill="auto"/>
            <w:vAlign w:val="center"/>
          </w:tcPr>
          <w:p w:rsidR="00751A4A" w:rsidRPr="00751F7C" w:rsidRDefault="00C82C9E" w:rsidP="0010095E">
            <w:pPr>
              <w:pStyle w:val="EPName"/>
            </w:pPr>
            <w:r w:rsidRPr="00751F7C">
              <w:t>Европейски</w:t>
            </w:r>
            <w:r w:rsidR="00A944D9" w:rsidRPr="00751F7C">
              <w:t xml:space="preserve"> парламент</w:t>
            </w:r>
          </w:p>
          <w:p w:rsidR="00751A4A" w:rsidRPr="00751F7C" w:rsidRDefault="00C82C9E" w:rsidP="00756632">
            <w:pPr>
              <w:pStyle w:val="EPTerm"/>
              <w:rPr>
                <w:rStyle w:val="HideTWBExt"/>
                <w:noProof w:val="0"/>
                <w:vanish w:val="0"/>
                <w:color w:val="auto"/>
              </w:rPr>
            </w:pPr>
            <w:r>
              <w:t>2019 – </w:t>
            </w:r>
            <w:r w:rsidR="00817416" w:rsidRPr="00751F7C">
              <w:t>2024</w:t>
            </w:r>
          </w:p>
        </w:tc>
        <w:tc>
          <w:tcPr>
            <w:tcW w:w="2268" w:type="dxa"/>
            <w:shd w:val="clear" w:color="auto" w:fill="auto"/>
          </w:tcPr>
          <w:p w:rsidR="00751A4A" w:rsidRPr="00751F7C" w:rsidRDefault="00187494" w:rsidP="0010095E">
            <w:pPr>
              <w:pStyle w:val="EPLogo"/>
            </w:pPr>
            <w:r w:rsidRPr="00751F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1F7C" w:rsidRDefault="00D058B8" w:rsidP="004C5D52">
      <w:pPr>
        <w:pStyle w:val="LineTop"/>
      </w:pPr>
    </w:p>
    <w:p w:rsidR="00680577" w:rsidRPr="00751F7C" w:rsidRDefault="00A944D9" w:rsidP="00680577">
      <w:pPr>
        <w:pStyle w:val="EPBodyTA1"/>
      </w:pPr>
      <w:r w:rsidRPr="00751F7C">
        <w:t>ПРИЕТИ ТЕКСТОВЕ</w:t>
      </w:r>
    </w:p>
    <w:p w:rsidR="00D058B8" w:rsidRPr="00751F7C" w:rsidRDefault="00D058B8" w:rsidP="00D058B8">
      <w:pPr>
        <w:pStyle w:val="LineBottom"/>
      </w:pPr>
    </w:p>
    <w:p w:rsidR="00A944D9" w:rsidRPr="00751F7C" w:rsidRDefault="00A944D9" w:rsidP="00A944D9">
      <w:pPr>
        <w:pStyle w:val="ATHeading1"/>
      </w:pPr>
      <w:bookmarkStart w:id="0" w:name="TANumber"/>
      <w:r w:rsidRPr="00751F7C">
        <w:t>P9_TA(2024)00</w:t>
      </w:r>
      <w:r w:rsidR="00F77D86">
        <w:rPr>
          <w:lang w:val="en-GB"/>
        </w:rPr>
        <w:t>11</w:t>
      </w:r>
      <w:bookmarkEnd w:id="0"/>
    </w:p>
    <w:p w:rsidR="00A944D9" w:rsidRPr="00751F7C" w:rsidRDefault="00A944D9" w:rsidP="00A944D9">
      <w:pPr>
        <w:pStyle w:val="ATHeading2"/>
      </w:pPr>
      <w:bookmarkStart w:id="1" w:name="title"/>
      <w:r w:rsidRPr="00751F7C">
        <w:t>Политика в областта на конкуренцията – годишен доклад за 2023 г.</w:t>
      </w:r>
      <w:bookmarkEnd w:id="1"/>
    </w:p>
    <w:p w:rsidR="00A944D9" w:rsidRPr="00751F7C" w:rsidRDefault="00A944D9" w:rsidP="00A944D9">
      <w:pPr>
        <w:rPr>
          <w:i/>
          <w:vanish/>
        </w:rPr>
      </w:pPr>
      <w:r w:rsidRPr="00751F7C">
        <w:rPr>
          <w:i/>
        </w:rPr>
        <w:fldChar w:fldCharType="begin"/>
      </w:r>
      <w:r w:rsidRPr="00751F7C">
        <w:rPr>
          <w:i/>
        </w:rPr>
        <w:instrText xml:space="preserve"> TC"(</w:instrText>
      </w:r>
      <w:bookmarkStart w:id="2" w:name="DocNumber"/>
      <w:r w:rsidRPr="00751F7C">
        <w:rPr>
          <w:i/>
        </w:rPr>
        <w:instrText>A9-0427/2023</w:instrText>
      </w:r>
      <w:bookmarkEnd w:id="2"/>
      <w:r w:rsidRPr="00751F7C">
        <w:rPr>
          <w:i/>
        </w:rPr>
        <w:instrText xml:space="preserve"> - Докладчик: Стефани Йон</w:instrText>
      </w:r>
      <w:r w:rsidRPr="00751F7C">
        <w:rPr>
          <w:i/>
        </w:rPr>
        <w:noBreakHyphen/>
        <w:instrText xml:space="preserve">Куртен)"\l3 \n&gt; \* MERGEFORMAT </w:instrText>
      </w:r>
      <w:r w:rsidRPr="00751F7C">
        <w:rPr>
          <w:i/>
        </w:rPr>
        <w:fldChar w:fldCharType="end"/>
      </w:r>
    </w:p>
    <w:p w:rsidR="00A944D9" w:rsidRPr="00751F7C" w:rsidRDefault="00A944D9" w:rsidP="00A944D9">
      <w:pPr>
        <w:rPr>
          <w:vanish/>
        </w:rPr>
      </w:pPr>
      <w:bookmarkStart w:id="3" w:name="Commission"/>
      <w:r w:rsidRPr="00751F7C">
        <w:rPr>
          <w:vanish/>
        </w:rPr>
        <w:t>Комисия по икономически и парични въпроси</w:t>
      </w:r>
      <w:bookmarkEnd w:id="3"/>
    </w:p>
    <w:p w:rsidR="00A944D9" w:rsidRPr="00751F7C" w:rsidRDefault="00A944D9" w:rsidP="00A944D9">
      <w:pPr>
        <w:rPr>
          <w:vanish/>
        </w:rPr>
      </w:pPr>
      <w:bookmarkStart w:id="4" w:name="PE"/>
      <w:r w:rsidRPr="00751F7C">
        <w:rPr>
          <w:vanish/>
        </w:rPr>
        <w:t>PE753.544</w:t>
      </w:r>
      <w:bookmarkEnd w:id="4"/>
    </w:p>
    <w:p w:rsidR="00A944D9" w:rsidRPr="00751F7C" w:rsidRDefault="00A944D9" w:rsidP="00C82C9E">
      <w:pPr>
        <w:pStyle w:val="ATHeading3"/>
      </w:pPr>
      <w:bookmarkStart w:id="5" w:name="Sujet"/>
      <w:r w:rsidRPr="00751F7C">
        <w:t xml:space="preserve">Резолюция на Европейския парламент от </w:t>
      </w:r>
      <w:r w:rsidR="00F77D86">
        <w:t>16</w:t>
      </w:r>
      <w:r w:rsidR="00E777EA">
        <w:t xml:space="preserve"> януари</w:t>
      </w:r>
      <w:r w:rsidR="00E777EA" w:rsidRPr="00751F7C">
        <w:t xml:space="preserve"> </w:t>
      </w:r>
      <w:r w:rsidRPr="00751F7C">
        <w:t>2024 г. относно политиката в областта на конкуренцията – годишен доклад за 2023 г.</w:t>
      </w:r>
      <w:bookmarkEnd w:id="5"/>
      <w:r w:rsidRPr="00751F7C">
        <w:t xml:space="preserve"> </w:t>
      </w:r>
      <w:bookmarkStart w:id="6" w:name="References"/>
      <w:r w:rsidRPr="00751F7C">
        <w:t>(2023/2077(INI))</w:t>
      </w:r>
      <w:bookmarkEnd w:id="6"/>
    </w:p>
    <w:p w:rsidR="003A191B" w:rsidRPr="00751F7C" w:rsidRDefault="003A191B" w:rsidP="003A191B">
      <w:pPr>
        <w:pStyle w:val="EPComma"/>
      </w:pPr>
      <w:bookmarkStart w:id="7" w:name="TextBodyBegin"/>
      <w:bookmarkEnd w:id="7"/>
      <w:r w:rsidRPr="00751F7C">
        <w:rPr>
          <w:i/>
        </w:rPr>
        <w:t>Европейският парламент</w:t>
      </w:r>
      <w:r w:rsidRPr="00751F7C">
        <w:t>,</w:t>
      </w:r>
    </w:p>
    <w:p w:rsidR="003A191B" w:rsidRPr="00751F7C" w:rsidRDefault="003A191B" w:rsidP="003A191B">
      <w:pPr>
        <w:pStyle w:val="NormalHanging12a"/>
      </w:pPr>
      <w:r w:rsidRPr="00751F7C">
        <w:t>–</w:t>
      </w:r>
      <w:r w:rsidRPr="00751F7C">
        <w:tab/>
        <w:t>като взе предвид Договора за функционирането на Европейския съюз, и по-специално членове 101 – 109 от него,</w:t>
      </w:r>
    </w:p>
    <w:p w:rsidR="003A191B" w:rsidRPr="00751F7C" w:rsidRDefault="003A191B" w:rsidP="003A191B">
      <w:pPr>
        <w:pStyle w:val="NormalHanging12a"/>
      </w:pPr>
      <w:r w:rsidRPr="00751F7C">
        <w:t>–</w:t>
      </w:r>
      <w:r w:rsidRPr="00751F7C">
        <w:tab/>
        <w:t>като взе предвид относимите правила, насоки, резолюции, обществени консултации, съобщения и документи на Комисията по темата за конкуренцията,</w:t>
      </w:r>
    </w:p>
    <w:p w:rsidR="003A191B" w:rsidRPr="00751F7C" w:rsidRDefault="003A191B" w:rsidP="003A191B">
      <w:pPr>
        <w:pStyle w:val="NormalHanging12a"/>
      </w:pPr>
      <w:r w:rsidRPr="00751F7C">
        <w:t>–</w:t>
      </w:r>
      <w:r w:rsidRPr="00751F7C">
        <w:tab/>
        <w:t>като взе предвид доклада на Комисията от 4 април 2023 г., озаглавен „Доклад относно политиката в областта на конкуренцията за 2022 г.“ (COM(2023)0184) и придружаващия го работен документ на службите на Комисията (SWD(2023)0076),</w:t>
      </w:r>
    </w:p>
    <w:p w:rsidR="003A191B" w:rsidRPr="00751F7C" w:rsidRDefault="003A191B" w:rsidP="003A191B">
      <w:pPr>
        <w:pStyle w:val="NormalHanging12a"/>
      </w:pPr>
      <w:r w:rsidRPr="00751F7C">
        <w:t>–</w:t>
      </w:r>
      <w:r w:rsidRPr="00751F7C">
        <w:tab/>
        <w:t>като взе предвид своята резолюция от 13 юни 2023 г. относно политиката в областта на конкуренцията – годишен доклад за 2022 г.</w:t>
      </w:r>
      <w:r w:rsidRPr="00751F7C">
        <w:rPr>
          <w:rStyle w:val="FootnoteReference"/>
        </w:rPr>
        <w:footnoteReference w:id="1"/>
      </w:r>
      <w:r w:rsidRPr="00751F7C">
        <w:t>,</w:t>
      </w:r>
    </w:p>
    <w:p w:rsidR="003A191B" w:rsidRPr="00751F7C" w:rsidRDefault="003A191B" w:rsidP="003A191B">
      <w:pPr>
        <w:pStyle w:val="NormalHanging12a"/>
      </w:pPr>
      <w:r w:rsidRPr="00751F7C">
        <w:t>–</w:t>
      </w:r>
      <w:r w:rsidRPr="00751F7C">
        <w:tab/>
        <w:t>като взе предвид съобщението на Комисията от 11 декември 2019 г., озаглавено „Европейският зелен пакт“ (COM(2019)0640),</w:t>
      </w:r>
    </w:p>
    <w:p w:rsidR="003A191B" w:rsidRPr="00751F7C" w:rsidRDefault="003A191B" w:rsidP="003A191B">
      <w:pPr>
        <w:pStyle w:val="NormalHanging12a"/>
      </w:pPr>
      <w:r w:rsidRPr="00751F7C">
        <w:t>–</w:t>
      </w:r>
      <w:r w:rsidRPr="00751F7C">
        <w:tab/>
        <w:t>като взе предвид съобщението на Комисията относно преразгледаните насоки относно държавните помощи за насърчаване на инвестициите в рисково финансиране, публикувано на 6 декември 2021 г.,</w:t>
      </w:r>
    </w:p>
    <w:p w:rsidR="003A191B" w:rsidRPr="00751F7C" w:rsidRDefault="003A191B" w:rsidP="003A191B">
      <w:pPr>
        <w:pStyle w:val="NormalHanging12a"/>
      </w:pPr>
      <w:r w:rsidRPr="00751F7C">
        <w:t>–</w:t>
      </w:r>
      <w:r w:rsidRPr="00751F7C">
        <w:tab/>
        <w:t>като взе предвид решението на Съда на Европейския съюз от 13 юли 2022 г. по дело T-227/21</w:t>
      </w:r>
      <w:r w:rsidRPr="00751F7C">
        <w:rPr>
          <w:rStyle w:val="FootnoteReference"/>
        </w:rPr>
        <w:footnoteReference w:id="2"/>
      </w:r>
      <w:r w:rsidRPr="00751F7C">
        <w:t>,</w:t>
      </w:r>
    </w:p>
    <w:p w:rsidR="003A191B" w:rsidRPr="00751F7C" w:rsidRDefault="003A191B" w:rsidP="003A191B">
      <w:pPr>
        <w:pStyle w:val="NormalHanging12a"/>
      </w:pPr>
      <w:r w:rsidRPr="00751F7C">
        <w:t>–</w:t>
      </w:r>
      <w:r w:rsidRPr="00751F7C">
        <w:tab/>
        <w:t>като взе предвид съобщението на Комисията от 24 март 2022 г., озаглавено „Временна рамка за мерки за държавна помощ при кризи в подкрепа на икономиката след агресията на Русия срещу Украйна“</w:t>
      </w:r>
      <w:r w:rsidRPr="00751F7C">
        <w:rPr>
          <w:rStyle w:val="FootnoteReference"/>
        </w:rPr>
        <w:footnoteReference w:id="3"/>
      </w:r>
      <w:r w:rsidRPr="00751F7C">
        <w:t>,</w:t>
      </w:r>
    </w:p>
    <w:p w:rsidR="003A191B" w:rsidRPr="00751F7C" w:rsidRDefault="003A191B" w:rsidP="003A191B">
      <w:pPr>
        <w:pStyle w:val="NormalHanging12a"/>
      </w:pPr>
      <w:r w:rsidRPr="00751F7C">
        <w:t>–</w:t>
      </w:r>
      <w:r w:rsidRPr="00751F7C">
        <w:tab/>
        <w:t xml:space="preserve">като взе предвид Регламент (EO) № 139/2004 на Съвета от 20 януари 2004 г. </w:t>
      </w:r>
      <w:r w:rsidRPr="00751F7C">
        <w:lastRenderedPageBreak/>
        <w:t>относно контрола върху концентрациите между предприятия (Регламент на ЕО за сливанията)</w:t>
      </w:r>
      <w:r w:rsidRPr="00751F7C">
        <w:rPr>
          <w:rStyle w:val="FootnoteReference"/>
        </w:rPr>
        <w:footnoteReference w:id="4"/>
      </w:r>
      <w:r w:rsidRPr="00751F7C">
        <w:t>,</w:t>
      </w:r>
    </w:p>
    <w:p w:rsidR="003A191B" w:rsidRPr="00751F7C" w:rsidRDefault="003A191B" w:rsidP="003A191B">
      <w:pPr>
        <w:pStyle w:val="NormalHanging12a"/>
      </w:pPr>
      <w:r w:rsidRPr="00751F7C">
        <w:t>–</w:t>
      </w:r>
      <w:r w:rsidRPr="00751F7C">
        <w:tab/>
        <w:t>като взе предвид Регламент (EС)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(Законодателен акт за цифровите пазари)</w:t>
      </w:r>
      <w:r w:rsidRPr="00751F7C">
        <w:rPr>
          <w:rStyle w:val="FootnoteReference"/>
        </w:rPr>
        <w:footnoteReference w:id="5"/>
      </w:r>
      <w:r w:rsidRPr="00751F7C">
        <w:t>,</w:t>
      </w:r>
    </w:p>
    <w:p w:rsidR="003A191B" w:rsidRPr="00751F7C" w:rsidRDefault="003A191B" w:rsidP="003A191B">
      <w:pPr>
        <w:pStyle w:val="NormalHanging12a"/>
      </w:pPr>
      <w:r w:rsidRPr="00751F7C">
        <w:t>–</w:t>
      </w:r>
      <w:r w:rsidRPr="00751F7C">
        <w:tab/>
        <w:t>като взе предвид Директива (ЕС) 2019/1 на Европейския парламент и на Съвета от 11 декември 2018 г. за предоставяне на правомощия на органите по конкуренция на държавите членки, за да бъдат по-ефективни в правоприлагането, и за гарантиране на правилното функциониране на вътрешния пазар</w:t>
      </w:r>
      <w:r w:rsidRPr="00751F7C">
        <w:rPr>
          <w:rStyle w:val="FootnoteReference"/>
        </w:rPr>
        <w:footnoteReference w:id="6"/>
      </w:r>
      <w:r w:rsidRPr="00751F7C">
        <w:t>,</w:t>
      </w:r>
    </w:p>
    <w:p w:rsidR="003A191B" w:rsidRPr="00751F7C" w:rsidRDefault="003A191B" w:rsidP="003A191B">
      <w:pPr>
        <w:pStyle w:val="NormalHanging12a"/>
      </w:pPr>
      <w:r w:rsidRPr="00751F7C">
        <w:t>–</w:t>
      </w:r>
      <w:r w:rsidRPr="00751F7C">
        <w:tab/>
        <w:t>като взе предвид Регламент (ЕО) № 1/2003 на Съвета от 16 декември 2002 г. относно изпълнението на правилата за конкуренция, предвидени в членове 81 и 82 от Договора</w:t>
      </w:r>
      <w:r w:rsidRPr="00751F7C">
        <w:rPr>
          <w:rStyle w:val="FootnoteReference"/>
        </w:rPr>
        <w:footnoteReference w:id="7"/>
      </w:r>
      <w:r w:rsidRPr="00751F7C">
        <w:t>,</w:t>
      </w:r>
    </w:p>
    <w:p w:rsidR="003A191B" w:rsidRPr="00751F7C" w:rsidRDefault="003A191B" w:rsidP="003A191B">
      <w:pPr>
        <w:pStyle w:val="NormalHanging12a"/>
      </w:pPr>
      <w:r w:rsidRPr="00751F7C">
        <w:t>–</w:t>
      </w:r>
      <w:r w:rsidRPr="00751F7C">
        <w:tab/>
        <w:t>като взе предвид Регламент (ЕО) № 773/2004 на Комисията от 7 април 2004 г. относно водените от Комисията производства съгласно членове 81 и 82 от Договора за ЕО</w:t>
      </w:r>
      <w:r w:rsidRPr="00751F7C">
        <w:rPr>
          <w:rStyle w:val="FootnoteReference"/>
        </w:rPr>
        <w:footnoteReference w:id="8"/>
      </w:r>
      <w:r w:rsidRPr="00751F7C">
        <w:t>,</w:t>
      </w:r>
    </w:p>
    <w:p w:rsidR="003A191B" w:rsidRPr="00751F7C" w:rsidRDefault="003A191B" w:rsidP="003A191B">
      <w:pPr>
        <w:pStyle w:val="NormalHanging12a"/>
      </w:pPr>
      <w:r w:rsidRPr="00751F7C">
        <w:t>–</w:t>
      </w:r>
      <w:r w:rsidRPr="00751F7C">
        <w:tab/>
        <w:t>като взе предвид съобщението на Комисията от 18 февруари 2022 г., озаглавено „Насоки относно държавната помощ в областта на климата, опазването на околната среда и енергетиката от 2022 г.“</w:t>
      </w:r>
      <w:r w:rsidRPr="00751F7C">
        <w:rPr>
          <w:rStyle w:val="FootnoteReference"/>
        </w:rPr>
        <w:footnoteReference w:id="9"/>
      </w:r>
      <w:r w:rsidRPr="00751F7C">
        <w:t>,</w:t>
      </w:r>
    </w:p>
    <w:p w:rsidR="003A191B" w:rsidRPr="00751F7C" w:rsidRDefault="003A191B" w:rsidP="003A191B">
      <w:pPr>
        <w:pStyle w:val="NormalHanging12a"/>
      </w:pPr>
      <w:r w:rsidRPr="00751F7C">
        <w:t>–</w:t>
      </w:r>
      <w:r w:rsidRPr="00751F7C">
        <w:tab/>
        <w:t>като взе предвид съобщението на Комисията от 31 януари 2023 г., озаглавено „Насоки за държавна помощ за широколентови мрежи“</w:t>
      </w:r>
      <w:r w:rsidRPr="00751F7C">
        <w:rPr>
          <w:rStyle w:val="FootnoteReference"/>
        </w:rPr>
        <w:footnoteReference w:id="10"/>
      </w:r>
      <w:r w:rsidRPr="00751F7C">
        <w:t>,</w:t>
      </w:r>
    </w:p>
    <w:p w:rsidR="003A191B" w:rsidRPr="00751F7C" w:rsidRDefault="003A191B" w:rsidP="003A191B">
      <w:pPr>
        <w:pStyle w:val="NormalHanging12a"/>
      </w:pPr>
      <w:r w:rsidRPr="00751F7C">
        <w:t>–</w:t>
      </w:r>
      <w:r w:rsidRPr="00751F7C">
        <w:tab/>
        <w:t>като взе предвид проекта на известие на Комисията относно определянето на съответния пазар за целите на правото на Съюза в областта на конкуренцията,</w:t>
      </w:r>
    </w:p>
    <w:p w:rsidR="003A191B" w:rsidRPr="00751F7C" w:rsidRDefault="003A191B" w:rsidP="003A191B">
      <w:pPr>
        <w:pStyle w:val="NormalHanging12a"/>
      </w:pPr>
      <w:r w:rsidRPr="00751F7C">
        <w:t>–</w:t>
      </w:r>
      <w:r w:rsidRPr="00751F7C">
        <w:tab/>
        <w:t>като взе предвид работния документ на службите на Комисията от 1 декември 2022 г., озаглавен „Оценка на правилата за държавни субсидии за здравни и социални услуги от общ икономически интерес (УОИИ) и Регламента за помощта de minimis за УОИИ“ (SWD(2022)0388),</w:t>
      </w:r>
    </w:p>
    <w:p w:rsidR="003A191B" w:rsidRPr="00751F7C" w:rsidRDefault="003A191B" w:rsidP="003A191B">
      <w:pPr>
        <w:pStyle w:val="NormalHanging12a"/>
      </w:pPr>
      <w:r w:rsidRPr="00751F7C">
        <w:t>–</w:t>
      </w:r>
      <w:r w:rsidRPr="00751F7C">
        <w:tab/>
        <w:t>като взе предвид влизането в сила на 1 септември 2023 г. на пакета от мерки, приети на 20 април 2023 г., предназначени да опростят и рационализират процедурите за преразглеждане на някои сливания, които не пораждат опасения за конкуренцията (C(2023)2400, C(2023)2401, C(2023)2402),</w:t>
      </w:r>
    </w:p>
    <w:p w:rsidR="003A191B" w:rsidRPr="00751F7C" w:rsidRDefault="003A191B" w:rsidP="003A191B">
      <w:pPr>
        <w:pStyle w:val="NormalHanging12a"/>
      </w:pPr>
      <w:r w:rsidRPr="00751F7C">
        <w:t>–</w:t>
      </w:r>
      <w:r w:rsidRPr="00751F7C">
        <w:tab/>
        <w:t xml:space="preserve">като взе предвид Регламент (ЕС) 2022/2560 на Европейския парламент и на Съвета от 14 декември 2022 г. относно чуждестранните субсидии, които </w:t>
      </w:r>
      <w:r w:rsidRPr="00751F7C">
        <w:lastRenderedPageBreak/>
        <w:t>нарушават вътрешния пазар</w:t>
      </w:r>
      <w:r w:rsidRPr="00751F7C">
        <w:rPr>
          <w:rStyle w:val="FootnoteReference"/>
        </w:rPr>
        <w:footnoteReference w:id="11"/>
      </w:r>
      <w:r w:rsidRPr="00751F7C">
        <w:t>,</w:t>
      </w:r>
    </w:p>
    <w:p w:rsidR="003A191B" w:rsidRPr="00751F7C" w:rsidRDefault="003A191B" w:rsidP="003A191B">
      <w:pPr>
        <w:pStyle w:val="NormalHanging12a"/>
      </w:pPr>
      <w:r w:rsidRPr="00751F7C">
        <w:t>–</w:t>
      </w:r>
      <w:r w:rsidRPr="00751F7C">
        <w:tab/>
        <w:t>като взе предвид речта за състоянието на Съюза на председателя на Комисията г-жа Урсула фон дер Лайен</w:t>
      </w:r>
      <w:r w:rsidRPr="00751F7C">
        <w:rPr>
          <w:rStyle w:val="FootnoteReference"/>
        </w:rPr>
        <w:footnoteReference w:id="12"/>
      </w:r>
      <w:r w:rsidRPr="00751F7C">
        <w:t>,</w:t>
      </w:r>
    </w:p>
    <w:p w:rsidR="003A191B" w:rsidRPr="00751F7C" w:rsidRDefault="003A191B" w:rsidP="003A191B">
      <w:pPr>
        <w:pStyle w:val="NormalHanging12a"/>
      </w:pPr>
      <w:r w:rsidRPr="00751F7C">
        <w:t>–</w:t>
      </w:r>
      <w:r w:rsidRPr="00751F7C">
        <w:tab/>
        <w:t>като взе предвид решението на Комисията от 6 септември 2023 г. относно определянето на контролиращи достъпа предприятия в съответствие с Акта за цифровите пазари,</w:t>
      </w:r>
    </w:p>
    <w:p w:rsidR="003A191B" w:rsidRPr="00751F7C" w:rsidRDefault="003A191B" w:rsidP="003A191B">
      <w:pPr>
        <w:pStyle w:val="NormalHanging12a"/>
      </w:pPr>
      <w:r w:rsidRPr="00751F7C">
        <w:t>–</w:t>
      </w:r>
      <w:r w:rsidRPr="00751F7C">
        <w:tab/>
        <w:t>като взе предвид Регламент за изпълнение (ЕС) 2023/914 на Комисията от 20 април 2023 г. за прилагане на Регламент (ЕО) № 139/2004 на Съвета относно контрола върху концентрациите между предприятия и за отмяна на Регламент (ЕО) № 802/2004 на Комисията</w:t>
      </w:r>
      <w:r w:rsidRPr="00751F7C">
        <w:rPr>
          <w:rStyle w:val="FootnoteReference"/>
        </w:rPr>
        <w:footnoteReference w:id="13"/>
      </w:r>
      <w:r w:rsidRPr="00751F7C">
        <w:t>,</w:t>
      </w:r>
    </w:p>
    <w:p w:rsidR="003A191B" w:rsidRPr="00751F7C" w:rsidRDefault="003A191B" w:rsidP="003A191B">
      <w:pPr>
        <w:pStyle w:val="NormalHanging12a"/>
      </w:pPr>
      <w:r w:rsidRPr="00751F7C">
        <w:t>–</w:t>
      </w:r>
      <w:r w:rsidRPr="00751F7C">
        <w:tab/>
        <w:t>като взе предвид съвместната Европейска декларация на Европейския парламент, Съвета и Европейската комисия относно цифровите права и принципите за цифровото десетилетие от 23 януари 2023 г.</w:t>
      </w:r>
      <w:r w:rsidRPr="00751F7C">
        <w:rPr>
          <w:rStyle w:val="FootnoteReference"/>
        </w:rPr>
        <w:footnoteReference w:id="14"/>
      </w:r>
      <w:r w:rsidRPr="00751F7C">
        <w:t>,</w:t>
      </w:r>
    </w:p>
    <w:p w:rsidR="003A191B" w:rsidRPr="00751F7C" w:rsidRDefault="003A191B" w:rsidP="003A191B">
      <w:pPr>
        <w:pStyle w:val="NormalHanging12a"/>
      </w:pPr>
      <w:r w:rsidRPr="00751F7C">
        <w:t>–</w:t>
      </w:r>
      <w:r w:rsidRPr="00751F7C">
        <w:tab/>
        <w:t>като взе предвид решението на Съда на ЕС от 4 юли 2023 г. по дело C-252/21</w:t>
      </w:r>
      <w:r w:rsidRPr="00751F7C">
        <w:rPr>
          <w:rStyle w:val="FootnoteReference"/>
        </w:rPr>
        <w:footnoteReference w:id="15"/>
      </w:r>
      <w:r w:rsidRPr="00751F7C">
        <w:t>,</w:t>
      </w:r>
    </w:p>
    <w:p w:rsidR="003A191B" w:rsidRPr="00751F7C" w:rsidRDefault="003A191B" w:rsidP="003A191B">
      <w:pPr>
        <w:pStyle w:val="NormalHanging12a"/>
      </w:pPr>
      <w:r w:rsidRPr="00751F7C">
        <w:t>–</w:t>
      </w:r>
      <w:r w:rsidRPr="00751F7C">
        <w:tab/>
        <w:t>като взе предвид документа, озаглавен DG COMP Code of good practices for a transparent, inclusive, faster design and assessment of IPCEIs (Кодекс на добрите практики на ГД „Конкуренция“ за прозрачно, приобщаващо, по-бързо проектиране и оценка на ВПОИ) от 17 май 2023 г.</w:t>
      </w:r>
      <w:r w:rsidRPr="00751F7C">
        <w:rPr>
          <w:rStyle w:val="FootnoteReference"/>
        </w:rPr>
        <w:footnoteReference w:id="16"/>
      </w:r>
      <w:r w:rsidRPr="00751F7C">
        <w:t>,</w:t>
      </w:r>
    </w:p>
    <w:p w:rsidR="003A191B" w:rsidRPr="00751F7C" w:rsidRDefault="003A191B" w:rsidP="003A191B">
      <w:pPr>
        <w:pStyle w:val="NormalHanging12a"/>
      </w:pPr>
      <w:r w:rsidRPr="00751F7C">
        <w:t>–</w:t>
      </w:r>
      <w:r w:rsidRPr="00751F7C">
        <w:tab/>
        <w:t>като взе предвид доклада от 15 декември 2022 г. на Европейския орган за ценни книжа и пазари (ЕОЦКП), озаглавен Report on CRA Market Share Calculation (Доклад относно определянето на пазарния дял на агенциите за кредитен рейтинг),</w:t>
      </w:r>
    </w:p>
    <w:p w:rsidR="003A191B" w:rsidRPr="00751F7C" w:rsidRDefault="003A191B" w:rsidP="003A191B">
      <w:pPr>
        <w:pStyle w:val="NormalHanging12a"/>
      </w:pPr>
      <w:r w:rsidRPr="00751F7C">
        <w:t>–</w:t>
      </w:r>
      <w:r w:rsidRPr="00751F7C">
        <w:tab/>
        <w:t>като взе предвид известието на Комисията от 27 април 2004 г. относно неофициалните насоки във връзка с нови въпроси, отнасящи се до членове 81 и 82 от Договора за ЕО, които възникват в отделни случаи (писма с насоки)</w:t>
      </w:r>
      <w:r w:rsidRPr="00751F7C">
        <w:rPr>
          <w:rStyle w:val="FootnoteReference"/>
        </w:rPr>
        <w:footnoteReference w:id="17"/>
      </w:r>
      <w:r w:rsidRPr="00751F7C">
        <w:t>,</w:t>
      </w:r>
    </w:p>
    <w:p w:rsidR="003A191B" w:rsidRPr="00751F7C" w:rsidRDefault="003A191B" w:rsidP="003A191B">
      <w:pPr>
        <w:pStyle w:val="NormalHanging12a"/>
      </w:pPr>
      <w:r w:rsidRPr="00751F7C">
        <w:t>–</w:t>
      </w:r>
      <w:r w:rsidRPr="00751F7C">
        <w:tab/>
        <w:t>като взе предвид съобщението на Комисията от 21 юли 2023 г., озаглавено „Насоки относно приложимостта на член 101 от Договора за функционирането на Европейския съюз по отношение на споразуменията за хоризонтално сътрудничество“</w:t>
      </w:r>
      <w:r w:rsidRPr="00751F7C">
        <w:rPr>
          <w:rStyle w:val="FootnoteReference"/>
        </w:rPr>
        <w:footnoteReference w:id="18"/>
      </w:r>
      <w:r w:rsidRPr="00751F7C">
        <w:t>,</w:t>
      </w:r>
    </w:p>
    <w:p w:rsidR="003A191B" w:rsidRPr="00751F7C" w:rsidRDefault="003A191B" w:rsidP="003A191B">
      <w:pPr>
        <w:pStyle w:val="NormalHanging12a"/>
      </w:pPr>
      <w:r w:rsidRPr="00751F7C">
        <w:t>–</w:t>
      </w:r>
      <w:r w:rsidRPr="00751F7C">
        <w:tab/>
        <w:t xml:space="preserve">като взе предвид решението на Комисията от 25 септември 2023 г., с което се забранява предложеното придобиване на Flugo Group Holdings AB („eTraveli“') от </w:t>
      </w:r>
      <w:r w:rsidRPr="00751F7C">
        <w:lastRenderedPageBreak/>
        <w:t>Booking Holdings („Booking“),</w:t>
      </w:r>
    </w:p>
    <w:p w:rsidR="003A191B" w:rsidRPr="00751F7C" w:rsidRDefault="003A191B" w:rsidP="003A191B">
      <w:pPr>
        <w:pStyle w:val="NormalHanging12a"/>
      </w:pPr>
      <w:r w:rsidRPr="00751F7C">
        <w:t>–</w:t>
      </w:r>
      <w:r w:rsidRPr="00751F7C">
        <w:tab/>
        <w:t>като взе предвид становището на Европейския икономически и социален комитет</w:t>
      </w:r>
      <w:r w:rsidRPr="00751F7C">
        <w:rPr>
          <w:rStyle w:val="FootnoteReference"/>
        </w:rPr>
        <w:footnoteReference w:id="19"/>
      </w:r>
      <w:r w:rsidRPr="00751F7C">
        <w:t>,</w:t>
      </w:r>
    </w:p>
    <w:p w:rsidR="003A191B" w:rsidRPr="00751F7C" w:rsidRDefault="003A191B" w:rsidP="003A191B">
      <w:pPr>
        <w:pStyle w:val="NormalHanging12a"/>
      </w:pPr>
      <w:r w:rsidRPr="00751F7C">
        <w:t>–</w:t>
      </w:r>
      <w:r w:rsidRPr="00751F7C">
        <w:tab/>
        <w:t>като взе предвид член 54 от своя Правилник за дейността,</w:t>
      </w:r>
    </w:p>
    <w:p w:rsidR="003A191B" w:rsidRPr="00751F7C" w:rsidRDefault="003A191B" w:rsidP="003A191B">
      <w:pPr>
        <w:pStyle w:val="NormalHanging12a"/>
      </w:pPr>
      <w:r w:rsidRPr="00751F7C">
        <w:t>–</w:t>
      </w:r>
      <w:r w:rsidRPr="00751F7C">
        <w:tab/>
        <w:t>като взе предвид доклада на комисията по икономически и парични въпроси (A9-0427/2023),</w:t>
      </w:r>
    </w:p>
    <w:p w:rsidR="003A191B" w:rsidRPr="00751F7C" w:rsidRDefault="003A191B" w:rsidP="003A191B">
      <w:pPr>
        <w:pStyle w:val="NormalHanging12a"/>
      </w:pPr>
      <w:r w:rsidRPr="00751F7C">
        <w:t>A.</w:t>
      </w:r>
      <w:r w:rsidRPr="00751F7C">
        <w:tab/>
        <w:t>като има предвид, че политиката на ЕС в областта на конкуренцията играе важна роля за създаване на справедливи условия за извършване на стопанска дейност на единния пазар, за да се защитят пазарите от концентрации и прекомерно натрупване на пазарна мощ и да се насърчат иновациите и растежът на дружествата – по-специално на малките и средните предприятия (МСП) – в рамките на единния пазар, а впоследствие да се повиши благосъстоянието на потребителите и да се осигури по-голям избор за потребителите и предприятията;</w:t>
      </w:r>
    </w:p>
    <w:p w:rsidR="003A191B" w:rsidRPr="00751F7C" w:rsidRDefault="003A191B" w:rsidP="003A191B">
      <w:pPr>
        <w:pStyle w:val="NormalHanging12a"/>
      </w:pPr>
      <w:r w:rsidRPr="00751F7C">
        <w:t>Б.</w:t>
      </w:r>
      <w:r w:rsidRPr="00751F7C">
        <w:tab/>
        <w:t>като има предвид, че е необходимо плодотворно взаимодействие между политиката в областта на конкуренцията и други секторни политики; като има предвид, че политиката в областта на конкуренцията би могла да допринесе за укрепване на устойчивостта, целостта и конкурентоспособността на вътрешния пазар, както и за постигане на целите на Европейския зелен пакт и Цифровия компас, както и на целите на ЕС, заложени в член 3 от Договора за Европейския съюз (ДЕС);</w:t>
      </w:r>
    </w:p>
    <w:p w:rsidR="003A191B" w:rsidRPr="00751F7C" w:rsidRDefault="003A191B" w:rsidP="003A191B">
      <w:pPr>
        <w:pStyle w:val="NormalHanging12a"/>
      </w:pPr>
      <w:r w:rsidRPr="00751F7C">
        <w:t>В.</w:t>
      </w:r>
      <w:r w:rsidRPr="00751F7C">
        <w:tab/>
        <w:t>като има предвид, че международният обмен и международното сътрудничество са от съществено значение за постигането на еднакви условия на конкуренция в световен мащаб и за справяне по координиран начин с предизвикателствата на двойния цифров и екологичен преход;</w:t>
      </w:r>
    </w:p>
    <w:p w:rsidR="003A191B" w:rsidRPr="00751F7C" w:rsidRDefault="003A191B" w:rsidP="003A191B">
      <w:pPr>
        <w:pStyle w:val="NormalHanging12a"/>
      </w:pPr>
      <w:r w:rsidRPr="00751F7C">
        <w:t>Г.</w:t>
      </w:r>
      <w:r w:rsidRPr="00751F7C">
        <w:tab/>
        <w:t>като има предвид, че геополитическите обстоятелства в световен мащаб също изискват отговорни, конкурентоспособни решения в сферата на политиката в областта на конкуренцията; като има предвид, че ЕС следва да използва всички политически и законодателни инструменти, с които разполага, за да защити целостта, устойчивостта и конкурентоспособността на вътрешния си пазар с оглед на предизвикателствата, породени от нарастващия брой конфликти в целия свят, напрежението в търговията сред конкуриращи се държави, кризата с изменението на климата и инфлационния натиск, както и ниските равнища на икономически растеж; като има предвид, че е необходимо да се намалят вредните зависимости на ЕС от държави извън ЕС и световни сили в области като енергетиката, лекарствата, технологиите или суровините;</w:t>
      </w:r>
    </w:p>
    <w:p w:rsidR="003A191B" w:rsidRPr="00751F7C" w:rsidRDefault="003A191B" w:rsidP="003A191B">
      <w:pPr>
        <w:pStyle w:val="NormalHanging12a"/>
      </w:pPr>
      <w:r w:rsidRPr="00751F7C">
        <w:t>Д.</w:t>
      </w:r>
      <w:r w:rsidRPr="00751F7C">
        <w:tab/>
        <w:t>като има предвид, че Комисията и националните органи за защита на конкуренцията трябва да действат по безпристрастен и обективен начин, за да запазят надеждността на политиката на ЕС в областта на конкуренцията;</w:t>
      </w:r>
    </w:p>
    <w:p w:rsidR="003A191B" w:rsidRPr="00751F7C" w:rsidRDefault="003A191B" w:rsidP="003A191B">
      <w:pPr>
        <w:pStyle w:val="NormalHanging12a"/>
      </w:pPr>
      <w:r w:rsidRPr="00751F7C">
        <w:t>Е.</w:t>
      </w:r>
      <w:r w:rsidRPr="00751F7C">
        <w:tab/>
        <w:t xml:space="preserve">като има предвид, че силата и значението на единния пазар на ЕС в световен мащаб произтича от неговата вътрешна конкурентоспособност и изравнени </w:t>
      </w:r>
      <w:r w:rsidRPr="00751F7C">
        <w:lastRenderedPageBreak/>
        <w:t>еднакви условия на конкуренция;</w:t>
      </w:r>
    </w:p>
    <w:p w:rsidR="003A191B" w:rsidRPr="00751F7C" w:rsidRDefault="003A191B" w:rsidP="003A191B">
      <w:pPr>
        <w:pStyle w:val="NormalHanging12a"/>
        <w:ind w:left="0" w:firstLine="0"/>
        <w:rPr>
          <w:b/>
          <w:i/>
        </w:rPr>
      </w:pPr>
      <w:r w:rsidRPr="00751F7C">
        <w:rPr>
          <w:b/>
          <w:i/>
        </w:rPr>
        <w:t>Ролята на конкуренцията и политическият отговор на войната в Украйна, законът на САЩ за намаляване на инфлацията и продължаващите предизвикателства, произтичащи от пандемията от COVID-19</w:t>
      </w:r>
    </w:p>
    <w:p w:rsidR="003A191B" w:rsidRPr="00751F7C" w:rsidRDefault="003A191B" w:rsidP="003A191B">
      <w:pPr>
        <w:pStyle w:val="NormalHanging12a"/>
      </w:pPr>
      <w:r w:rsidRPr="00751F7C">
        <w:t>1.</w:t>
      </w:r>
      <w:r w:rsidRPr="00751F7C">
        <w:tab/>
        <w:t>призовава Комисията да запази целостта на единния пазар; припомня, че реакцията на закона на САЩ за намаляване на инфлацията не трябва да се основава единствено на използването на държавна помощ, а и на създаването на по-благоприятна среда за извършване на стопанска дейност, на обновена рамка за конкуренция, която да осигурява бързина и гъвкавост на дружествата, които инвестират и се конкурират лоялно в Европа, като същевременно се съобразява с целите на ЕС в областта на климата;</w:t>
      </w:r>
    </w:p>
    <w:p w:rsidR="003A191B" w:rsidRPr="00751F7C" w:rsidRDefault="003A191B" w:rsidP="003A191B">
      <w:pPr>
        <w:pStyle w:val="NormalHanging12a"/>
      </w:pPr>
      <w:r w:rsidRPr="00751F7C">
        <w:t>2.</w:t>
      </w:r>
      <w:r w:rsidRPr="00751F7C">
        <w:tab/>
        <w:t>взема под внимание Временната рамка за държавна помощ при кризи и преход, както и актуализирането на правилата за държавната помощ, които позволяват инвестиции за екологичния и цифровия преход; отбелязва приемането и включването през 2023 г. на „клаузата за съответствие“; призовава Комисията да избягва внимателно създаването на условия за надпревара за субсидиране и да използва инструментите, с които разполага, за да предотвратява и противодейства на нелоялната конкуренция в областта на субсидиите; подчертава, че всяка допълнителна държавна помощ трябва да бъде целенасочена и с временен характер; потвърждава, че държавната помощ следва да е съобразена с целите на политиките на ЕС, като например Зеления пакт и Европейския стълб на социалните права; призовава Комисията да проучи липсата на хармонизация на механизмите за възвръщане на предоставени средства в държавите членки;</w:t>
      </w:r>
    </w:p>
    <w:p w:rsidR="003A191B" w:rsidRPr="00751F7C" w:rsidRDefault="003A191B" w:rsidP="003A191B">
      <w:pPr>
        <w:pStyle w:val="NormalHanging12a"/>
      </w:pPr>
      <w:r w:rsidRPr="00751F7C">
        <w:t>3.</w:t>
      </w:r>
      <w:r w:rsidRPr="00751F7C">
        <w:tab/>
        <w:t>призовава Комисията да гарантира, че всички временни инструменти за държавна помощ са достатъчно целенасочени, за да се избегне разпокъсване на единния пазар;</w:t>
      </w:r>
    </w:p>
    <w:p w:rsidR="003A191B" w:rsidRPr="00751F7C" w:rsidRDefault="003A191B" w:rsidP="003A191B">
      <w:pPr>
        <w:pStyle w:val="NormalHanging12a"/>
      </w:pPr>
      <w:r w:rsidRPr="00751F7C">
        <w:t>4.</w:t>
      </w:r>
      <w:r w:rsidRPr="00751F7C">
        <w:tab/>
        <w:t>подчертава, че за посрещане на нови предизвикателства ще бъдат необходими допълнителни публични и частни инвестиции; подчертава, че бюджетът на ЕС трябва да разполага с достатъчно средства за преодоляване на предизвикателствата на бъдещето, сред които разпокъсаността на вътрешния пазар, като подкрепя промишлената стратегия на ЕС, намалява нашите критични зависимости и осигурява отворената ни стратегическа автономност; подчертава, че тези предизвикателства не може да бъдат преодолени само с публични разходи;</w:t>
      </w:r>
    </w:p>
    <w:p w:rsidR="003A191B" w:rsidRPr="00751F7C" w:rsidRDefault="003A191B" w:rsidP="003A191B">
      <w:pPr>
        <w:pStyle w:val="NormalHanging12a"/>
      </w:pPr>
      <w:r w:rsidRPr="00751F7C">
        <w:t>5.</w:t>
      </w:r>
      <w:r w:rsidRPr="00751F7C">
        <w:tab/>
        <w:t>припомня, че фрагментираният подход към държавната помощ има потенциала да създаде неравни условия на конкуренция във вътрешния пазар на ЕС, тъй като не всички държави имат еднакъв бюджетен марж за предоставяне на подкрепа; поради това призовава да се следи за възможни изкривяващи ефекти и всякаква гъвкавост в публичната подкрепа да се прилага единствено по отношение на подкрепата, предоставяна на равнището на ЕС;</w:t>
      </w:r>
    </w:p>
    <w:p w:rsidR="003A191B" w:rsidRPr="00751F7C" w:rsidRDefault="003A191B" w:rsidP="003A191B">
      <w:pPr>
        <w:pStyle w:val="NormalHanging12a"/>
      </w:pPr>
      <w:r w:rsidRPr="00751F7C">
        <w:t>6.</w:t>
      </w:r>
      <w:r w:rsidRPr="00751F7C">
        <w:tab/>
        <w:t xml:space="preserve">призовава Комисията да проучи как инфлацията влияе върху конкуренцията, като създава стимули за дружествата да си сътрудничат с конкурентите си за </w:t>
      </w:r>
      <w:r w:rsidRPr="00751F7C">
        <w:lastRenderedPageBreak/>
        <w:t>координиране на цените</w:t>
      </w:r>
      <w:r w:rsidRPr="00751F7C">
        <w:rPr>
          <w:rStyle w:val="FootnoteReference"/>
        </w:rPr>
        <w:footnoteReference w:id="20"/>
      </w:r>
      <w:r w:rsidRPr="00751F7C">
        <w:t>, както и какви са последиците от нея за пазарите и за благосъстоянието на потребителите; подчертава необходимостта от подобряване на данните за печалбите с цел ефективно преодоляване на потенциалните последици, тъй като проучванията на Европейската централна банка и Международния валутен фонд показват, че корпоративните печалби са били важен временен фактор за инфлацията; призовава Комисията да следи отблизо, заедно с националните органи за защита на конкуренцията, последиците от антиконкурентно поведение и неговата роля за развитието на инфлацията; отново заявява, че Комисията трябва да използва всички налични инструменти в рамките на законодателството в областта на конкуренцията, за да се справи с кризата с разходите за живот;</w:t>
      </w:r>
    </w:p>
    <w:p w:rsidR="003A191B" w:rsidRPr="00751F7C" w:rsidRDefault="003A191B" w:rsidP="003A191B">
      <w:pPr>
        <w:pStyle w:val="NormalHanging12a"/>
      </w:pPr>
      <w:r w:rsidRPr="00751F7C">
        <w:t>7.</w:t>
      </w:r>
      <w:r w:rsidRPr="00751F7C">
        <w:tab/>
        <w:t>приветства инициативите на органите за защита на конкуренцията в редица държави членки</w:t>
      </w:r>
      <w:r w:rsidRPr="00751F7C">
        <w:rPr>
          <w:rStyle w:val="FootnoteReference"/>
        </w:rPr>
        <w:footnoteReference w:id="21"/>
      </w:r>
      <w:r w:rsidRPr="00751F7C">
        <w:t xml:space="preserve"> за въвеждане на нови правомощия за проучване на пазара, стига те да не водят до фрагментиране на вътрешния пазар; призовава Комисията да въведе подобен инструмент за проучване на пазара, за да се избегнат пропуски в правоприлагането, когато практиките са отвъд националните граници в рамките на ЕС, и да приеме мерки за целия сектор, когато това е необходимо за ефективно справяне с антиконкурентно поведение; припомня инициативата на Комисията за „нов инструмент за конкуренцията“, насочена към преодоляване на несъответствията между правилата на ЕС в областта на конкуренцията и инструментите за намеса срещу структурни проблеми в областта на конкуренцията във всички пазари; отбелязва, че с новия инструмент за конкуренцията Комисията би могла да разследва въпроси, свързани с конкуренцията в цели сектори; призовава Комисията да направи нова оценка на „новия инструмент за конкуренцията“;</w:t>
      </w:r>
    </w:p>
    <w:p w:rsidR="003A191B" w:rsidRPr="00751F7C" w:rsidRDefault="003A191B" w:rsidP="003A191B">
      <w:pPr>
        <w:pStyle w:val="NormalHanging12a"/>
      </w:pPr>
      <w:r w:rsidRPr="00751F7C">
        <w:t>8.</w:t>
      </w:r>
      <w:r w:rsidRPr="00751F7C">
        <w:tab/>
        <w:t>подчертава значението на важните проекти от общоевропейски интерес (ВПОИ) за финансирането на големи транснационални проекти и за постигането на стратегическите приоритети на ЕС; отбелязва специфичните критерии за ВПОИ за анализ на съвместимостта на държавната помощ с вътрешния пазар; изразява съжаление, че изискваните дълги и сложни процедури са често твърде обременяващи за МСП; призовава Комисията и държавите членки да гарантират, че всички уведомления ще бъдат извършени най-късно в рамките на шест месеца; подчертава, че ВПОИ следва да имат истинска европейска добавена стойност;</w:t>
      </w:r>
    </w:p>
    <w:p w:rsidR="003A191B" w:rsidRPr="00751F7C" w:rsidRDefault="003A191B" w:rsidP="003A191B">
      <w:pPr>
        <w:pStyle w:val="NormalHanging12a"/>
      </w:pPr>
      <w:r w:rsidRPr="00751F7C">
        <w:t>9.</w:t>
      </w:r>
      <w:r w:rsidRPr="00751F7C">
        <w:tab/>
        <w:t>призовава Комисията да извърши оценка на начина, по който принципите на ЕС относно конкуренцията се отразяват на предоставянето на услуги от общ икономически интерес също и в светлината на кризата с COVID-19 и по-високите разходи за живот; призовава Комисията да оцени положението на социалните услуги от общ икономически интерес и възможността за освобождаване от данъчно облагане на услугите от общ икономически интерес за достъпно жилищно настаняване;</w:t>
      </w:r>
    </w:p>
    <w:p w:rsidR="003A191B" w:rsidRPr="00751F7C" w:rsidRDefault="003A191B" w:rsidP="003A191B">
      <w:pPr>
        <w:pStyle w:val="NormalHanging12a"/>
      </w:pPr>
      <w:r w:rsidRPr="00751F7C">
        <w:t>10.</w:t>
      </w:r>
      <w:r w:rsidRPr="00751F7C">
        <w:tab/>
        <w:t xml:space="preserve">приветства Насоките на Комисията относно прилагането на законодателството на ЕС в областта на конкуренцията по отношение на колективните трудови договори, в които се пояснява, че законодателството на ЕС в областта на </w:t>
      </w:r>
      <w:r w:rsidRPr="00751F7C">
        <w:lastRenderedPageBreak/>
        <w:t>конкуренцията не пречи на самостоятелно заетите лица, работещи сами, да вземат участие в колективно договаряне; припомня, че самостоятелно заетите лица често имат ограничен или нямат никакъв достъп до колективно договаряне, което може да доведе до несигурни условия на труд;</w:t>
      </w:r>
    </w:p>
    <w:p w:rsidR="003A191B" w:rsidRPr="00751F7C" w:rsidRDefault="003A191B" w:rsidP="003A191B">
      <w:pPr>
        <w:pStyle w:val="NormalHanging12a"/>
      </w:pPr>
      <w:r w:rsidRPr="00751F7C">
        <w:t>11.</w:t>
      </w:r>
      <w:r w:rsidRPr="00751F7C">
        <w:tab/>
        <w:t>припомня неразривната връзка между политиката в областта на конкуренцията и вътрешния пазар, която е ясна от самия текст на членове 101 и 102 от ДФЕС, в които се урежда политиката на ЕС в областта на конкуренцията; приветства факта, че както в своята законодателна, така и в своята политическа дейност, Комисията е признала необходимостта от интегриране на политиката в областта на конкуренцията с целите на вътрешния пазар, които са нейна рамка;</w:t>
      </w:r>
    </w:p>
    <w:p w:rsidR="003A191B" w:rsidRPr="00751F7C" w:rsidRDefault="003A191B" w:rsidP="003A191B">
      <w:pPr>
        <w:pStyle w:val="NormalHanging12a"/>
      </w:pPr>
      <w:r w:rsidRPr="00751F7C">
        <w:t>12.</w:t>
      </w:r>
      <w:r w:rsidRPr="00751F7C">
        <w:tab/>
        <w:t xml:space="preserve">изтъква необходимостта от ефективно справяне с нарушенията на пазара и неефективността на пазара, както и от засилване на конкуренцията чрез премахване на съществуващите неоправдани регулаторни пречки и намаляване на ненужната административна тежест, за да се улесни навлизането на нови конкуренти; </w:t>
      </w:r>
    </w:p>
    <w:p w:rsidR="003A191B" w:rsidRPr="00751F7C" w:rsidRDefault="003A191B" w:rsidP="003A191B">
      <w:pPr>
        <w:pStyle w:val="NormalHanging12a"/>
      </w:pPr>
      <w:r w:rsidRPr="00751F7C">
        <w:t>13.</w:t>
      </w:r>
      <w:r w:rsidRPr="00751F7C">
        <w:rPr>
          <w:b/>
        </w:rPr>
        <w:tab/>
      </w:r>
      <w:r w:rsidRPr="00751F7C">
        <w:t>подчертава значението на решенията на Съда на ЕС по дела C-555/21 (UniCredit Bank Austria) и C-383/18 (Lexitor sp. z o.o.) за гарантиране на еднакви условия на конкуренция на пазара на потребителски кредити и за избягване на нарушаването на конкуренцията;</w:t>
      </w:r>
    </w:p>
    <w:p w:rsidR="003A191B" w:rsidRPr="00751F7C" w:rsidRDefault="003A191B" w:rsidP="003A191B">
      <w:pPr>
        <w:pStyle w:val="NormalHanging12a"/>
        <w:rPr>
          <w:b/>
          <w:i/>
        </w:rPr>
      </w:pPr>
      <w:r w:rsidRPr="00751F7C">
        <w:rPr>
          <w:b/>
          <w:i/>
        </w:rPr>
        <w:t>Прилагане на политиката в областта на конкуренцията и глобални тенденции</w:t>
      </w:r>
    </w:p>
    <w:p w:rsidR="003A191B" w:rsidRPr="00751F7C" w:rsidRDefault="003A191B" w:rsidP="003A191B">
      <w:pPr>
        <w:pStyle w:val="NormalHanging12a"/>
      </w:pPr>
      <w:r w:rsidRPr="00751F7C">
        <w:t>14.</w:t>
      </w:r>
      <w:r w:rsidRPr="00751F7C">
        <w:tab/>
        <w:t>посреща със задоволство съобщението на Комисията, че ще започне антисубсидийно разследване на китайските електрически превозни средства съгласно Регламент (EС) 2016/1037 относно защитата срещу субсидиран внос от държави, които не са членки на Европейския съюз</w:t>
      </w:r>
      <w:r w:rsidRPr="00751F7C">
        <w:rPr>
          <w:rStyle w:val="FootnoteReference"/>
        </w:rPr>
        <w:footnoteReference w:id="22"/>
      </w:r>
      <w:r w:rsidRPr="00751F7C">
        <w:t>; подчертава значението на ефективното прилагане на инструментите на ЕС относно чуждестранните субсидии, включително Регламент (ЕС) 2022/2560 относно чуждестранните субсидии, за да се гарантира смекчаването на потенциално нарушаващите конкуренцията последици за единния пазар; обръща внимание на липсата на ресурси, тъй като Комисията разполага само с осем еквиваленти на пълно работно време (ЕПРВ);</w:t>
      </w:r>
    </w:p>
    <w:p w:rsidR="003A191B" w:rsidRPr="00751F7C" w:rsidRDefault="003A191B" w:rsidP="003A191B">
      <w:pPr>
        <w:pStyle w:val="NormalHanging12a"/>
      </w:pPr>
      <w:r w:rsidRPr="00751F7C">
        <w:t>15.</w:t>
      </w:r>
      <w:r w:rsidRPr="00751F7C">
        <w:tab/>
        <w:t>призовава Комисията да модернизира правилата за обществените поръчки, за да се справи с новите приоритети и оперативни предизвикателства с цел да се подпомогне насърчаването на по-екологична индустрия и европейски стандарти;</w:t>
      </w:r>
    </w:p>
    <w:p w:rsidR="003A191B" w:rsidRPr="00751F7C" w:rsidRDefault="003A191B" w:rsidP="003A191B">
      <w:pPr>
        <w:pStyle w:val="NormalHanging12a"/>
      </w:pPr>
      <w:r w:rsidRPr="00751F7C">
        <w:t>16.</w:t>
      </w:r>
      <w:r w:rsidRPr="00751F7C">
        <w:tab/>
        <w:t xml:space="preserve">подчертава, че правилата на ЕС в областта на конкуренцията следва да допринасят за постигането на целта на ЕС, определена в член 3 от ДЕС; подчертава, че „справедливата цена“ на продуктите не е възможно най-ниската за потребителя цена, а цената, която позволява справедливо възнаграждение за всички страни по веригата на доставки, без да води до отрицателни външни ефекти; подчертава, че прилагането на политиката в областта на конкуренцията в полза на потребителите следва да включва не само съображения относно ценовите равнища, но и съображения, свързани с устойчивостта и въздействието върху </w:t>
      </w:r>
      <w:r w:rsidRPr="00751F7C">
        <w:lastRenderedPageBreak/>
        <w:t>личния живот на гражданите;</w:t>
      </w:r>
    </w:p>
    <w:p w:rsidR="003A191B" w:rsidRPr="00751F7C" w:rsidRDefault="003A191B" w:rsidP="003A191B">
      <w:pPr>
        <w:pStyle w:val="NormalHanging12a"/>
      </w:pPr>
      <w:r w:rsidRPr="00751F7C">
        <w:t>17.</w:t>
      </w:r>
      <w:r w:rsidRPr="00751F7C">
        <w:tab/>
        <w:t>подчертава ключовата роля на Европейската мрежа по конкуренция (ЕМК) като форум за насърчаване на взаимодействието и сътрудничеството между европейските органи за защита на конкуренцията; призовава Комисията да се стреми към непрекъснат конструктивен диалог и сътрудничество на международно равнище; подчертава необходимостта от засилване на сътрудничеството между антитръстовите и други секторни регулаторни органи, като например занимаващите се със защитата на личните данни, за да се упражнява надзор върху злоупотребата с корпоративни данни и да се попречи на дружествата да използват данни на потребителите с цел постигане на нелоялно конкурентно предимство; приветства важната роля на националните компетентни органи за защита на конкуренцията в прилагането на правилата на Акта за цифровите пазари и националните законодателни инициативи, които се въвеждат за справяне с антиконкурентното поведение на големи онлайн платформи в цифровите сектори; във връзка с това подчертава значението на координираните и хомогенни действия, които не подкопават прилагането на Акта за цифровите пазари, от една страна, и националните правила в областта на конкуренцията в цифровия сектор, от друга, както е предвидено в член 1, параграф 6 от Акта за цифровите пазари;</w:t>
      </w:r>
    </w:p>
    <w:p w:rsidR="003A191B" w:rsidRPr="00751F7C" w:rsidRDefault="003A191B" w:rsidP="003A191B">
      <w:pPr>
        <w:pStyle w:val="NormalHanging12a"/>
      </w:pPr>
      <w:r w:rsidRPr="00751F7C">
        <w:t>18.</w:t>
      </w:r>
      <w:r w:rsidRPr="00751F7C">
        <w:tab/>
        <w:t>посочва, че в един глобализиран свят международното сътрудничество е от решаващо значение за гарантирането на ефективно прилагане на законодателството в областта на конкуренцията; подчертава, че специални споразумения за сътрудничество с държави извън ЕС относно политиката в областта на конкуренцията могат да имат съществен принос за нейната ефективност; призовава Комисията да разшири влиянието на политиката в областта на конкуренцията по света, по-специално чрез засилване на сътрудничеството с държави извън ЕС посредством споразумения за сътрудничество от второ поколение, които позволяват по-ефективен обмен на информация между органите за защита на конкуренцията;</w:t>
      </w:r>
    </w:p>
    <w:p w:rsidR="003A191B" w:rsidRPr="00751F7C" w:rsidRDefault="003A191B" w:rsidP="003A191B">
      <w:pPr>
        <w:pStyle w:val="NormalHanging12a"/>
      </w:pPr>
      <w:r w:rsidRPr="00751F7C">
        <w:t>19.</w:t>
      </w:r>
      <w:r w:rsidRPr="00751F7C">
        <w:tab/>
        <w:t>призовава Комисията при прилагането на законодателството в областта на защитата на конкуренцията да използва в по-голяма степен допълнителни доказателствени инструменти, като например поведенческа информация и финансови анализи, и да привлича в по-голяма степен учени, работещи в областта на данните, компютърните системи и изкуствения интелект, както и поведенчески икономисти;</w:t>
      </w:r>
    </w:p>
    <w:p w:rsidR="003A191B" w:rsidRPr="00751F7C" w:rsidRDefault="003A191B" w:rsidP="003A191B">
      <w:pPr>
        <w:pStyle w:val="NormalHanging12a"/>
      </w:pPr>
      <w:r w:rsidRPr="00751F7C">
        <w:t>20.</w:t>
      </w:r>
      <w:r w:rsidRPr="00751F7C">
        <w:tab/>
        <w:t>отбелязва продължаващата висока степен на пазарна концентрация на агенциите за кредитен рейтинг, като се има предвид, че трите най-големи агенции за кредитен рейтинг притежават пазарен дял от над 90%</w:t>
      </w:r>
      <w:r w:rsidRPr="00751F7C">
        <w:rPr>
          <w:rStyle w:val="FootnoteReference"/>
        </w:rPr>
        <w:footnoteReference w:id="23"/>
      </w:r>
      <w:r w:rsidRPr="00751F7C">
        <w:t>; отново подчертава необходимостта от засилване на конкуренцията на този пазар, за да се гарантират безпристрастност и доверие;</w:t>
      </w:r>
    </w:p>
    <w:p w:rsidR="003A191B" w:rsidRPr="00751F7C" w:rsidRDefault="003A191B" w:rsidP="003A191B">
      <w:pPr>
        <w:pStyle w:val="NormalHanging12a"/>
      </w:pPr>
      <w:r w:rsidRPr="00751F7C">
        <w:t>21.</w:t>
      </w:r>
      <w:r w:rsidRPr="00751F7C">
        <w:tab/>
        <w:t xml:space="preserve">изразява съжаление във връзка с решението на Ernst &amp; Young да спре процеса на разделяне на своите одиторски и консултантски звена; отбелязва, че съчетаването на одиторски и консултантски услуги може да доведе до конфликти на интереси и </w:t>
      </w:r>
      <w:r w:rsidRPr="00751F7C">
        <w:lastRenderedPageBreak/>
        <w:t>да засили господстващото положение на пазара на всяко от одиторските дружества от Голямата четворка; призовава Комисията да проучи съчетаването на одиторски и консултантски услуги и евентуално да представи мерки за предотвратяване на конфликтите на интереси и господстващото положение на пазара;</w:t>
      </w:r>
    </w:p>
    <w:p w:rsidR="003A191B" w:rsidRPr="00751F7C" w:rsidRDefault="003A191B" w:rsidP="003A191B">
      <w:pPr>
        <w:pStyle w:val="NormalHanging12a"/>
        <w:rPr>
          <w:b/>
          <w:i/>
        </w:rPr>
      </w:pPr>
      <w:r w:rsidRPr="00751F7C">
        <w:rPr>
          <w:b/>
          <w:i/>
        </w:rPr>
        <w:t>Контрол върху сливанията</w:t>
      </w:r>
    </w:p>
    <w:p w:rsidR="003A191B" w:rsidRPr="00751F7C" w:rsidRDefault="003A191B" w:rsidP="003A191B">
      <w:pPr>
        <w:pStyle w:val="NormalHanging12a"/>
      </w:pPr>
      <w:r w:rsidRPr="00751F7C">
        <w:t>22.</w:t>
      </w:r>
      <w:r w:rsidRPr="00751F7C">
        <w:tab/>
        <w:t>отбелязва, че изкупуването на стартиращи предприятия от страна на доминиращи участници може да бъде пагубно за иновациите и в крайна сметка за конкуренцията; подчертава колко е важно Комисията да обърне специално внимание на явлението „ликвидиращо придобиване“ в цифровия сектор, за което трябва да се докладва в съответствие с Акта за цифровите пазари, и да предприеме решителни действия съгласно член 22 от Регламента на ЕО за сливанията, ако това е целесъобразно;</w:t>
      </w:r>
    </w:p>
    <w:p w:rsidR="003A191B" w:rsidRPr="00751F7C" w:rsidRDefault="003A191B" w:rsidP="003A191B">
      <w:pPr>
        <w:pStyle w:val="NormalHanging12a"/>
      </w:pPr>
      <w:r w:rsidRPr="00751F7C">
        <w:t>23.</w:t>
      </w:r>
      <w:r w:rsidRPr="00751F7C">
        <w:tab/>
        <w:t>приветства неотдавнашните решения на Комисията по дела за сливания</w:t>
      </w:r>
      <w:r w:rsidRPr="00751F7C">
        <w:rPr>
          <w:rStyle w:val="FootnoteReference"/>
        </w:rPr>
        <w:footnoteReference w:id="24"/>
      </w:r>
      <w:r w:rsidRPr="00751F7C">
        <w:t>; подчертава значението на структурните средства за правна защита при решенията за сливане; отбелязва, че най-големите и най-влиятелни онлайн платформи засягат ежедневната дейност на десетки хиляди МСП; подчертава, че придобиването не може да доведе до засилване на господстващото положение на дадено дружество на пазара на хотелиерството, като му дава възможност да препродава различните си услуги;</w:t>
      </w:r>
    </w:p>
    <w:p w:rsidR="003A191B" w:rsidRPr="00751F7C" w:rsidRDefault="003A191B" w:rsidP="003A191B">
      <w:pPr>
        <w:pStyle w:val="NormalHanging12a"/>
      </w:pPr>
      <w:r w:rsidRPr="00751F7C">
        <w:t>24.</w:t>
      </w:r>
      <w:r w:rsidRPr="00751F7C">
        <w:tab/>
        <w:t>приветства инициативата на Комисията да преразгледа своето известие по отношение на определението за „съответен пазар“ и очаква резултатите от обществената консултация; подчертава необходимостта да се възприеме по-динамичен подход, който надхвърля традиционния подход, по-специално по отношение на нововъзникващите пазари, като например в цифровия сектор, и да се вземе предвид по-дългосрочна визия, обхващаща глобалното измерение и потенциалната бъдеща конкуренция; изразява съжаление по повод на факта, че в миналото Комисията понякога е възприемала твърде тясна перспектива по отношение на съответния пазар, като по този начин е лишавала европейските дружества от възможността да се конкурират ефективно на глобализираната сцена; подкрепя Комисията при отделянето на по-голямо внимание на евентуалната вреда за конкуренцията при оценяването на сливанията, при които разширяването в съседни пазари води до допълнително засилване на господстващото положение на основния пазар на придобиващото дружество;</w:t>
      </w:r>
    </w:p>
    <w:p w:rsidR="003A191B" w:rsidRPr="00751F7C" w:rsidRDefault="003A191B" w:rsidP="003A191B">
      <w:pPr>
        <w:pStyle w:val="NormalHanging12a"/>
      </w:pPr>
      <w:r w:rsidRPr="00751F7C">
        <w:t>25.</w:t>
      </w:r>
      <w:r w:rsidRPr="00751F7C">
        <w:tab/>
        <w:t>изразява загриженост относно мащабната концентрация в някои части на веригата за доставки на храни в ущърб както на потребителите, така и на земеделските стопани, околната среда, околната среда и биологичното разнообразие;</w:t>
      </w:r>
    </w:p>
    <w:p w:rsidR="003A191B" w:rsidRPr="00751F7C" w:rsidRDefault="003A191B" w:rsidP="003A191B">
      <w:pPr>
        <w:pStyle w:val="NormalHanging12a"/>
      </w:pPr>
      <w:r w:rsidRPr="00751F7C">
        <w:t>26.</w:t>
      </w:r>
      <w:r w:rsidRPr="00751F7C">
        <w:tab/>
        <w:t xml:space="preserve">припомня, че съгласно Регламента на ЕО за сливанията държавите членки могат да предприемат подходящи мерки за защита на въпроси от обществен интерес, като например опазването на климата, устойчивостта и принципите на правовата държава, и призовава за това на Комисията да бъде предоставена същата възможност при разглеждането на въздействието на концентрацията върху </w:t>
      </w:r>
      <w:r w:rsidRPr="00751F7C">
        <w:lastRenderedPageBreak/>
        <w:t>вътрешния пазар;</w:t>
      </w:r>
    </w:p>
    <w:p w:rsidR="003A191B" w:rsidRPr="00751F7C" w:rsidRDefault="003A191B" w:rsidP="003A191B">
      <w:pPr>
        <w:pStyle w:val="NormalHanging12a"/>
        <w:rPr>
          <w:b/>
          <w:i/>
        </w:rPr>
      </w:pPr>
      <w:r w:rsidRPr="00751F7C">
        <w:rPr>
          <w:b/>
          <w:i/>
        </w:rPr>
        <w:t>Антитръстово законодателство и картели</w:t>
      </w:r>
    </w:p>
    <w:p w:rsidR="003A191B" w:rsidRPr="00751F7C" w:rsidRDefault="003A191B" w:rsidP="003A191B">
      <w:pPr>
        <w:pStyle w:val="NormalHanging12a"/>
      </w:pPr>
      <w:r w:rsidRPr="00751F7C">
        <w:t>27.</w:t>
      </w:r>
      <w:r w:rsidRPr="00751F7C">
        <w:tab/>
        <w:t>призовава Комисията да използва в по-голяма степен инструмента на временните мерки за прекратяване на всяка практика, която би навредила сериозно на конкуренцията, особено по отношение на динамични и бързо развиващи се пазари като цифровите пазари;</w:t>
      </w:r>
    </w:p>
    <w:p w:rsidR="003A191B" w:rsidRPr="00751F7C" w:rsidRDefault="003A191B" w:rsidP="003A191B">
      <w:pPr>
        <w:pStyle w:val="NormalHanging12a"/>
      </w:pPr>
      <w:r w:rsidRPr="00751F7C">
        <w:t>28.</w:t>
      </w:r>
      <w:r w:rsidRPr="00751F7C">
        <w:tab/>
        <w:t>приветства новия подход по неотдавнашните антитръстови дела, в които Комисията за първи път и при определени условия предвижда налагането на структурни средства за правна защита, за да прекрати антиконкурентно поведение, по-специално когато въпросната антиконкурентна практика се е повтаряла през годините в други пазарни сегменти от едно и също дружество; във връзка с това насърчава Комисията да продължава да върви в тази посока към ефективно последващо прилагане на антитръстовото законодателство;</w:t>
      </w:r>
    </w:p>
    <w:p w:rsidR="003A191B" w:rsidRPr="00751F7C" w:rsidRDefault="003A191B" w:rsidP="003A191B">
      <w:pPr>
        <w:pStyle w:val="NormalHanging12a"/>
      </w:pPr>
      <w:r w:rsidRPr="00751F7C">
        <w:t>29.</w:t>
      </w:r>
      <w:r w:rsidRPr="00751F7C">
        <w:tab/>
        <w:t>призовава Комисията да ускори антитръстовите процедури, да определи подходящи срокове за процедурите и да гарантира ефективно проследяване на решенията, за да се избегнат продължителни процедури, като например в случая с дружеството Spotify, което подаде жалба срещу Apple през 2019 г., и в който, независимо че Комисията е публикувала изложение на възраженията, не бяха предприети конкретни действия за справяне с ограниченията на Apple, възпрепятстващи разработчиците на приложения да общуват свободно със собствените си потребители;</w:t>
      </w:r>
    </w:p>
    <w:p w:rsidR="003A191B" w:rsidRPr="00751F7C" w:rsidRDefault="003A191B" w:rsidP="003A191B">
      <w:pPr>
        <w:pStyle w:val="NormalHanging12a"/>
      </w:pPr>
      <w:r w:rsidRPr="00751F7C">
        <w:t>30.</w:t>
      </w:r>
      <w:r w:rsidRPr="00751F7C">
        <w:tab/>
        <w:t>приветства стартирането на инициативата за насоки относно злоупотребите с господстващо положение с цел отстраняване на конкуренти, които насоки ще бъдат изготвени през 2024 г. и приети през 2025 г., както и ангажимента на Комисията за енергично, ефективно и бързо прилагане на член 102 от ДФЕС в областта на злоупотребите с цел отстраняване на конкуренти; призовава Комисията да потвърди конкретно основаното на резултати прилагане на антитръстови правила, и по-специално значението на икономическите доказателства в съответните случаи; призовава уязвимостта на потребителите да се взема предвид при оценката на експлоатационни злоупотреби, като например прекомерни цени и несправедливи условия;</w:t>
      </w:r>
    </w:p>
    <w:p w:rsidR="003A191B" w:rsidRPr="00751F7C" w:rsidRDefault="003A191B" w:rsidP="003A191B">
      <w:pPr>
        <w:pStyle w:val="NormalHanging12a"/>
      </w:pPr>
      <w:r w:rsidRPr="00751F7C">
        <w:t>31.</w:t>
      </w:r>
      <w:r w:rsidRPr="00751F7C">
        <w:tab/>
        <w:t>отбелязва започването на официално разследване на евентуални антиконкурентни практики от страна на контролиращо достъпа предприятие чрез практики на обвързване или пакетни продажби на платформа за комуникация и сътрудничество със собствения му доминиращ и популярен софтуер</w:t>
      </w:r>
      <w:r w:rsidRPr="00751F7C">
        <w:rPr>
          <w:rStyle w:val="FootnoteReference"/>
        </w:rPr>
        <w:footnoteReference w:id="25"/>
      </w:r>
      <w:r w:rsidRPr="00751F7C">
        <w:t>; призовава Комисията да направи внимателна оценка на концесиите, предлагани едностранно от контролиращото достъпа предприятие, заедно с участващите предприятия, за да се гарантира, че те отговарят на опасенията на участниците на пазара с оглед на новите и съществуващите потребители, както и на въпросите, свързани с оперативната съвместимост и ценообразуването;</w:t>
      </w:r>
    </w:p>
    <w:p w:rsidR="003A191B" w:rsidRPr="00751F7C" w:rsidRDefault="003A191B" w:rsidP="003A191B">
      <w:pPr>
        <w:pStyle w:val="NormalHanging12a"/>
      </w:pPr>
      <w:r w:rsidRPr="00751F7C">
        <w:lastRenderedPageBreak/>
        <w:t>32.</w:t>
      </w:r>
      <w:r w:rsidRPr="00751F7C">
        <w:tab/>
        <w:t>настоява за ефективни средства за правна защита, които може да изискват по-добра координация между правоприлагащите органи и по-нататъшен диалог с трети страни, както и прилагане по подходящ начин; припомня, че предприятия, определени като контролиращи достъпа предприятия, са били обект на предишни антитръстови съдебни решения, които не са довели до ефективни поведенчески промени, по-специално по отношение на отдаването на предимство на собствените продукти и услуги на цифровите пазари; приканва Комисията да използва по-пълноценно структурни средства за правна защита като крайна мярка; отново призовава Комисията да премахне предимството на поведенческите мерки в законодателството на ЕС;</w:t>
      </w:r>
    </w:p>
    <w:p w:rsidR="003A191B" w:rsidRPr="00751F7C" w:rsidRDefault="003A191B" w:rsidP="003A191B">
      <w:pPr>
        <w:pStyle w:val="NormalHanging12a"/>
      </w:pPr>
      <w:r w:rsidRPr="00751F7C">
        <w:t>33.</w:t>
      </w:r>
      <w:r w:rsidRPr="00751F7C">
        <w:tab/>
        <w:t xml:space="preserve">отново призовава Комисията да предприеме мерки във връзка с антиконкурентното въздействие на териториалните ограничения на доставките с цел гарантиране на напълно функциониращ единен пазар и впрягането на потенциалните ползи от него в интерес на потребителите; </w:t>
      </w:r>
    </w:p>
    <w:p w:rsidR="003A191B" w:rsidRPr="00751F7C" w:rsidRDefault="003A191B" w:rsidP="003A191B">
      <w:pPr>
        <w:pStyle w:val="NormalHanging12a"/>
      </w:pPr>
      <w:r w:rsidRPr="00751F7C">
        <w:t xml:space="preserve">34. </w:t>
      </w:r>
      <w:r w:rsidRPr="00751F7C">
        <w:tab/>
        <w:t xml:space="preserve">освен това отново отправя своя призив към Комисията да продължи активно да наблюдава и премахва неоправданото блокиране на географски принцип и други ограничения върху трансграничните онлайн продажби, като следва подход, ориентиран към потребителите, за да позволи на потребителите достъп до по-голям избор от продукти и услуги в целия ЕС; </w:t>
      </w:r>
    </w:p>
    <w:p w:rsidR="003A191B" w:rsidRPr="00751F7C" w:rsidRDefault="003A191B" w:rsidP="003A191B">
      <w:pPr>
        <w:pStyle w:val="NormalHanging12a"/>
        <w:rPr>
          <w:b/>
          <w:i/>
        </w:rPr>
      </w:pPr>
      <w:r w:rsidRPr="00751F7C">
        <w:rPr>
          <w:b/>
          <w:i/>
        </w:rPr>
        <w:t>Политиката в областта на конкуренцията в ерата на цифровите технологии</w:t>
      </w:r>
    </w:p>
    <w:p w:rsidR="003A191B" w:rsidRPr="00751F7C" w:rsidRDefault="003A191B" w:rsidP="003A191B">
      <w:pPr>
        <w:pStyle w:val="NormalHanging12a"/>
      </w:pPr>
      <w:r w:rsidRPr="00751F7C">
        <w:t>35.</w:t>
      </w:r>
      <w:r w:rsidRPr="00751F7C">
        <w:tab/>
        <w:t>приветства определянето на шест контролиращи достъпа предприятия – Alphabet, Amazon, Apple, ByteDance, Meta, Microsoft</w:t>
      </w:r>
      <w:r w:rsidRPr="00751F7C">
        <w:rPr>
          <w:rStyle w:val="FootnoteReference"/>
        </w:rPr>
        <w:footnoteReference w:id="26"/>
      </w:r>
      <w:r w:rsidRPr="00751F7C">
        <w:t xml:space="preserve"> – за 22 основни платформени услуги в съответствие с Акта за цифровите пазари, четирите проучвания на пазара за оборването, както и първото проучване на пазара съгласно член 3, параграф 8 от Акта за цифровите пазари; насърчава Комисията да приеме в най-кратък срок делегирани актове с цел да разшири условията за прилагане или да конкретизира условията за изпълнение на задълженията, предвидени в членове 5, 6, 7 и 12 от Акта за цифровите пазари; призовава Комисията да оценява стриктно дали контролиращите достъпа предприятия спазват задълженията, предвидени в Акта за цифровите пазари преди 6 март 2024 г., и да търси обратна информация от трети страни относно това дали решенията за съответствие, предложени от контролиращите достъпа предприятия, водят до по-справедливи и по-оспорвани цифрови пазари; призовава Комисията да гарантира, че мерките на контролиращите достъпа предприятия относно сигурността и безопасността на техните платформи, които биха могли да окажат въздействие върху съответствието с Акта за цифровите пазари, се проверяват от независими трети страни, а не само въз основа на собствената оценка на контролиращото достъпа предприятие;</w:t>
      </w:r>
    </w:p>
    <w:p w:rsidR="003A191B" w:rsidRPr="00751F7C" w:rsidRDefault="003A191B" w:rsidP="003A191B">
      <w:pPr>
        <w:pStyle w:val="NormalHanging12a"/>
      </w:pPr>
      <w:r w:rsidRPr="00751F7C">
        <w:t>36.</w:t>
      </w:r>
      <w:r w:rsidRPr="00751F7C">
        <w:tab/>
        <w:t xml:space="preserve">отбелязва, че във възложеното от Комисията проучване на въздействието на последните развития в областта на рекламните технологии върху неприкосновеността на личния живот, издателите и рекламодателите се стига до заключението, че широкомащабното събиране и обработване на лични данни за рекламни цели и непрозрачността на пазара на цифровите реклами може да </w:t>
      </w:r>
      <w:r w:rsidRPr="00751F7C">
        <w:lastRenderedPageBreak/>
        <w:t>подхранват рекламните измами</w:t>
      </w:r>
      <w:r w:rsidRPr="00751F7C">
        <w:rPr>
          <w:rStyle w:val="FootnoteReference"/>
        </w:rPr>
        <w:footnoteReference w:id="27"/>
      </w:r>
      <w:r w:rsidRPr="00751F7C">
        <w:t>; призовава Комисията, в съответствие с препоръките от проучването, да продължи да анализира законодателните варианти за политическа намеса в бъдеще, включително налагането на структурни средства за правна защита за справяне с антиконкурентно поведение, като допълни в това отношение Акта за цифровите пазари и Акта за цифровите услуги</w:t>
      </w:r>
      <w:r w:rsidRPr="00751F7C">
        <w:rPr>
          <w:rStyle w:val="FootnoteReference"/>
        </w:rPr>
        <w:footnoteReference w:id="28"/>
      </w:r>
      <w:r w:rsidRPr="00751F7C">
        <w:t>;</w:t>
      </w:r>
    </w:p>
    <w:p w:rsidR="003A191B" w:rsidRPr="00751F7C" w:rsidRDefault="003A191B" w:rsidP="003A191B">
      <w:pPr>
        <w:pStyle w:val="NormalHanging12a"/>
      </w:pPr>
      <w:r w:rsidRPr="00751F7C">
        <w:t>37.</w:t>
      </w:r>
      <w:r w:rsidRPr="00751F7C">
        <w:tab/>
        <w:t>отбелязва пазарните проучвания на Edge и Bing на Microsoft</w:t>
      </w:r>
      <w:r w:rsidRPr="00751F7C">
        <w:rPr>
          <w:rStyle w:val="FootnoteReference"/>
        </w:rPr>
        <w:footnoteReference w:id="29"/>
      </w:r>
      <w:r w:rsidRPr="00751F7C">
        <w:t xml:space="preserve"> и на iOS и iMessage на Apple</w:t>
      </w:r>
      <w:r w:rsidRPr="00751F7C">
        <w:rPr>
          <w:rStyle w:val="FootnoteReference"/>
        </w:rPr>
        <w:footnoteReference w:id="30"/>
      </w:r>
      <w:r w:rsidRPr="00751F7C">
        <w:t>, за да се оценят ролята им на портали и утвърдените им позиции на пазара съгласно решението за определяне на Apple и Microsoft като контролиращи достъпа предприятия в съответствие с Акта за цифровите пазари; подчертава включването по подразбиране на iMessage във всички устройства на iOS за повече от 144 милиона потребители; Подчертава значението на смартфоните като основен личен и професионален инструмент; подчертава, че днешният пазар е доминиран от две операционни системи със свои собствени услуги за съобщения, които не са оперативно съвместими, което ограничава възможността на потребителите и предприятията да се движат свободно от една екосистема в друга и да общуват безпрепятствено един с друг, независимо от операционната система, което категорично противоречи духа и буквата на Акта на цифровите пазари; призовава съответно Европейската комисия да пристъпи бързо към разследването и ефективното му прилагане, за да може всички да се възползват своевременно от предимствата на оперативната съвместимост на съобщенията;</w:t>
      </w:r>
    </w:p>
    <w:p w:rsidR="003A191B" w:rsidRPr="00751F7C" w:rsidRDefault="003A191B" w:rsidP="003A191B">
      <w:pPr>
        <w:pStyle w:val="NormalHanging12a"/>
      </w:pPr>
      <w:r w:rsidRPr="00751F7C">
        <w:t>38.</w:t>
      </w:r>
      <w:r w:rsidRPr="00751F7C">
        <w:tab/>
        <w:t>отбелязва решението на Съда на Европейския съюз по делото Meta срещу Bundeskartellamt, което потвърждава компетентността на националните органи за защита на конкуренцията да прилагат правила за защита на данните съгласно антитръстовото законодателство; отбелязва, че Съдът на Европейския съюз потвърждава, че защитата на личните данни се явява важно съображение, когато се разглежда злоупотреба с господстващо положение, и че тя налага изисквания за използването на личните данните на физическите лица за целенасочена реклама; насърчава органите за защита на конкуренцията да разследват нарушения на Общия регламент относно защитата на данните</w:t>
      </w:r>
      <w:r w:rsidRPr="00751F7C">
        <w:rPr>
          <w:rStyle w:val="FootnoteReference"/>
        </w:rPr>
        <w:footnoteReference w:id="31"/>
      </w:r>
      <w:r w:rsidRPr="00751F7C">
        <w:t>, а органите за защита на данните – да санкционират такива нарушения;</w:t>
      </w:r>
    </w:p>
    <w:p w:rsidR="003A191B" w:rsidRPr="00751F7C" w:rsidRDefault="003A191B" w:rsidP="003A191B">
      <w:pPr>
        <w:pStyle w:val="NormalHanging12a"/>
      </w:pPr>
      <w:r w:rsidRPr="00751F7C">
        <w:t>39.</w:t>
      </w:r>
      <w:r w:rsidRPr="00751F7C">
        <w:tab/>
        <w:t xml:space="preserve">отбелязва приключването на производството на Bundeskartellamt и Alphabet Inc., което предоставя на потребителите на Google възможност за по-добър избор по </w:t>
      </w:r>
      <w:r w:rsidRPr="00751F7C">
        <w:lastRenderedPageBreak/>
        <w:t xml:space="preserve">отношение на начина, по който Google обработва техните данни; заявява, че потребителите в ЕС трябва да имат избора дали да разрешат концентрирано и кръстосано обработване на своите лични данни; насърчава Комисията да стреми към координация на дейностите по прилагане и да си сътрудничи с националните органи за защита на конкуренцията, за да улесни ефективното взаимодействие между законодателството в областта на конкуренцията и Акта за цифровите пазари, по-специално в контекста на „допълнителните задължения“ съгласно Акта за цифровите пазари; </w:t>
      </w:r>
    </w:p>
    <w:p w:rsidR="003A191B" w:rsidRPr="00751F7C" w:rsidRDefault="003A191B" w:rsidP="003A191B">
      <w:pPr>
        <w:pStyle w:val="NormalHanging12a"/>
      </w:pPr>
      <w:r w:rsidRPr="00751F7C">
        <w:t>40.</w:t>
      </w:r>
      <w:r w:rsidRPr="00751F7C">
        <w:tab/>
        <w:t xml:space="preserve">отбелязва, че „Интернет на предметите“ представлява разрастващ се пазар; освен това отбелязва, че интелигентните домакински уреди, като например прахосмукачките роботи, са основен източник на данни на потребителите; отбелязва, че сливанията и придобиванията в този сектор могат да доведат до големи породени от конкуренцията щети; призовава Комисията да разглежда данните като източник на пазарна мощ в оценката на сливанията и придобиванията в този сектор, особено когато в тези случаи са замесени големи технологични дружества; освен това призовава за поставяне на условия за използването на данни, когато това е необходимо; </w:t>
      </w:r>
    </w:p>
    <w:p w:rsidR="003A191B" w:rsidRPr="00751F7C" w:rsidRDefault="003A191B" w:rsidP="003A191B">
      <w:pPr>
        <w:pStyle w:val="NormalHanging12a"/>
      </w:pPr>
      <w:r w:rsidRPr="00751F7C">
        <w:t>41.</w:t>
      </w:r>
      <w:r w:rsidRPr="00751F7C">
        <w:tab/>
        <w:t>отбелязва отсъствието на доставчици на компютърни услуги „в облак“ от списъка на контролиращите достъпа предприятия; призовава Комисията да обмисли да започне проучвания на пазара съгласно член 3, параграф 8 от Акта за цифровите пазари (качествена оценка) в този сектор, предвид по-специално концентрираната пазарна структура и вредните антиконкурентни практики, изтъквани от националните органи за защита на конкуренцията; подчертава, че няколко много големи участници доминират европейския пазар на изчисленията в облак; призовава Комисията да гарантира, че всички отговарящи на условията услуги са определени, за да се възстанови лоялната и равнопоставена конкуренция на европейския пазар на изчисленията в облак;</w:t>
      </w:r>
    </w:p>
    <w:p w:rsidR="003A191B" w:rsidRPr="00751F7C" w:rsidRDefault="003A191B" w:rsidP="003A191B">
      <w:pPr>
        <w:pStyle w:val="NormalHanging12a"/>
      </w:pPr>
      <w:r w:rsidRPr="00751F7C">
        <w:t>42.</w:t>
      </w:r>
      <w:r w:rsidRPr="00751F7C">
        <w:tab/>
        <w:t>призовава Комисията да направи оценка на необходимостта от започване на пазарно проучване съгласно член 19 от Акта за цифровите пазари, като се добавят нови категории основни платформени услуги в съответствие с член 2, параграф 2 от Акта за цифровите пазари в светлината на последните технологични постижения, които може да доведат до нови видове услуги, които не попадат в обхвата на съществуващите категории, като например генеративния изкуствен интелект; признава, че новите характеристики, задвижвани от генеративен изкуствен интелект, може да бъдат включени в съществуващите цифрови услуги, като например онлайн търсачките, и може да бъдат отразени в съществуващия списък с основни платформени услуги, което би могло да доведе до укрепване на съществуващите контролиращи достъпа предприятия;</w:t>
      </w:r>
    </w:p>
    <w:p w:rsidR="003A191B" w:rsidRPr="00751F7C" w:rsidRDefault="003A191B" w:rsidP="003A191B">
      <w:pPr>
        <w:pStyle w:val="NormalHanging12a"/>
      </w:pPr>
      <w:r w:rsidRPr="00751F7C">
        <w:t xml:space="preserve">43. </w:t>
      </w:r>
      <w:r w:rsidRPr="00751F7C">
        <w:tab/>
        <w:t>отбелязва съвместното изявление на органите за защита на конкуренцията на Г-7 относно конкуренцията и изкуствения интелект, в което се подчертава значението на сътрудничеството за насърчаване на конкуренцията на цифровите пазари</w:t>
      </w:r>
      <w:r w:rsidRPr="00751F7C">
        <w:rPr>
          <w:rStyle w:val="FootnoteReference"/>
        </w:rPr>
        <w:footnoteReference w:id="32"/>
      </w:r>
      <w:r w:rsidRPr="00751F7C">
        <w:t xml:space="preserve">; призовава Комисията да бъде бдителна по отношение на споразуменията за сътрудничество в контекста на развитието в областта на изкуствения интелект, за да се гарантира, че тези споразумения за сътрудничество не са потенциално </w:t>
      </w:r>
      <w:r w:rsidRPr="00751F7C">
        <w:lastRenderedPageBreak/>
        <w:t>скрити сливания или „ликвидиращи придобивания“;</w:t>
      </w:r>
    </w:p>
    <w:p w:rsidR="003A191B" w:rsidRPr="00751F7C" w:rsidRDefault="003A191B" w:rsidP="003A191B">
      <w:pPr>
        <w:pStyle w:val="NormalHanging12a"/>
      </w:pPr>
      <w:r w:rsidRPr="00751F7C">
        <w:t>44.</w:t>
      </w:r>
      <w:r w:rsidRPr="00751F7C">
        <w:tab/>
        <w:t>отново заявява, че за разлика от рамката в областта на конкуренцията Актът за цифровите пазари има друго правно основание; подчертава необходимостта от ефективно съвместно съществуване на прилагането най-напред на правото в областта на конкуренцията и след това на Акта за цифровите пазари предвид техния допълващ характер; подчертава необходимостта да се предоставят достатъчно ресурси и полезни взаимодействия за ефективно прилагане на правилата и да се избягва припокриване или дублиране на съществуващите структури и мерки;</w:t>
      </w:r>
    </w:p>
    <w:p w:rsidR="003A191B" w:rsidRPr="00751F7C" w:rsidRDefault="003A191B" w:rsidP="003A191B">
      <w:pPr>
        <w:pStyle w:val="NormalHanging12a"/>
      </w:pPr>
      <w:r w:rsidRPr="00751F7C">
        <w:t>45.</w:t>
      </w:r>
      <w:r w:rsidRPr="00751F7C">
        <w:tab/>
        <w:t xml:space="preserve">подчертава бъдещите нужди на ЕС от свързаност по отношение на инфраструктурата и инвестициите; призовава Комисията да обмисли преразглеждане на настоящата конкурентна практика за пазара на телекомуникационни услуги, за да се улесни създаването на напълно интегриран единен пазар за телекомуникационни услуги; отбелязва, че консолидирането на пазара може да е единственият начин да се избегне продажбата на инфраструктура на части на чуждестранни дружества извън ЕС и да се постигне ефективна конкуренция в глобален план; отбелязва, че през последното десетилетие растежът на този сектор в Европа е много слаб и че основната причина за това е разпокъсаността; във връзка с това приветства съобщението на члена на Комисията Бретон за започналата работа на Комисията по ново предложение за Законодателен акт за цифровите мрежи, с който да се преодолее разпокъсаността на пазара, да се привлекат инвестиции и да се осигурят телекомуникационна инфраструктура и иновации без допълнителни разходи за потребителите и без да се </w:t>
      </w:r>
      <w:r w:rsidR="00F77D86" w:rsidRPr="00F77D86">
        <w:t xml:space="preserve">застрашават мрежовата неутралност и </w:t>
      </w:r>
      <w:r w:rsidRPr="00751F7C">
        <w:t>лоялната конкуренция на пазара между всички участници;</w:t>
      </w:r>
    </w:p>
    <w:p w:rsidR="003A191B" w:rsidRPr="00751F7C" w:rsidRDefault="003A191B" w:rsidP="003A191B">
      <w:pPr>
        <w:pStyle w:val="NormalHanging12a"/>
      </w:pPr>
      <w:r w:rsidRPr="00751F7C">
        <w:t xml:space="preserve">46. </w:t>
      </w:r>
      <w:r w:rsidRPr="00751F7C">
        <w:tab/>
        <w:t xml:space="preserve">със загриженост отбелязва, че контролиращите достъпа предприятия, които създават предимство по отношение на данните пред конкурентите, могат да постигнат икономии от значителен мащаб, което допринася за допълнителното „наклоняване на везните“ по отношение на конкуренцията на цифровите пазари и води до задушаване на иновациите; </w:t>
      </w:r>
    </w:p>
    <w:p w:rsidR="003A191B" w:rsidRPr="00751F7C" w:rsidRDefault="003A191B" w:rsidP="003A191B">
      <w:pPr>
        <w:pStyle w:val="NormalHanging12a"/>
      </w:pPr>
      <w:r w:rsidRPr="00751F7C">
        <w:t>47.</w:t>
      </w:r>
      <w:r w:rsidRPr="00751F7C">
        <w:tab/>
        <w:t xml:space="preserve">подчертава, че когато се вземат решения относно сливания и придобивания в цифровата сфера, активите от лични данни следва да се разглеждат и оценяват по същия начин както други традиционни активи; подчертава освен това, че консолидирането на данни чрез сливания и придобивания може да засили господстващото положение; </w:t>
      </w:r>
    </w:p>
    <w:p w:rsidR="003A191B" w:rsidRPr="00751F7C" w:rsidRDefault="003A191B" w:rsidP="003A191B">
      <w:pPr>
        <w:pStyle w:val="NormalHanging12a"/>
        <w:rPr>
          <w:b/>
          <w:i/>
        </w:rPr>
      </w:pPr>
      <w:r w:rsidRPr="00751F7C">
        <w:rPr>
          <w:b/>
          <w:i/>
        </w:rPr>
        <w:t>Данъчно облагане</w:t>
      </w:r>
    </w:p>
    <w:p w:rsidR="003A191B" w:rsidRPr="00751F7C" w:rsidRDefault="003A191B" w:rsidP="003A191B">
      <w:pPr>
        <w:pStyle w:val="NormalHanging12a"/>
      </w:pPr>
      <w:r w:rsidRPr="00751F7C">
        <w:t>48.</w:t>
      </w:r>
      <w:r w:rsidRPr="00751F7C">
        <w:tab/>
        <w:t xml:space="preserve">изразява съжаление по повод на вредното въздействие на агресивното данъчно планиране и на данъчните системи на някои държави членки върху лоялната конкуренция, тъй като то може да задуши иновациите и да застраши достъпността на пазарите, особено за МСП; призовава дружествата, които участват в избягване на данъци, като използват данъчни убежища на държави извън ЕС, да бъдат изключени от процедурите за възлагане на обществени поръчки и да им бъде забранено да получават държавна помощ, тъй като тези дружества се конкурират в условия на нелоялна конкуренция с дружествата, установени в държави, които не са данъчни убежища; приветства препоръката на Комисията от 14 юли 2020 г. да не се предоставя финансова подкрепа на дружества, имащи връзки с данъчни </w:t>
      </w:r>
      <w:r w:rsidRPr="00751F7C">
        <w:lastRenderedPageBreak/>
        <w:t>убежища, като същевременно се защитават честните данъкоплатци;</w:t>
      </w:r>
    </w:p>
    <w:p w:rsidR="003A191B" w:rsidRPr="00751F7C" w:rsidRDefault="003A191B" w:rsidP="003A191B">
      <w:pPr>
        <w:pStyle w:val="NormalHanging12a"/>
      </w:pPr>
      <w:r w:rsidRPr="00751F7C">
        <w:t>49.</w:t>
      </w:r>
      <w:r w:rsidRPr="00751F7C">
        <w:tab/>
        <w:t xml:space="preserve">призовава Комисията да разгледа възможността за налагане на глоби на държавите, за които е установено, че нарушават правилата на ЕС за държавната помощ; насърчава Комисията да продължи своите разследвания на практиките на държавите членки във връзка с данъчните становища; </w:t>
      </w:r>
    </w:p>
    <w:p w:rsidR="003A191B" w:rsidRPr="00751F7C" w:rsidRDefault="003A191B" w:rsidP="003A191B">
      <w:pPr>
        <w:pStyle w:val="NormalHanging12a"/>
      </w:pPr>
      <w:r w:rsidRPr="00751F7C">
        <w:t>50.</w:t>
      </w:r>
      <w:r w:rsidRPr="00751F7C">
        <w:tab/>
        <w:t>отбелязва ангажимента на заместник-председателя Ш</w:t>
      </w:r>
      <w:r w:rsidRPr="001347AB">
        <w:t>ефчович и член</w:t>
      </w:r>
      <w:r w:rsidR="00F77D86" w:rsidRPr="001347AB">
        <w:rPr>
          <w:lang w:val="en-GB"/>
        </w:rPr>
        <w:t>a</w:t>
      </w:r>
      <w:r w:rsidRPr="001347AB">
        <w:t xml:space="preserve"> на Комисията Хукстра да започнат дискусия относно пос</w:t>
      </w:r>
      <w:r w:rsidRPr="00751F7C">
        <w:t xml:space="preserve">тепенното премахване на субсидиите за изкопаеми горива; припомня своето искане за прилагане на конкретни политики, срокове и мерки за постепенно премахване във възможно най-кратък срок на субсидиите за изкопаеми горива чрез данъчни мерки; </w:t>
      </w:r>
    </w:p>
    <w:p w:rsidR="003A191B" w:rsidRPr="00751F7C" w:rsidRDefault="003A191B" w:rsidP="003A191B">
      <w:pPr>
        <w:pStyle w:val="NormalHanging12a"/>
      </w:pPr>
      <w:r w:rsidRPr="00751F7C">
        <w:t>51.</w:t>
      </w:r>
      <w:r w:rsidRPr="00751F7C">
        <w:tab/>
        <w:t xml:space="preserve">приветства бдителността на Комисията при прилагането на правилата за държавната помощ в областта на данъчното облагане; </w:t>
      </w:r>
    </w:p>
    <w:p w:rsidR="003A191B" w:rsidRPr="00751F7C" w:rsidRDefault="003A191B" w:rsidP="003A191B">
      <w:pPr>
        <w:pStyle w:val="NormalHanging12a"/>
      </w:pPr>
      <w:r w:rsidRPr="00751F7C">
        <w:t xml:space="preserve">52. </w:t>
      </w:r>
      <w:r w:rsidRPr="00751F7C">
        <w:tab/>
        <w:t xml:space="preserve">изразява същевременно съжаление, че Съдът на ЕС е отменил няколко неотдавнашни решения на Комисията по свързани с конкуренцията знакови дела в областта на данъчното облагане; призовава Комисията да подготвя по-задълбочено своите дела относно политиката в областта на конкуренцията, така че те да завършват с успех в съда; със загриженост отбелязва, че отмяната на глобите и плащането със задна дата на лихвите за забава по отменените дела създава също така бюджетен риск за ЕС; </w:t>
      </w:r>
    </w:p>
    <w:p w:rsidR="003A191B" w:rsidRPr="00751F7C" w:rsidRDefault="003A191B" w:rsidP="003A191B">
      <w:pPr>
        <w:pStyle w:val="NormalHanging12a"/>
        <w:rPr>
          <w:b/>
          <w:i/>
        </w:rPr>
      </w:pPr>
      <w:r w:rsidRPr="00751F7C">
        <w:rPr>
          <w:b/>
          <w:i/>
        </w:rPr>
        <w:t>Парламентарно участие</w:t>
      </w:r>
    </w:p>
    <w:p w:rsidR="003A191B" w:rsidRPr="00751F7C" w:rsidRDefault="003A191B" w:rsidP="003A191B">
      <w:pPr>
        <w:pStyle w:val="NormalHanging12a"/>
      </w:pPr>
      <w:r w:rsidRPr="00751F7C">
        <w:t>53.</w:t>
      </w:r>
      <w:r w:rsidRPr="00751F7C">
        <w:tab/>
        <w:t>подчертава, че Парламентът следва да играе активна роля в оформянето на политиката в областта на конкуренцията и следва да участва в по-голяма степен в дейността на работните и експертните групи; счита, че следва да се използва по-често правото на Парламента да встъпва в съдебни производства, свързани с правото в областта на конкуренцията;</w:t>
      </w:r>
    </w:p>
    <w:p w:rsidR="003A191B" w:rsidRDefault="003A191B" w:rsidP="00C82C9E">
      <w:pPr>
        <w:pStyle w:val="NormalHanging12a"/>
      </w:pPr>
      <w:r w:rsidRPr="00751F7C">
        <w:t>54.</w:t>
      </w:r>
      <w:r w:rsidRPr="00751F7C">
        <w:tab/>
        <w:t>призовава члена на Комисията, отговарящ за политиката в областта на конкуренцията, да поддържа тесен контакт с компетентната комисия на Парламента и нейната работна група по въпросите на конкуренцията;</w:t>
      </w:r>
    </w:p>
    <w:p w:rsidR="00C82C9E" w:rsidRDefault="00C82C9E" w:rsidP="00C82C9E">
      <w:pPr>
        <w:pStyle w:val="NormalHanging12a"/>
        <w:widowControl/>
        <w:ind w:left="0" w:firstLine="0"/>
        <w:jc w:val="center"/>
      </w:pPr>
      <w:r>
        <w:t>°</w:t>
      </w:r>
    </w:p>
    <w:p w:rsidR="00C82C9E" w:rsidRDefault="00C82C9E" w:rsidP="00C82C9E">
      <w:pPr>
        <w:pStyle w:val="NormalHanging12a"/>
        <w:widowControl/>
        <w:ind w:left="0" w:firstLine="0"/>
        <w:jc w:val="center"/>
      </w:pPr>
      <w:r>
        <w:t>°     °</w:t>
      </w:r>
    </w:p>
    <w:p w:rsidR="003A191B" w:rsidRPr="00751F7C" w:rsidRDefault="003A191B" w:rsidP="003A191B">
      <w:pPr>
        <w:pStyle w:val="NormalHanging12a"/>
      </w:pPr>
      <w:r w:rsidRPr="00751F7C">
        <w:t>55.</w:t>
      </w:r>
      <w:r w:rsidRPr="00751F7C">
        <w:tab/>
        <w:t>възлага на своя председател да предаде настоящата резолюция на Съвета, на Комисията, както и на парламентите и органите по конкуренция на държавите членки.</w:t>
      </w:r>
    </w:p>
    <w:sectPr w:rsidR="003A191B" w:rsidRPr="00751F7C" w:rsidSect="00751F7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4D9" w:rsidRPr="00751F7C" w:rsidRDefault="00A944D9">
      <w:r w:rsidRPr="00751F7C">
        <w:separator/>
      </w:r>
    </w:p>
  </w:endnote>
  <w:endnote w:type="continuationSeparator" w:id="0">
    <w:p w:rsidR="00A944D9" w:rsidRPr="00751F7C" w:rsidRDefault="00A944D9">
      <w:r w:rsidRPr="00751F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4D9" w:rsidRPr="00751F7C" w:rsidRDefault="00A944D9">
      <w:r w:rsidRPr="00751F7C">
        <w:separator/>
      </w:r>
    </w:p>
  </w:footnote>
  <w:footnote w:type="continuationSeparator" w:id="0">
    <w:p w:rsidR="00A944D9" w:rsidRPr="00751F7C" w:rsidRDefault="00A944D9">
      <w:r w:rsidRPr="00751F7C">
        <w:continuationSeparator/>
      </w:r>
    </w:p>
  </w:footnote>
  <w:footnote w:id="1">
    <w:p w:rsidR="003A191B" w:rsidRPr="00751F7C" w:rsidRDefault="003A191B" w:rsidP="00751F7C">
      <w:pPr>
        <w:pStyle w:val="FootnoteText"/>
        <w:ind w:left="567" w:hanging="567"/>
        <w:rPr>
          <w:sz w:val="24"/>
          <w:szCs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Приети текстове, P9_TA(2023)0227.</w:t>
      </w:r>
    </w:p>
  </w:footnote>
  <w:footnote w:id="2">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Решение на Общия съд от 13 юли 2022 г., Ilumina, Inc./Европейска комисия, T-227/21, ECLI:EU:T:2022:447.</w:t>
      </w:r>
    </w:p>
  </w:footnote>
  <w:footnote w:id="3">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C 131 I, 24.3.2022 г., стр. 1.</w:t>
      </w:r>
    </w:p>
  </w:footnote>
  <w:footnote w:id="4">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L 24, 29.1.2004 г., стр. 1.</w:t>
      </w:r>
    </w:p>
  </w:footnote>
  <w:footnote w:id="5">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L 265, 12.10.2022 г., стр. 1.</w:t>
      </w:r>
    </w:p>
  </w:footnote>
  <w:footnote w:id="6">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L 11, 14.1.2019 г., стр. 3.</w:t>
      </w:r>
    </w:p>
  </w:footnote>
  <w:footnote w:id="7">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L 1, 4.1.2003 г., стр. 1.</w:t>
      </w:r>
    </w:p>
  </w:footnote>
  <w:footnote w:id="8">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L 123, 27.4.2004 г., стр. 18.</w:t>
      </w:r>
    </w:p>
  </w:footnote>
  <w:footnote w:id="9">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C 80, 18.2.2022 г., стр. 1.</w:t>
      </w:r>
    </w:p>
  </w:footnote>
  <w:footnote w:id="10">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OВ C 36, 31.1.2023 г., стр. 1.</w:t>
      </w:r>
    </w:p>
  </w:footnote>
  <w:footnote w:id="11">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L 330, 23.12.2022 г., стр. 1.</w:t>
      </w:r>
    </w:p>
  </w:footnote>
  <w:footnote w:id="12">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Европейска комисия </w:t>
      </w:r>
      <w:hyperlink r:id="rId1" w:history="1">
        <w:r w:rsidRPr="00751F7C">
          <w:rPr>
            <w:rStyle w:val="Hyperlink"/>
            <w:sz w:val="24"/>
            <w:lang w:val="bg-BG"/>
          </w:rPr>
          <w:t>„Реч за състоянието на Съюза“</w:t>
        </w:r>
      </w:hyperlink>
      <w:r w:rsidRPr="00751F7C">
        <w:rPr>
          <w:sz w:val="24"/>
          <w:lang w:val="bg-BG"/>
        </w:rPr>
        <w:t>, 13 септември 2023 г.</w:t>
      </w:r>
    </w:p>
  </w:footnote>
  <w:footnote w:id="13">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L 119, 5.5.2023 г., стр. 22.</w:t>
      </w:r>
    </w:p>
  </w:footnote>
  <w:footnote w:id="14">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С 23, 23.1.2023 г., стр. 1.</w:t>
      </w:r>
    </w:p>
  </w:footnote>
  <w:footnote w:id="15">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Решение на Съда (голям състав) от 4 юли 2023 г., Meta Platforms Inc and Others/Bundeskartellamt, C-252/21, ECLI:EU:C:2023:537.</w:t>
      </w:r>
    </w:p>
  </w:footnote>
  <w:footnote w:id="16">
    <w:p w:rsidR="003A191B" w:rsidRPr="00751F7C" w:rsidRDefault="003A191B" w:rsidP="00751F7C">
      <w:pPr>
        <w:pStyle w:val="FootnoteText"/>
        <w:ind w:left="567" w:hanging="567"/>
        <w:rPr>
          <w:color w:val="0563C1" w:themeColor="hyperlink"/>
          <w:sz w:val="24"/>
          <w:u w:val="single"/>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hyperlink r:id="rId2" w:history="1">
        <w:r w:rsidRPr="00751F7C">
          <w:rPr>
            <w:rStyle w:val="Hyperlink"/>
            <w:sz w:val="24"/>
            <w:lang w:val="bg-BG"/>
          </w:rPr>
          <w:t>DG COMP Code of good practices for a transparent, inclusive, faster design and assessment of IPCEIs</w:t>
        </w:r>
      </w:hyperlink>
    </w:p>
  </w:footnote>
  <w:footnote w:id="17">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C 101, 27.4.2004 г., стр. 78.</w:t>
      </w:r>
    </w:p>
  </w:footnote>
  <w:footnote w:id="18">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ОВ С 259, 21.7.2023 г., стр. 1.</w:t>
      </w:r>
    </w:p>
  </w:footnote>
  <w:footnote w:id="19">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Европейски икономически и социален комитет, </w:t>
      </w:r>
      <w:hyperlink r:id="rId3" w:history="1">
        <w:r w:rsidRPr="00751F7C">
          <w:rPr>
            <w:rStyle w:val="Hyperlink"/>
            <w:sz w:val="24"/>
            <w:lang w:val="bg-BG"/>
          </w:rPr>
          <w:t>Доклад относно политиката в областта на конкуренцията за 2022 г.</w:t>
        </w:r>
      </w:hyperlink>
      <w:r w:rsidRPr="00751F7C">
        <w:rPr>
          <w:sz w:val="24"/>
          <w:lang w:val="bg-BG"/>
        </w:rPr>
        <w:t>, 25 октомври 2023 г.</w:t>
      </w:r>
    </w:p>
  </w:footnote>
  <w:footnote w:id="20">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ОИСР, </w:t>
      </w:r>
      <w:hyperlink r:id="rId4" w:history="1">
        <w:r w:rsidRPr="00751F7C">
          <w:rPr>
            <w:rStyle w:val="Hyperlink"/>
            <w:sz w:val="24"/>
            <w:lang w:val="bg-BG"/>
          </w:rPr>
          <w:t>Competition and Inflation:</w:t>
        </w:r>
      </w:hyperlink>
      <w:hyperlink r:id="rId5" w:history="1">
        <w:r w:rsidRPr="00751F7C">
          <w:rPr>
            <w:rStyle w:val="Hyperlink"/>
            <w:sz w:val="24"/>
            <w:lang w:val="bg-BG"/>
          </w:rPr>
          <w:t xml:space="preserve"> OECD Competition Policy Roundtable Background Note</w:t>
        </w:r>
      </w:hyperlink>
      <w:r w:rsidRPr="00751F7C">
        <w:rPr>
          <w:sz w:val="24"/>
          <w:lang w:val="bg-BG"/>
        </w:rPr>
        <w:t xml:space="preserve"> (Конкуренция и инфлация: Кръгла маса на ОИСР за политиката в областта на конкуренцията: информационна бележка), 2022 г.</w:t>
      </w:r>
    </w:p>
  </w:footnote>
  <w:footnote w:id="21">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Гърция, Германия.</w:t>
      </w:r>
    </w:p>
  </w:footnote>
  <w:footnote w:id="22">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Регламент (ЕС) 2016/1037 на Европейския парламент и на Съвета от 8 юни 2016 г. относно защитата срещу субсидиран внос от държави, които не са членки на Европейския съюз (ОВ L 176, 30.6.2016 г., стр. 55).</w:t>
      </w:r>
    </w:p>
  </w:footnote>
  <w:footnote w:id="23">
    <w:p w:rsidR="003A191B" w:rsidRPr="00751F7C" w:rsidRDefault="003A191B" w:rsidP="00751F7C">
      <w:pPr>
        <w:pStyle w:val="FootnoteText"/>
        <w:ind w:left="567" w:hanging="567"/>
        <w:rPr>
          <w:color w:val="0563C1" w:themeColor="hyperlink"/>
          <w:sz w:val="24"/>
          <w:u w:val="single"/>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Европейски орган за ценни книжа и пазари: </w:t>
      </w:r>
      <w:hyperlink r:id="rId6" w:history="1">
        <w:r w:rsidRPr="00751F7C">
          <w:rPr>
            <w:rStyle w:val="Hyperlink"/>
            <w:sz w:val="24"/>
            <w:lang w:val="bg-BG"/>
          </w:rPr>
          <w:t>Report on CRA Market Share Calculation</w:t>
        </w:r>
      </w:hyperlink>
      <w:r w:rsidR="00CF574C">
        <w:rPr>
          <w:sz w:val="24"/>
          <w:lang w:val="bg-BG"/>
        </w:rPr>
        <w:t xml:space="preserve">, 15 декември 2022 г. </w:t>
      </w:r>
      <w:r w:rsidRPr="00751F7C">
        <w:rPr>
          <w:sz w:val="24"/>
          <w:lang w:val="bg-BG"/>
        </w:rPr>
        <w:t>(Доклад относно определянето на пазарния дял на агенциите за кредитен рейтинг).</w:t>
      </w:r>
    </w:p>
  </w:footnote>
  <w:footnote w:id="24">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Европейска комисия, </w:t>
      </w:r>
      <w:hyperlink r:id="rId7" w:history="1">
        <w:r w:rsidRPr="00751F7C">
          <w:rPr>
            <w:rStyle w:val="Hyperlink"/>
            <w:sz w:val="24"/>
            <w:lang w:val="bg-BG"/>
          </w:rPr>
          <w:t>Booking Holdings/Etraveli Group</w:t>
        </w:r>
      </w:hyperlink>
      <w:r w:rsidRPr="00751F7C">
        <w:rPr>
          <w:sz w:val="24"/>
          <w:lang w:val="bg-BG"/>
        </w:rPr>
        <w:t>, решение от 25 септември 2023 г.</w:t>
      </w:r>
    </w:p>
  </w:footnote>
  <w:footnote w:id="25">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Европейска комисия, </w:t>
      </w:r>
      <w:hyperlink r:id="rId8" w:history="1">
        <w:r w:rsidRPr="00751F7C">
          <w:rPr>
            <w:rStyle w:val="Hyperlink"/>
            <w:sz w:val="24"/>
            <w:lang w:val="bg-BG"/>
          </w:rPr>
          <w:t>Antitrust:</w:t>
        </w:r>
      </w:hyperlink>
      <w:hyperlink r:id="rId9" w:history="1">
        <w:r w:rsidRPr="00751F7C">
          <w:rPr>
            <w:rStyle w:val="Hyperlink"/>
            <w:sz w:val="24"/>
            <w:lang w:val="bg-BG"/>
          </w:rPr>
          <w:t xml:space="preserve"> Commission opens investigation into possible anticompetitive practices by Microsoft regarding Teams</w:t>
        </w:r>
      </w:hyperlink>
      <w:r w:rsidRPr="00751F7C">
        <w:rPr>
          <w:sz w:val="24"/>
          <w:lang w:val="bg-BG"/>
        </w:rPr>
        <w:t xml:space="preserve"> (Комисията започва разследване на евентуални антиконкурентни практики на Microsoft по отношение на Teams), 27 юли 2023 г.</w:t>
      </w:r>
    </w:p>
  </w:footnote>
  <w:footnote w:id="26">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hyperlink r:id="rId10" w:history="1">
        <w:r w:rsidRPr="00751F7C">
          <w:rPr>
            <w:rStyle w:val="Hyperlink"/>
            <w:sz w:val="24"/>
            <w:lang w:val="bg-BG"/>
          </w:rPr>
          <w:t>Вж. официални решения</w:t>
        </w:r>
      </w:hyperlink>
      <w:r w:rsidRPr="00751F7C">
        <w:rPr>
          <w:sz w:val="24"/>
          <w:lang w:val="bg-BG"/>
        </w:rPr>
        <w:t>, Акт за цифровите пазари. 100044, 100040, 100035, 100027, 100026, 100025, 100024, 100020, 100018, 100017, 100016, 100013, 100011.</w:t>
      </w:r>
    </w:p>
  </w:footnote>
  <w:footnote w:id="27">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Европейска комисия, Study on the impact of recent developments in digital advertising on privacy, publishers and advertisers (Проучване на въздействието на последните развития в областта на рекламните технологии върху неприкосновеността на личния живот, издателите и рекламодателите), стр. 263—264.</w:t>
      </w:r>
    </w:p>
  </w:footnote>
  <w:footnote w:id="28">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(OВ L 277, 27.10.2022 г., стp. 1).</w:t>
      </w:r>
    </w:p>
  </w:footnote>
  <w:footnote w:id="29">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Решение Акт за цифровите пазари. 100015; Акт за цифровите пазари 100028 и Акт за цифровите пазари. 100034.</w:t>
      </w:r>
    </w:p>
  </w:footnote>
  <w:footnote w:id="30">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Решение Акт за цифровите пазари. 100047 и Акт за цифровите пазари. 100022.</w:t>
      </w:r>
    </w:p>
  </w:footnote>
  <w:footnote w:id="31">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Регламент (ЕС) 2016/679 на Европейския парламент и на Съвета от 27 април 2016 г. </w:t>
      </w:r>
      <w:r w:rsidRPr="00751F7C">
        <w:rPr>
          <w:sz w:val="24"/>
          <w:lang w:val="bg-BG"/>
        </w:rPr>
        <w:t>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r w:rsidR="00CF574C">
        <w:rPr>
          <w:sz w:val="24"/>
          <w:lang w:val="bg-BG"/>
        </w:rPr>
        <w:t>.</w:t>
      </w:r>
      <w:bookmarkStart w:id="8" w:name="_GoBack"/>
      <w:bookmarkEnd w:id="8"/>
      <w:r w:rsidRPr="00751F7C">
        <w:rPr>
          <w:sz w:val="24"/>
          <w:lang w:val="bg-BG"/>
        </w:rPr>
        <w:t>, стр. 1).</w:t>
      </w:r>
    </w:p>
  </w:footnote>
  <w:footnote w:id="32">
    <w:p w:rsidR="003A191B" w:rsidRPr="00751F7C" w:rsidRDefault="003A191B" w:rsidP="00751F7C">
      <w:pPr>
        <w:pStyle w:val="FootnoteText"/>
        <w:ind w:left="567" w:hanging="567"/>
        <w:rPr>
          <w:sz w:val="24"/>
          <w:lang w:val="bg-BG"/>
        </w:rPr>
      </w:pPr>
      <w:r w:rsidRPr="00751F7C">
        <w:rPr>
          <w:rStyle w:val="FootnoteReference"/>
          <w:sz w:val="24"/>
          <w:lang w:val="bg-BG"/>
        </w:rPr>
        <w:footnoteRef/>
      </w:r>
      <w:r w:rsidR="00751F7C" w:rsidRPr="00751F7C">
        <w:rPr>
          <w:sz w:val="24"/>
          <w:lang w:val="bg-BG"/>
        </w:rPr>
        <w:t xml:space="preserve"> </w:t>
      </w:r>
      <w:r w:rsidR="00751F7C" w:rsidRPr="00751F7C">
        <w:rPr>
          <w:sz w:val="24"/>
          <w:lang w:val="bg-BG"/>
        </w:rPr>
        <w:tab/>
      </w:r>
      <w:r w:rsidRPr="00751F7C">
        <w:rPr>
          <w:sz w:val="24"/>
          <w:lang w:val="bg-BG"/>
        </w:rPr>
        <w:t xml:space="preserve">Среща на върха на Г-7 в Хирошима, </w:t>
      </w:r>
      <w:hyperlink r:id="rId11" w:history="1">
        <w:r w:rsidRPr="00751F7C">
          <w:rPr>
            <w:rStyle w:val="Hyperlink"/>
            <w:sz w:val="24"/>
            <w:lang w:val="bg-BG"/>
          </w:rPr>
          <w:t>Compendium of approaches to improving competition in digital markets</w:t>
        </w:r>
      </w:hyperlink>
      <w:r w:rsidRPr="00751F7C">
        <w:rPr>
          <w:sz w:val="24"/>
          <w:lang w:val="bg-BG"/>
        </w:rPr>
        <w:t xml:space="preserve"> (Сборник от подходи за подобряване на конкуренцията на цифровите пазари), 8 ноември 2023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BG"/>
    <w:docVar w:name="dvnumam" w:val="0"/>
    <w:docVar w:name="dvpe" w:val="753.544"/>
    <w:docVar w:name="dvrapporteur" w:val="Докладчик: "/>
    <w:docVar w:name="dvtitre" w:val="Резолюция на Европейския парламент от ... 2024 г. относно политиката в областта на конкуренцията – годишен доклад за 2023 г.(2023/2077(INI))"/>
  </w:docVars>
  <w:rsids>
    <w:rsidRoot w:val="00A944D9"/>
    <w:rsid w:val="00002272"/>
    <w:rsid w:val="00064002"/>
    <w:rsid w:val="000677B9"/>
    <w:rsid w:val="000831BA"/>
    <w:rsid w:val="000A42CC"/>
    <w:rsid w:val="000E7DD9"/>
    <w:rsid w:val="0010095E"/>
    <w:rsid w:val="00125B37"/>
    <w:rsid w:val="001347AB"/>
    <w:rsid w:val="00187494"/>
    <w:rsid w:val="001F32AE"/>
    <w:rsid w:val="002767FF"/>
    <w:rsid w:val="002B18FE"/>
    <w:rsid w:val="002B5493"/>
    <w:rsid w:val="00343214"/>
    <w:rsid w:val="00361C00"/>
    <w:rsid w:val="00395FA1"/>
    <w:rsid w:val="003A191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1F7C"/>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4D9"/>
    <w:rsid w:val="00AB441E"/>
    <w:rsid w:val="00AB6293"/>
    <w:rsid w:val="00AE0928"/>
    <w:rsid w:val="00AF3B82"/>
    <w:rsid w:val="00B12E95"/>
    <w:rsid w:val="00B22876"/>
    <w:rsid w:val="00B558F0"/>
    <w:rsid w:val="00BD48FE"/>
    <w:rsid w:val="00BD7BD8"/>
    <w:rsid w:val="00BE6ADC"/>
    <w:rsid w:val="00C05BFE"/>
    <w:rsid w:val="00C23CD4"/>
    <w:rsid w:val="00C61C0C"/>
    <w:rsid w:val="00C82C9E"/>
    <w:rsid w:val="00C941CB"/>
    <w:rsid w:val="00CC2357"/>
    <w:rsid w:val="00CF071A"/>
    <w:rsid w:val="00CF574C"/>
    <w:rsid w:val="00D058B8"/>
    <w:rsid w:val="00D222EA"/>
    <w:rsid w:val="00D56C11"/>
    <w:rsid w:val="00D834A0"/>
    <w:rsid w:val="00D872DF"/>
    <w:rsid w:val="00D91E21"/>
    <w:rsid w:val="00DA7FCD"/>
    <w:rsid w:val="00E365E1"/>
    <w:rsid w:val="00E777EA"/>
    <w:rsid w:val="00E820A4"/>
    <w:rsid w:val="00EB006A"/>
    <w:rsid w:val="00EB4772"/>
    <w:rsid w:val="00ED169E"/>
    <w:rsid w:val="00ED4235"/>
    <w:rsid w:val="00F04346"/>
    <w:rsid w:val="00F075DC"/>
    <w:rsid w:val="00F149E9"/>
    <w:rsid w:val="00F5134D"/>
    <w:rsid w:val="00F74202"/>
    <w:rsid w:val="00F77D8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C289F"/>
  <w15:chartTrackingRefBased/>
  <w15:docId w15:val="{1D606537-F60D-4A1F-BFCC-44C82C9B8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A191B"/>
    <w:pPr>
      <w:spacing w:after="240"/>
      <w:ind w:left="567" w:hanging="567"/>
    </w:pPr>
  </w:style>
  <w:style w:type="paragraph" w:customStyle="1" w:styleId="EPComma">
    <w:name w:val="EPComma"/>
    <w:basedOn w:val="Normal"/>
    <w:rsid w:val="003A191B"/>
    <w:pPr>
      <w:spacing w:before="480" w:after="240"/>
    </w:pPr>
  </w:style>
  <w:style w:type="character" w:styleId="Hyperlink">
    <w:name w:val="Hyperlink"/>
    <w:basedOn w:val="DefaultParagraphFont"/>
    <w:rsid w:val="003A191B"/>
    <w:rPr>
      <w:color w:val="0563C1" w:themeColor="hyperlink"/>
      <w:u w:val="single"/>
    </w:rPr>
  </w:style>
  <w:style w:type="character" w:customStyle="1" w:styleId="NormalHanging12aChar">
    <w:name w:val="NormalHanging12a Char"/>
    <w:basedOn w:val="DefaultParagraphFont"/>
    <w:link w:val="NormalHanging12a"/>
    <w:rsid w:val="003A191B"/>
    <w:rPr>
      <w:sz w:val="24"/>
      <w:lang w:val="bg-BG"/>
    </w:rPr>
  </w:style>
  <w:style w:type="paragraph" w:styleId="BalloonText">
    <w:name w:val="Balloon Text"/>
    <w:basedOn w:val="Normal"/>
    <w:link w:val="BalloonTextChar"/>
    <w:rsid w:val="00D222EA"/>
    <w:rPr>
      <w:rFonts w:ascii="Segoe UI" w:hAnsi="Segoe UI" w:cs="Segoe UI"/>
      <w:sz w:val="18"/>
      <w:szCs w:val="18"/>
    </w:rPr>
  </w:style>
  <w:style w:type="character" w:customStyle="1" w:styleId="BalloonTextChar">
    <w:name w:val="Balloon Text Char"/>
    <w:basedOn w:val="DefaultParagraphFont"/>
    <w:link w:val="BalloonText"/>
    <w:rsid w:val="00D222E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file:///\\ipolbrusncf01\userdocs$\vunguroiu\Documents\DocEP\TEMP\&#8216;Booking%20Holdings\Etraveli%20Group&#8217;"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bg"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en/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3CA6F-0C13-4A84-B12D-7389D98E4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5615</Words>
  <Characters>33813</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2024-02-14T13:55:00Z</dcterms:created>
  <dcterms:modified xsi:type="dcterms:W3CDTF">2024-02-14T13:55:00Z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A9-0427/2023</vt:lpwstr>
  </property>
  <property fmtid="{D5CDD505-2E9C-101B-9397-08002B2CF9AE}" pid="4" name="&lt;Type&gt;">
    <vt:lpwstr>RR</vt:lpwstr>
  </property>
</Properties>
</file>