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5398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53980" w:rsidRDefault="001D2182" w:rsidP="0010095E">
            <w:pPr>
              <w:pStyle w:val="EPName"/>
            </w:pPr>
            <w:r w:rsidRPr="00C53980">
              <w:t>Evropský parlament</w:t>
            </w:r>
          </w:p>
          <w:p w:rsidR="00751A4A" w:rsidRPr="00C5398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5398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53980" w:rsidRDefault="00187494" w:rsidP="0010095E">
            <w:pPr>
              <w:pStyle w:val="EPLogo"/>
            </w:pPr>
            <w:r w:rsidRPr="00C5398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53980" w:rsidRDefault="00D058B8" w:rsidP="004C5D52">
      <w:pPr>
        <w:pStyle w:val="LineTop"/>
      </w:pPr>
    </w:p>
    <w:p w:rsidR="00680577" w:rsidRPr="00C53980" w:rsidRDefault="001D2182" w:rsidP="00680577">
      <w:pPr>
        <w:pStyle w:val="EPBodyTA1"/>
      </w:pPr>
      <w:r w:rsidRPr="00C53980">
        <w:t>PŘIJATÉ TEXTY</w:t>
      </w:r>
    </w:p>
    <w:p w:rsidR="00D058B8" w:rsidRPr="00C53980" w:rsidRDefault="00D058B8" w:rsidP="00D058B8">
      <w:pPr>
        <w:pStyle w:val="LineBottom"/>
      </w:pPr>
    </w:p>
    <w:p w:rsidR="001D2182" w:rsidRPr="00C53980" w:rsidRDefault="001D2182" w:rsidP="001D2182">
      <w:pPr>
        <w:pStyle w:val="ATHeading1"/>
      </w:pPr>
      <w:bookmarkStart w:id="0" w:name="TANumber"/>
      <w:r w:rsidRPr="00C53980">
        <w:t>P9_TA(2024)00</w:t>
      </w:r>
      <w:bookmarkEnd w:id="0"/>
      <w:r w:rsidR="00083E7C">
        <w:t>11</w:t>
      </w:r>
    </w:p>
    <w:p w:rsidR="001D2182" w:rsidRPr="00C53980" w:rsidRDefault="001D2182" w:rsidP="001D2182">
      <w:pPr>
        <w:pStyle w:val="ATHeading2"/>
      </w:pPr>
      <w:bookmarkStart w:id="1" w:name="title"/>
      <w:r w:rsidRPr="00C53980">
        <w:t>Politika v oblasti hospodářské soutěže – výroční zpráva za rok 2023</w:t>
      </w:r>
      <w:bookmarkEnd w:id="1"/>
    </w:p>
    <w:p w:rsidR="001D2182" w:rsidRPr="00C53980" w:rsidRDefault="001D2182" w:rsidP="001D2182">
      <w:pPr>
        <w:rPr>
          <w:i/>
          <w:vanish/>
        </w:rPr>
      </w:pPr>
      <w:r w:rsidRPr="00C53980">
        <w:rPr>
          <w:i/>
        </w:rPr>
        <w:fldChar w:fldCharType="begin"/>
      </w:r>
      <w:r w:rsidRPr="00C53980">
        <w:rPr>
          <w:i/>
        </w:rPr>
        <w:instrText xml:space="preserve"> TC"(</w:instrText>
      </w:r>
      <w:bookmarkStart w:id="2" w:name="DocNumber"/>
      <w:r w:rsidRPr="00C53980">
        <w:rPr>
          <w:i/>
        </w:rPr>
        <w:instrText>A9-0427/2023</w:instrText>
      </w:r>
      <w:bookmarkEnd w:id="2"/>
      <w:r w:rsidRPr="00C53980">
        <w:rPr>
          <w:i/>
        </w:rPr>
        <w:instrText xml:space="preserve"> - Zpravodajka: Stéphanie Yon</w:instrText>
      </w:r>
      <w:r w:rsidRPr="00C53980">
        <w:rPr>
          <w:i/>
        </w:rPr>
        <w:noBreakHyphen/>
        <w:instrText xml:space="preserve">Courtin)"\l3 \n&gt; \* MERGEFORMAT </w:instrText>
      </w:r>
      <w:r w:rsidRPr="00C53980">
        <w:rPr>
          <w:i/>
        </w:rPr>
        <w:fldChar w:fldCharType="end"/>
      </w:r>
    </w:p>
    <w:p w:rsidR="001D2182" w:rsidRPr="00C53980" w:rsidRDefault="001D2182" w:rsidP="001D2182">
      <w:pPr>
        <w:rPr>
          <w:vanish/>
        </w:rPr>
      </w:pPr>
      <w:bookmarkStart w:id="3" w:name="Commission"/>
      <w:r w:rsidRPr="00C53980">
        <w:rPr>
          <w:vanish/>
        </w:rPr>
        <w:t>Hospodářský a měnový výbor</w:t>
      </w:r>
      <w:bookmarkEnd w:id="3"/>
    </w:p>
    <w:p w:rsidR="001D2182" w:rsidRPr="00C53980" w:rsidRDefault="001D2182" w:rsidP="001D2182">
      <w:pPr>
        <w:rPr>
          <w:vanish/>
        </w:rPr>
      </w:pPr>
      <w:bookmarkStart w:id="4" w:name="PE"/>
      <w:r w:rsidRPr="00C53980">
        <w:rPr>
          <w:vanish/>
        </w:rPr>
        <w:t>PE753.544</w:t>
      </w:r>
      <w:bookmarkEnd w:id="4"/>
    </w:p>
    <w:p w:rsidR="001D2182" w:rsidRPr="00C53980" w:rsidRDefault="001D2182" w:rsidP="001D2182">
      <w:pPr>
        <w:pStyle w:val="ATHeading3"/>
      </w:pPr>
      <w:bookmarkStart w:id="5" w:name="Sujet"/>
      <w:r w:rsidRPr="00C53980">
        <w:t xml:space="preserve">Usnesení </w:t>
      </w:r>
      <w:r w:rsidR="00083E7C">
        <w:t>Evropského parlamentu ze dne 16</w:t>
      </w:r>
      <w:r w:rsidR="00E70EEF">
        <w:t>. ledna</w:t>
      </w:r>
      <w:r w:rsidRPr="00C53980">
        <w:t xml:space="preserve"> 2024 o politice v oblasti hospodářské soutěže – výroční zpráva za rok 2023</w:t>
      </w:r>
      <w:bookmarkEnd w:id="5"/>
      <w:r w:rsidRPr="00C53980">
        <w:t xml:space="preserve"> </w:t>
      </w:r>
      <w:bookmarkStart w:id="6" w:name="References"/>
      <w:r w:rsidRPr="00C53980">
        <w:t>(2023/2077(INI))</w:t>
      </w:r>
      <w:bookmarkEnd w:id="6"/>
    </w:p>
    <w:p w:rsidR="006E67A0" w:rsidRPr="00C53980" w:rsidRDefault="006E67A0" w:rsidP="006E67A0">
      <w:pPr>
        <w:pStyle w:val="EPComma"/>
      </w:pPr>
      <w:bookmarkStart w:id="7" w:name="TextBodyBegin"/>
      <w:bookmarkEnd w:id="7"/>
      <w:r w:rsidRPr="00C53980">
        <w:rPr>
          <w:i/>
          <w:iCs/>
        </w:rPr>
        <w:t>Evropský parlament,</w:t>
      </w:r>
    </w:p>
    <w:p w:rsidR="006E67A0" w:rsidRPr="00C53980" w:rsidRDefault="006E67A0" w:rsidP="006E67A0">
      <w:pPr>
        <w:pStyle w:val="NormalHanging12a"/>
      </w:pPr>
      <w:r w:rsidRPr="00C53980">
        <w:t>–</w:t>
      </w:r>
      <w:r w:rsidRPr="00C53980">
        <w:tab/>
        <w:t>s ohledem na Smlouvu o fungování Evropské unie, a zejména na její články 101 až 109,</w:t>
      </w:r>
    </w:p>
    <w:p w:rsidR="006E67A0" w:rsidRPr="00C53980" w:rsidRDefault="006E67A0" w:rsidP="006E67A0">
      <w:pPr>
        <w:pStyle w:val="NormalHanging12a"/>
      </w:pPr>
      <w:r w:rsidRPr="00C53980">
        <w:t>–</w:t>
      </w:r>
      <w:r w:rsidRPr="00C53980">
        <w:tab/>
        <w:t>s ohledem na příslušná pravidla, pokyny, usnesení, veřejné konzultace, sdělení a dokumenty Komise týkající se hospodářské soutěže,</w:t>
      </w:r>
    </w:p>
    <w:p w:rsidR="006E67A0" w:rsidRPr="00C53980" w:rsidRDefault="006E67A0" w:rsidP="006E67A0">
      <w:pPr>
        <w:pStyle w:val="NormalHanging12a"/>
      </w:pPr>
      <w:r w:rsidRPr="00C53980">
        <w:t>–</w:t>
      </w:r>
      <w:r w:rsidRPr="00C53980">
        <w:tab/>
        <w:t>s ohledem na zprávu Komise ze dne 4. dubna 2023 nazvanou „Zpráva o politice hospodářské soutěže za rok 2022“ (</w:t>
      </w:r>
      <w:proofErr w:type="gramStart"/>
      <w:r w:rsidRPr="00C53980">
        <w:t>COM(2023</w:t>
      </w:r>
      <w:proofErr w:type="gramEnd"/>
      <w:r w:rsidRPr="00C53980">
        <w:t>)0184) a na doprovodný pracovní dokument útvarů Komise (SWD(2023)0076),</w:t>
      </w:r>
    </w:p>
    <w:p w:rsidR="006E67A0" w:rsidRPr="00C53980" w:rsidRDefault="006E67A0" w:rsidP="006E67A0">
      <w:pPr>
        <w:pStyle w:val="NormalHanging12a"/>
      </w:pPr>
      <w:r w:rsidRPr="00C53980">
        <w:t>–</w:t>
      </w:r>
      <w:r w:rsidRPr="00C53980">
        <w:tab/>
        <w:t>s ohledem na své usnesení ze dne 13. června 2023 o politice v oblasti hospodářské soutěže – výroční zpráva za rok 2022</w:t>
      </w:r>
      <w:r w:rsidRPr="00C53980">
        <w:rPr>
          <w:rStyle w:val="FootnoteReference"/>
        </w:rPr>
        <w:footnoteReference w:id="1"/>
      </w:r>
      <w:r w:rsidRPr="00C53980">
        <w:t>,</w:t>
      </w:r>
    </w:p>
    <w:p w:rsidR="006E67A0" w:rsidRPr="00C53980" w:rsidRDefault="006E67A0" w:rsidP="006E67A0">
      <w:pPr>
        <w:pStyle w:val="NormalHanging12a"/>
      </w:pPr>
      <w:r w:rsidRPr="00C53980">
        <w:t>–</w:t>
      </w:r>
      <w:r w:rsidRPr="00C53980">
        <w:tab/>
        <w:t>s ohledem na sdělení Komise ze dne 11. prosince 2019 nazvané „Zelená dohoda pro Evropu“ (</w:t>
      </w:r>
      <w:proofErr w:type="gramStart"/>
      <w:r w:rsidRPr="00C53980">
        <w:t>COM(2019</w:t>
      </w:r>
      <w:proofErr w:type="gramEnd"/>
      <w:r w:rsidRPr="00C53980">
        <w:t>)0640),</w:t>
      </w:r>
    </w:p>
    <w:p w:rsidR="006E67A0" w:rsidRPr="00C53980" w:rsidRDefault="006E67A0" w:rsidP="006E67A0">
      <w:pPr>
        <w:pStyle w:val="NormalHanging12a"/>
      </w:pPr>
      <w:r w:rsidRPr="00C53980">
        <w:t>–</w:t>
      </w:r>
      <w:r w:rsidRPr="00C53980">
        <w:tab/>
        <w:t>s ohledem na revidované pokyny Komise k státní podpoře investic v rámci rizikového financování vydané dne 6. prosince 2021,</w:t>
      </w:r>
    </w:p>
    <w:p w:rsidR="006E67A0" w:rsidRPr="00C53980" w:rsidRDefault="006E67A0" w:rsidP="006E67A0">
      <w:pPr>
        <w:pStyle w:val="NormalHanging12a"/>
      </w:pPr>
      <w:r w:rsidRPr="00C53980">
        <w:t>–</w:t>
      </w:r>
      <w:r w:rsidRPr="00C53980">
        <w:tab/>
        <w:t>s ohledem na rozsudek Soudního dvora Evropské unie (SDEU) ze dne 13. července 2022 ve věci T-227/21</w:t>
      </w:r>
      <w:r w:rsidRPr="00C53980">
        <w:rPr>
          <w:rStyle w:val="FootnoteReference"/>
        </w:rPr>
        <w:footnoteReference w:id="2"/>
      </w:r>
      <w:r w:rsidRPr="00C53980">
        <w:t>,</w:t>
      </w:r>
    </w:p>
    <w:p w:rsidR="006E67A0" w:rsidRPr="00C53980" w:rsidRDefault="006E67A0" w:rsidP="006E67A0">
      <w:pPr>
        <w:pStyle w:val="NormalHanging12a"/>
      </w:pPr>
      <w:r w:rsidRPr="00C53980">
        <w:t>–</w:t>
      </w:r>
      <w:r w:rsidRPr="00C53980">
        <w:tab/>
        <w:t>s ohledem na sdělení Komise ze dne 24. března 2022 nazvané „Dočasný krizový rámec pro opatření státní podpory na podporu hospodářství po agresi Ruska vůči Ukrajině“</w:t>
      </w:r>
      <w:r w:rsidRPr="00C53980">
        <w:rPr>
          <w:rStyle w:val="FootnoteReference"/>
        </w:rPr>
        <w:footnoteReference w:id="3"/>
      </w:r>
      <w:r w:rsidRPr="00C53980">
        <w:t>,</w:t>
      </w:r>
    </w:p>
    <w:p w:rsidR="006E67A0" w:rsidRPr="00C53980" w:rsidRDefault="006E67A0" w:rsidP="006E67A0">
      <w:pPr>
        <w:pStyle w:val="NormalHanging12a"/>
      </w:pPr>
      <w:r w:rsidRPr="00C53980">
        <w:t>–</w:t>
      </w:r>
      <w:r w:rsidRPr="00C53980">
        <w:tab/>
        <w:t xml:space="preserve">s ohledem na nařízení Rady (ES) č. 139/2004 ze dne 20. ledna 2004 o kontrole </w:t>
      </w:r>
      <w:r w:rsidRPr="00C53980">
        <w:lastRenderedPageBreak/>
        <w:t>spojování podniků (nařízení ES o spojování)</w:t>
      </w:r>
      <w:r w:rsidRPr="00C53980">
        <w:rPr>
          <w:rStyle w:val="FootnoteReference"/>
        </w:rPr>
        <w:footnoteReference w:id="4"/>
      </w:r>
      <w:r w:rsidRPr="00C53980">
        <w:t>,</w:t>
      </w:r>
    </w:p>
    <w:p w:rsidR="006E67A0" w:rsidRPr="00C53980" w:rsidRDefault="006E67A0" w:rsidP="006E67A0">
      <w:pPr>
        <w:pStyle w:val="NormalHanging12a"/>
      </w:pPr>
      <w:r w:rsidRPr="00C53980">
        <w:t>–</w:t>
      </w:r>
      <w:r w:rsidRPr="00C53980">
        <w:tab/>
        <w:t>s ohledem na nařízení Evropského parlamentu a Rady (EU) 2022/1925 ze dne 14. září 2022 o spravedlivých trzích otevřených hospodářské soutěži v digitálním odvětví a o změně směrnic (EU) 2019/1937 a (EU) 2020/1828 (nařízení o digitálních trzích)</w:t>
      </w:r>
      <w:r w:rsidRPr="00C53980">
        <w:rPr>
          <w:rStyle w:val="FootnoteReference"/>
        </w:rPr>
        <w:footnoteReference w:id="5"/>
      </w:r>
      <w:r w:rsidRPr="00C53980">
        <w:t>,</w:t>
      </w:r>
    </w:p>
    <w:p w:rsidR="006E67A0" w:rsidRPr="00C53980" w:rsidRDefault="006E67A0" w:rsidP="006E67A0">
      <w:pPr>
        <w:pStyle w:val="NormalHanging12a"/>
      </w:pPr>
      <w:r w:rsidRPr="00C53980">
        <w:t>–</w:t>
      </w:r>
      <w:r w:rsidRPr="00C53980">
        <w:tab/>
        <w:t>s ohledem na směrnici Evropského parlamentu a Rady (EU) 2019/1 ze dne 11. prosince 2018 o posílení postavení orgánů pro hospodářskou soutěž v členských státech tak, aby mohly účinněji prosazovat pravidla, a o zajištění řádného fungování vnitřního trhu</w:t>
      </w:r>
      <w:r w:rsidRPr="00C53980">
        <w:rPr>
          <w:rStyle w:val="FootnoteReference"/>
        </w:rPr>
        <w:footnoteReference w:id="6"/>
      </w:r>
      <w:r w:rsidRPr="00C53980">
        <w:t>,</w:t>
      </w:r>
    </w:p>
    <w:p w:rsidR="006E67A0" w:rsidRPr="00C53980" w:rsidRDefault="006E67A0" w:rsidP="006E67A0">
      <w:pPr>
        <w:pStyle w:val="NormalHanging12a"/>
      </w:pPr>
      <w:r w:rsidRPr="00C53980">
        <w:t>–</w:t>
      </w:r>
      <w:r w:rsidRPr="00C53980">
        <w:tab/>
        <w:t>s ohledem na nařízení Rady (ES) č. 1/2003 ze dne 16. prosince 2002 o provádění pravidel hospodářské soutěže stanovených v článcích 81 a 82 Smlouvy</w:t>
      </w:r>
      <w:r w:rsidRPr="00C53980">
        <w:rPr>
          <w:rStyle w:val="FootnoteReference"/>
        </w:rPr>
        <w:footnoteReference w:id="7"/>
      </w:r>
      <w:r w:rsidRPr="00C53980">
        <w:t>,</w:t>
      </w:r>
    </w:p>
    <w:p w:rsidR="006E67A0" w:rsidRPr="00C53980" w:rsidRDefault="006E67A0" w:rsidP="006E67A0">
      <w:pPr>
        <w:pStyle w:val="NormalHanging12a"/>
      </w:pPr>
      <w:r w:rsidRPr="00C53980">
        <w:t>–</w:t>
      </w:r>
      <w:r w:rsidRPr="00C53980">
        <w:tab/>
        <w:t>s ohledem na nařízení Komise (ES) č. 773/2004 ze dne 7. dubna 2004 o vedení řízení Komise podle článků 81 a 82 Smlouvy o ES</w:t>
      </w:r>
      <w:r w:rsidRPr="00C53980">
        <w:rPr>
          <w:rStyle w:val="FootnoteReference"/>
        </w:rPr>
        <w:footnoteReference w:id="8"/>
      </w:r>
      <w:r w:rsidRPr="00C53980">
        <w:t>,</w:t>
      </w:r>
    </w:p>
    <w:p w:rsidR="006E67A0" w:rsidRPr="00C53980" w:rsidRDefault="006E67A0" w:rsidP="006E67A0">
      <w:pPr>
        <w:pStyle w:val="NormalHanging12a"/>
      </w:pPr>
      <w:r w:rsidRPr="00C53980">
        <w:t>–</w:t>
      </w:r>
      <w:r w:rsidRPr="00C53980">
        <w:tab/>
        <w:t>s ohledem na sdělení Komise ze dne 18. února 2022 s názvem „Pokyny pro státní podporu v oblasti klimatu, životního prostředí a energetiky na rok 2022“</w:t>
      </w:r>
      <w:r w:rsidRPr="00C53980">
        <w:rPr>
          <w:rStyle w:val="FootnoteReference"/>
        </w:rPr>
        <w:footnoteReference w:id="9"/>
      </w:r>
      <w:r w:rsidRPr="00C53980">
        <w:t>,</w:t>
      </w:r>
    </w:p>
    <w:p w:rsidR="006E67A0" w:rsidRPr="00C53980" w:rsidRDefault="006E67A0" w:rsidP="006E67A0">
      <w:pPr>
        <w:pStyle w:val="NormalHanging12a"/>
      </w:pPr>
      <w:r w:rsidRPr="00C53980">
        <w:t>–</w:t>
      </w:r>
      <w:r w:rsidRPr="00C53980">
        <w:tab/>
        <w:t>s ohledem na sdělení Komise ze dne 31. ledna 2023 nazvané „Pokyny ke státní podpoře pro širokopásmové sítě“</w:t>
      </w:r>
      <w:r w:rsidRPr="00C53980">
        <w:rPr>
          <w:rStyle w:val="FootnoteReference"/>
        </w:rPr>
        <w:footnoteReference w:id="10"/>
      </w:r>
    </w:p>
    <w:p w:rsidR="006E67A0" w:rsidRPr="00C53980" w:rsidRDefault="006E67A0" w:rsidP="006E67A0">
      <w:pPr>
        <w:pStyle w:val="NormalHanging12a"/>
      </w:pPr>
      <w:r w:rsidRPr="00C53980">
        <w:t>–</w:t>
      </w:r>
      <w:r w:rsidRPr="00C53980">
        <w:tab/>
        <w:t>s ohledem na návrh oznámení Komise o vymezení relevantního trhu pro potřeby práva Unie v oblasti hospodářské soutěže,</w:t>
      </w:r>
    </w:p>
    <w:p w:rsidR="006E67A0" w:rsidRPr="00C53980" w:rsidRDefault="006E67A0" w:rsidP="006E67A0">
      <w:pPr>
        <w:pStyle w:val="NormalHanging12a"/>
      </w:pPr>
      <w:r w:rsidRPr="00C53980">
        <w:t>–</w:t>
      </w:r>
      <w:r w:rsidRPr="00C53980">
        <w:tab/>
        <w:t xml:space="preserve">s ohledem na pracovní dokument útvarů Komise ze dne 1. prosince 2022 nazvaný „Hodnocení pravidel pro státní dotace na zdravotní a sociální služby obecného hospodářského zájmu a nařízení o podpoře </w:t>
      </w:r>
      <w:r w:rsidRPr="00C53980">
        <w:rPr>
          <w:i/>
          <w:iCs/>
        </w:rPr>
        <w:t xml:space="preserve">de </w:t>
      </w:r>
      <w:proofErr w:type="spellStart"/>
      <w:r w:rsidRPr="00C53980">
        <w:rPr>
          <w:i/>
          <w:iCs/>
        </w:rPr>
        <w:t>minimis</w:t>
      </w:r>
      <w:proofErr w:type="spellEnd"/>
      <w:r w:rsidRPr="00C53980">
        <w:t xml:space="preserve"> na poskytování služeb obecného hospodářského zájmu“ (SWD(2022)0388),</w:t>
      </w:r>
    </w:p>
    <w:p w:rsidR="006E67A0" w:rsidRPr="00C53980" w:rsidRDefault="006E67A0" w:rsidP="006E67A0">
      <w:pPr>
        <w:pStyle w:val="NormalHanging12a"/>
      </w:pPr>
      <w:r w:rsidRPr="00C53980">
        <w:t>–</w:t>
      </w:r>
      <w:r w:rsidRPr="00C53980">
        <w:tab/>
        <w:t>s ohledem na skutečnost, že dne 1. září 2023 vstoupil v platnost balíček opatření přijatý dne 20. dubna 2023, jehož cílem je zjednodušit a zefektivnit postupy pro přezkum některých spojení, která nevyvolávají obavy z narušení hospodářské soutěže (C(2023)2400, C(2023)2401, C(2023)2402),</w:t>
      </w:r>
    </w:p>
    <w:p w:rsidR="006E67A0" w:rsidRPr="00C53980" w:rsidRDefault="006E67A0" w:rsidP="006E67A0">
      <w:pPr>
        <w:pStyle w:val="NormalHanging12a"/>
      </w:pPr>
      <w:r w:rsidRPr="00C53980">
        <w:t>–</w:t>
      </w:r>
      <w:r w:rsidRPr="00C53980">
        <w:tab/>
        <w:t>s ohledem na nařízení Evropského parlamentu a Rady (EU) 2022/2560 ze dne 14. prosince 2022 o zahraničních subvencích narušujících vnitřní trh</w:t>
      </w:r>
      <w:r w:rsidRPr="00C53980">
        <w:rPr>
          <w:rStyle w:val="FootnoteReference"/>
        </w:rPr>
        <w:footnoteReference w:id="11"/>
      </w:r>
      <w:r w:rsidRPr="00C53980">
        <w:t>,</w:t>
      </w:r>
    </w:p>
    <w:p w:rsidR="006E67A0" w:rsidRPr="00C53980" w:rsidRDefault="006E67A0" w:rsidP="006E67A0">
      <w:pPr>
        <w:pStyle w:val="NormalHanging12a"/>
      </w:pPr>
      <w:r w:rsidRPr="00C53980">
        <w:t>–</w:t>
      </w:r>
      <w:r w:rsidRPr="00C53980">
        <w:tab/>
        <w:t xml:space="preserve">s ohledem na projev o stavu Unie v roce 2023, který přednesla předsedkyně Evropské komise Ursula von der </w:t>
      </w:r>
      <w:proofErr w:type="spellStart"/>
      <w:r w:rsidRPr="00C53980">
        <w:t>Leyenová</w:t>
      </w:r>
      <w:proofErr w:type="spellEnd"/>
      <w:r w:rsidRPr="00C53980">
        <w:rPr>
          <w:rStyle w:val="FootnoteReference"/>
        </w:rPr>
        <w:footnoteReference w:id="12"/>
      </w:r>
      <w:r w:rsidRPr="00C53980">
        <w:t>,</w:t>
      </w:r>
    </w:p>
    <w:p w:rsidR="006E67A0" w:rsidRPr="00C53980" w:rsidRDefault="006E67A0" w:rsidP="006E67A0">
      <w:pPr>
        <w:pStyle w:val="NormalHanging12a"/>
      </w:pPr>
      <w:r w:rsidRPr="00C53980">
        <w:t>–</w:t>
      </w:r>
      <w:r w:rsidRPr="00C53980">
        <w:tab/>
        <w:t xml:space="preserve">s ohledem na rozhodnutí Komise ze dne 6. září 2023 o označení strážců přístupu podle </w:t>
      </w:r>
      <w:r w:rsidRPr="00C53980">
        <w:lastRenderedPageBreak/>
        <w:t>nařízení o digitálních trzích,</w:t>
      </w:r>
    </w:p>
    <w:p w:rsidR="006E67A0" w:rsidRPr="00C53980" w:rsidRDefault="006E67A0" w:rsidP="006E67A0">
      <w:pPr>
        <w:pStyle w:val="NormalHanging12a"/>
      </w:pPr>
      <w:r w:rsidRPr="00C53980">
        <w:t>–</w:t>
      </w:r>
      <w:r w:rsidRPr="00C53980">
        <w:tab/>
        <w:t>s ohledem na prováděcí nařízení Komise (EU) 2023/914 ze dne 20. dubna 2023, kterým se provádí nařízení Rady (ES) č. 139/2004 o kontrole spojování podniků a zrušuje nařízení Komise (ES) č. 802/2004</w:t>
      </w:r>
      <w:r w:rsidRPr="00C53980">
        <w:rPr>
          <w:rStyle w:val="FootnoteReference"/>
        </w:rPr>
        <w:footnoteReference w:id="13"/>
      </w:r>
      <w:r w:rsidRPr="00C53980">
        <w:t>,</w:t>
      </w:r>
    </w:p>
    <w:p w:rsidR="006E67A0" w:rsidRPr="00C53980" w:rsidRDefault="006E67A0" w:rsidP="006E67A0">
      <w:pPr>
        <w:pStyle w:val="NormalHanging12a"/>
      </w:pPr>
      <w:r w:rsidRPr="00C53980">
        <w:t>–</w:t>
      </w:r>
      <w:r w:rsidRPr="00C53980">
        <w:tab/>
        <w:t>s ohledem na společné evropské prohlášení Evropského parlamentu, Rady a Evropské komise o digitálních právech a zásadách pro digitální dekádu ze dne 23. ledna 2023</w:t>
      </w:r>
      <w:r w:rsidRPr="00C53980">
        <w:rPr>
          <w:rStyle w:val="FootnoteReference"/>
        </w:rPr>
        <w:footnoteReference w:id="14"/>
      </w:r>
      <w:r w:rsidRPr="00C53980">
        <w:t>,</w:t>
      </w:r>
    </w:p>
    <w:p w:rsidR="006E67A0" w:rsidRPr="00C53980" w:rsidRDefault="006E67A0" w:rsidP="006E67A0">
      <w:pPr>
        <w:pStyle w:val="NormalHanging12a"/>
      </w:pPr>
      <w:r w:rsidRPr="00C53980">
        <w:t>–</w:t>
      </w:r>
      <w:r w:rsidRPr="00C53980">
        <w:tab/>
        <w:t>s ohledem na rozsudek SDEU ze dne 4. července 2023 ve věci C-252/21</w:t>
      </w:r>
      <w:r w:rsidRPr="00C53980">
        <w:rPr>
          <w:rStyle w:val="FootnoteReference"/>
        </w:rPr>
        <w:footnoteReference w:id="15"/>
      </w:r>
      <w:r w:rsidRPr="00C53980">
        <w:t>,</w:t>
      </w:r>
    </w:p>
    <w:p w:rsidR="006E67A0" w:rsidRPr="00C53980" w:rsidRDefault="006E67A0" w:rsidP="006E67A0">
      <w:pPr>
        <w:pStyle w:val="NormalHanging12a"/>
      </w:pPr>
      <w:r w:rsidRPr="00C53980">
        <w:t>–</w:t>
      </w:r>
      <w:r w:rsidRPr="00C53980">
        <w:tab/>
        <w:t>s ohledem na dokument nazvaný „Kodex osvědčených postupů GŘ COMP pro transparentní, inkluzivní a rychlejší navrhování a posuzování významných projektů společného evropského zájmu“ ze dne 17. května 2023</w:t>
      </w:r>
      <w:r w:rsidRPr="00C53980">
        <w:rPr>
          <w:rStyle w:val="FootnoteReference"/>
        </w:rPr>
        <w:footnoteReference w:id="16"/>
      </w:r>
      <w:r w:rsidRPr="00C53980">
        <w:t>,</w:t>
      </w:r>
    </w:p>
    <w:p w:rsidR="006E67A0" w:rsidRPr="00C53980" w:rsidRDefault="006E67A0" w:rsidP="006E67A0">
      <w:pPr>
        <w:pStyle w:val="NormalHanging12a"/>
      </w:pPr>
      <w:r w:rsidRPr="00C53980">
        <w:t>–</w:t>
      </w:r>
      <w:r w:rsidRPr="00C53980">
        <w:tab/>
        <w:t>s ohledem na zprávu Evropského orgánu pro cenné papíry a trhy (ESMA) s názvem „Zpráva o výpočtu tržního podílu ratingových agentur“ ze dne 15. prosince 2022,</w:t>
      </w:r>
    </w:p>
    <w:p w:rsidR="006E67A0" w:rsidRPr="00C53980" w:rsidRDefault="006E67A0" w:rsidP="006E67A0">
      <w:pPr>
        <w:pStyle w:val="NormalHanging12a"/>
      </w:pPr>
      <w:r w:rsidRPr="00C53980">
        <w:t>–</w:t>
      </w:r>
      <w:r w:rsidRPr="00C53980">
        <w:tab/>
        <w:t>s ohledem na sdělení Komise ze dne 27. dubna 2004 o neformálním poradenství v záležitostech nových otázek, které vyvstanou v souvislosti s konkrétní aplikací článků 81 a 82 Smlouvy o ES (informační dopisy)</w:t>
      </w:r>
      <w:r w:rsidRPr="00C53980">
        <w:rPr>
          <w:rStyle w:val="FootnoteReference"/>
        </w:rPr>
        <w:footnoteReference w:id="17"/>
      </w:r>
      <w:r w:rsidRPr="00C53980">
        <w:t>,</w:t>
      </w:r>
    </w:p>
    <w:p w:rsidR="006E67A0" w:rsidRPr="00C53980" w:rsidRDefault="006E67A0" w:rsidP="006E67A0">
      <w:pPr>
        <w:pStyle w:val="NormalHanging12a"/>
      </w:pPr>
      <w:r w:rsidRPr="00C53980">
        <w:t>–</w:t>
      </w:r>
      <w:r w:rsidRPr="00C53980">
        <w:tab/>
        <w:t>s ohledem na sdělení Komise ze dne 21. července 2023 nazvané „Pokyny k použitelnosti článku 101 Smlouvy o fungování Evropské unie na dohody o horizontální spolupráci“</w:t>
      </w:r>
      <w:r w:rsidRPr="00C53980">
        <w:rPr>
          <w:rStyle w:val="FootnoteReference"/>
        </w:rPr>
        <w:footnoteReference w:id="18"/>
      </w:r>
      <w:r w:rsidRPr="00C53980">
        <w:t>,</w:t>
      </w:r>
    </w:p>
    <w:p w:rsidR="006E67A0" w:rsidRPr="00C53980" w:rsidRDefault="006E67A0" w:rsidP="006E67A0">
      <w:pPr>
        <w:pStyle w:val="NormalHanging12a"/>
      </w:pPr>
      <w:r w:rsidRPr="00C53980">
        <w:t>–</w:t>
      </w:r>
      <w:r w:rsidRPr="00C53980">
        <w:tab/>
        <w:t xml:space="preserve">s ohledem na rozhodnutí Komise ze dne 25. září 2023, kterým se zakazuje navrhovaná akvizice společnosti </w:t>
      </w:r>
      <w:proofErr w:type="spellStart"/>
      <w:r w:rsidRPr="00C53980">
        <w:t>Flugo</w:t>
      </w:r>
      <w:proofErr w:type="spellEnd"/>
      <w:r w:rsidRPr="00C53980">
        <w:t xml:space="preserve"> Group </w:t>
      </w:r>
      <w:proofErr w:type="spellStart"/>
      <w:r w:rsidRPr="00C53980">
        <w:t>Holdings</w:t>
      </w:r>
      <w:proofErr w:type="spellEnd"/>
      <w:r w:rsidRPr="00C53980">
        <w:t xml:space="preserve"> AB („</w:t>
      </w:r>
      <w:proofErr w:type="spellStart"/>
      <w:r w:rsidRPr="00C53980">
        <w:t>eTraveli</w:t>
      </w:r>
      <w:proofErr w:type="spellEnd"/>
      <w:r w:rsidRPr="00C53980">
        <w:t xml:space="preserve">“) společností </w:t>
      </w:r>
      <w:proofErr w:type="spellStart"/>
      <w:r w:rsidRPr="00C53980">
        <w:t>Booking</w:t>
      </w:r>
      <w:proofErr w:type="spellEnd"/>
      <w:r w:rsidRPr="00C53980">
        <w:t xml:space="preserve"> </w:t>
      </w:r>
      <w:proofErr w:type="spellStart"/>
      <w:r w:rsidRPr="00C53980">
        <w:t>Holdings</w:t>
      </w:r>
      <w:proofErr w:type="spellEnd"/>
      <w:r w:rsidRPr="00C53980">
        <w:t xml:space="preserve"> („</w:t>
      </w:r>
      <w:proofErr w:type="spellStart"/>
      <w:r w:rsidRPr="00C53980">
        <w:t>Booking</w:t>
      </w:r>
      <w:proofErr w:type="spellEnd"/>
      <w:r w:rsidRPr="00C53980">
        <w:t>“),</w:t>
      </w:r>
    </w:p>
    <w:p w:rsidR="006E67A0" w:rsidRPr="00C53980" w:rsidRDefault="006E67A0" w:rsidP="006E67A0">
      <w:pPr>
        <w:pStyle w:val="NormalHanging12a"/>
      </w:pPr>
      <w:r w:rsidRPr="00C53980">
        <w:t>–</w:t>
      </w:r>
      <w:r w:rsidRPr="00C53980">
        <w:tab/>
        <w:t>s ohledem na stanovisko Evropského hospodářského a sociálního výboru</w:t>
      </w:r>
      <w:r w:rsidRPr="00C53980">
        <w:rPr>
          <w:rStyle w:val="FootnoteReference"/>
        </w:rPr>
        <w:footnoteReference w:id="19"/>
      </w:r>
      <w:r w:rsidRPr="00C53980">
        <w:t>,</w:t>
      </w:r>
    </w:p>
    <w:p w:rsidR="006E67A0" w:rsidRPr="00C53980" w:rsidRDefault="006E67A0" w:rsidP="006E67A0">
      <w:pPr>
        <w:pStyle w:val="NormalHanging12a"/>
      </w:pPr>
      <w:r w:rsidRPr="00C53980">
        <w:t>–</w:t>
      </w:r>
      <w:r w:rsidRPr="00C53980">
        <w:tab/>
        <w:t>s ohledem na článek 54 jednacího řádu,</w:t>
      </w:r>
    </w:p>
    <w:p w:rsidR="006E67A0" w:rsidRPr="00C53980" w:rsidRDefault="006E67A0" w:rsidP="006E67A0">
      <w:pPr>
        <w:pStyle w:val="NormalHanging12a"/>
      </w:pPr>
      <w:r w:rsidRPr="00C53980">
        <w:t>–</w:t>
      </w:r>
      <w:r w:rsidRPr="00C53980">
        <w:tab/>
        <w:t>s ohledem na zprávu Hospodářského a měnového výboru (A9-0427/2023),</w:t>
      </w:r>
    </w:p>
    <w:p w:rsidR="006E67A0" w:rsidRPr="00C53980" w:rsidRDefault="006E67A0" w:rsidP="006E67A0">
      <w:pPr>
        <w:pStyle w:val="NormalHanging12a"/>
      </w:pPr>
      <w:r w:rsidRPr="00C53980">
        <w:t>A.</w:t>
      </w:r>
      <w:r w:rsidRPr="00C53980">
        <w:tab/>
        <w:t xml:space="preserve">vzhledem k tomu, že politika EU v oblasti hospodářské soutěže hraje důležitou úlohu při stanovování spravedlivých podmínek pro podnikání na jednotném trhu s cílem chránit trhy před spojováním a nepatřičnou akumulací tržní síly a podněcovat inovace a růst společností – zejména malých a středních podniků – v rámci jednotného trhu, a podporovat tedy blahobyt spotřebitelů a zajišťovat větší výběr pro spotřebitele </w:t>
      </w:r>
      <w:r w:rsidRPr="00C53980">
        <w:lastRenderedPageBreak/>
        <w:t>a podniky;</w:t>
      </w:r>
    </w:p>
    <w:p w:rsidR="006E67A0" w:rsidRPr="00C53980" w:rsidRDefault="006E67A0" w:rsidP="006E67A0">
      <w:pPr>
        <w:pStyle w:val="NormalHanging12a"/>
      </w:pPr>
      <w:r w:rsidRPr="00C53980">
        <w:t>B.</w:t>
      </w:r>
      <w:r w:rsidRPr="00C53980">
        <w:tab/>
        <w:t>vzhledem k tomu, že je nutné dosáhnout přínosné součinnosti mezi politikou hospodářské soutěže a dalšími odvětvovými politikami; vzhledem k tomu, že politika v oblasti hospodářské soutěže by mohla přispět k posílení odolnosti vnitřního trhu a jeho integrity a konkurenceschopnosti a k dosažení cílů Zelené dohody pro Evropu a Digitálního kompasu a cílů EU zakotvených v článku 3 Smlouvy o Evropské unii (SEU);</w:t>
      </w:r>
    </w:p>
    <w:p w:rsidR="006E67A0" w:rsidRPr="00C53980" w:rsidRDefault="006E67A0" w:rsidP="006E67A0">
      <w:pPr>
        <w:pStyle w:val="NormalHanging12a"/>
      </w:pPr>
      <w:r w:rsidRPr="00C53980">
        <w:t>C.</w:t>
      </w:r>
      <w:r w:rsidRPr="00C53980">
        <w:tab/>
        <w:t>vzhledem k tomu, že mezinárodní výměna a spolupráce mají zásadní význam pro dosažení globálních a konkurenceschopných rovných podmínek a pro koordinované řešení výzev souběžné digitální a ekologické transformace;</w:t>
      </w:r>
    </w:p>
    <w:p w:rsidR="006E67A0" w:rsidRPr="00C53980" w:rsidRDefault="006E67A0" w:rsidP="006E67A0">
      <w:pPr>
        <w:pStyle w:val="NormalHanging12a"/>
      </w:pPr>
      <w:r w:rsidRPr="00C53980">
        <w:t>D.</w:t>
      </w:r>
      <w:r w:rsidRPr="00C53980">
        <w:tab/>
        <w:t>vzhledem k tomu, že globální geopolitické okolnosti vyžadují odpovědná a konkurenceschopná řešení, a to i pokud jde o politiku hospodářské soutěže; vzhledem k tomu, že by EU měla využít všech politických a legislativních nástrojů, které má k dispozici, k ochraně integrity, odolnosti a konkurenceschopnosti svého vnitřního trhu vzhledem k výzvám, které představuje znásobení konfliktů ve světě, napětí v oblasti obchodu mezi konkurenčními zeměmi, krize související se změnou klimatu a tlaky v důsledku inflace a nízké míry hospodářského růstu; vzhledem k tomu, že je třeba omezit škodlivou závislost EU na třetích zemích a globálních mocnostech v oblasti, jako jsou energetika, léčivé přípravky, technologie nebo suroviny;</w:t>
      </w:r>
    </w:p>
    <w:p w:rsidR="006E67A0" w:rsidRPr="00C53980" w:rsidRDefault="006E67A0" w:rsidP="006E67A0">
      <w:pPr>
        <w:pStyle w:val="NormalHanging12a"/>
      </w:pPr>
      <w:r w:rsidRPr="00C53980">
        <w:t>E.</w:t>
      </w:r>
      <w:r w:rsidRPr="00C53980">
        <w:tab/>
        <w:t>vzhledem k tomu, že Komise a vnitrostátní orgány pro hospodářskou soutěž musejí jednat nestranně a objektivně, aby byla zachována důvěryhodnost politiky EU v oblasti hospodářské soutěže;</w:t>
      </w:r>
    </w:p>
    <w:p w:rsidR="006E67A0" w:rsidRPr="00C53980" w:rsidRDefault="006E67A0" w:rsidP="006E67A0">
      <w:pPr>
        <w:pStyle w:val="NormalHanging12a"/>
      </w:pPr>
      <w:r w:rsidRPr="00C53980">
        <w:t>F.</w:t>
      </w:r>
      <w:r w:rsidRPr="00C53980">
        <w:tab/>
        <w:t>vzhledem k tomu, že globální síla a význam jednotného trhu EU vyplývá z jeho vnitřní konkurenceschopnosti a rovných podmínek;</w:t>
      </w:r>
    </w:p>
    <w:p w:rsidR="006E67A0" w:rsidRPr="00C53980" w:rsidRDefault="006E67A0" w:rsidP="006E67A0">
      <w:pPr>
        <w:pStyle w:val="NormalHanging12a"/>
        <w:ind w:left="0" w:firstLine="0"/>
        <w:rPr>
          <w:b/>
          <w:i/>
        </w:rPr>
      </w:pPr>
      <w:r w:rsidRPr="00C53980">
        <w:rPr>
          <w:b/>
          <w:i/>
        </w:rPr>
        <w:t>Úloha hospodářské soutěže a politická reakce na válku na Ukrajině, zákon USA o snižování inflace a přetrvávající výzvy vyplývající z pandemie COVID-19</w:t>
      </w:r>
    </w:p>
    <w:p w:rsidR="006E67A0" w:rsidRPr="00C53980" w:rsidRDefault="006E67A0" w:rsidP="006E67A0">
      <w:pPr>
        <w:pStyle w:val="NormalHanging12a"/>
      </w:pPr>
      <w:r w:rsidRPr="00C53980">
        <w:t>1.</w:t>
      </w:r>
      <w:r w:rsidRPr="00C53980">
        <w:tab/>
        <w:t>vyzývá Komisi, aby chránila integritu jednotného trhu; připomíná, že reakce na zákon USA o snižování inflace nesmí být založena pouze na využívání státní podpory, ale také na vytvoření vhodnějšího prostředí pro podnikání a na obnoveném rámci pro hospodářskou soutěž, který společnostem, jež v Evropě investují a spravedlivě soutěží, zajistí rychlost a flexibilitu, přičemž je nutné plnit klimatické cíle EU;</w:t>
      </w:r>
    </w:p>
    <w:p w:rsidR="006E67A0" w:rsidRPr="00C53980" w:rsidRDefault="006E67A0" w:rsidP="006E67A0">
      <w:pPr>
        <w:pStyle w:val="NormalHanging12a"/>
      </w:pPr>
      <w:r w:rsidRPr="00C53980">
        <w:t>2.</w:t>
      </w:r>
      <w:r w:rsidRPr="00C53980">
        <w:tab/>
        <w:t>bere na vědomí dočasný krizový a transformační rámec, jakož i aktualizaci souboru pravidel pro státní podporu, která umožňuje investice do ekologické a digitální transformace; bere na vědomí, že v roce 2023 byla přijata a zavedena „klauzule o vyrovnávací podpoře“; vyzývá Komisi, aby pečlivě zabránila vytváření podmínek pro soupeření o dotace a využila nástroje, které má k dispozici, k předcházení nekalé dotační soutěži a jejímu potírání; zdůrazňuje, že jakákoli další státní podpora musí být cílená a dočasná; zastává názor, že státní podpora by měla být v souladu s cíli politiky EU, jako je Zelená dohoda a evropský pilíř sociálních práv; vyzývá Komisi, aby prošetřila nedostatky v harmonizaci mechanismů zpětného vymáhání neoprávněně vyplacených prostředků v členských státech;</w:t>
      </w:r>
    </w:p>
    <w:p w:rsidR="006E67A0" w:rsidRPr="00C53980" w:rsidRDefault="006E67A0" w:rsidP="006E67A0">
      <w:pPr>
        <w:pStyle w:val="NormalHanging12a"/>
      </w:pPr>
      <w:r w:rsidRPr="00C53980">
        <w:t>3.</w:t>
      </w:r>
      <w:r w:rsidRPr="00C53980">
        <w:tab/>
        <w:t xml:space="preserve">vyzývá Komisi, aby zajistila řádné zaměření všech dočasných nástrojů v oblasti státní </w:t>
      </w:r>
      <w:r w:rsidRPr="00C53980">
        <w:lastRenderedPageBreak/>
        <w:t>podpory, aby se zabránilo roztříštěnosti jednotného trhu;</w:t>
      </w:r>
    </w:p>
    <w:p w:rsidR="006E67A0" w:rsidRPr="00C53980" w:rsidRDefault="006E67A0" w:rsidP="006E67A0">
      <w:pPr>
        <w:pStyle w:val="NormalHanging12a"/>
      </w:pPr>
      <w:r w:rsidRPr="00C53980">
        <w:t>4.</w:t>
      </w:r>
      <w:r w:rsidRPr="00C53980">
        <w:tab/>
        <w:t>zdůrazňuje, že k řešení nových výzev budou zapotřebí další veřejné a soukromé investice; poukazuje na to, že rozpočet EU je nutné řádně vybavit, aby bylo jeho pomocí možné řešit budoucí výzvy, včetně roztříštěností vnitřního trhu, podpory průmyslové strategie EU, zmírnění naší kritické závislosti a zajištění naší otevřené strategické autonomie; zdůrazňuje, že tyto výzvy nelze řešit pouze prostřednictvím veřejných výdajů;</w:t>
      </w:r>
    </w:p>
    <w:p w:rsidR="006E67A0" w:rsidRPr="00C53980" w:rsidRDefault="006E67A0" w:rsidP="006E67A0">
      <w:pPr>
        <w:pStyle w:val="NormalHanging12a"/>
      </w:pPr>
      <w:r w:rsidRPr="00C53980">
        <w:t>5.</w:t>
      </w:r>
      <w:r w:rsidRPr="00C53980">
        <w:tab/>
        <w:t>připomíná, že nejednotný přístup ke státní podpoře může vytvořit nerovné podmínky na vnitřním trhu EU, jelikož ne všechny členské státy mají stejné fiskální možnosti tuto podporu poskytovat; vyzývá proto ke sledování možných účinků narušujících hospodářskou soutěž a k tomu, aby se případná flexibilita veřejné podpory vztahovala pouze na podporu poskytovanou na úrovni EU;</w:t>
      </w:r>
    </w:p>
    <w:p w:rsidR="006E67A0" w:rsidRPr="00C53980" w:rsidRDefault="006E67A0" w:rsidP="006E67A0">
      <w:pPr>
        <w:pStyle w:val="NormalHanging12a"/>
      </w:pPr>
      <w:r w:rsidRPr="00C53980">
        <w:t>6.</w:t>
      </w:r>
      <w:r w:rsidRPr="00C53980">
        <w:tab/>
        <w:t>vyzývá Komisi, aby se zabývala otázkou, jaký dopad má inflace na hospodářskou soutěž vlivem toho, že vytváří pro společnosti pobídky, aby spolupracovaly s konkurenty na koordinaci cen</w:t>
      </w:r>
      <w:r w:rsidRPr="00C53980">
        <w:rPr>
          <w:rStyle w:val="FootnoteReference"/>
        </w:rPr>
        <w:footnoteReference w:id="20"/>
      </w:r>
      <w:r w:rsidRPr="00C53980">
        <w:t>, a také jejími důsledky pro trhy a blahobyt spotřebitelů; zdůrazňuje, že je nutné zlepšit údaje o ziscích, aby bylo možné účinně řešit případné důsledky, neboť z výzkumu Evropské centrální banky a Mezinárodního měnového fondu vyplývá, že zisky podniků jsou významnou dočasnou hnací silou inflace; vyzývá Komisi, aby společně s vnitrostátními orgány pro hospodářskou soutěž pečlivě monitorovala důsledky protisoutěžního jednání a jeho roli ve vývoji inflace; opakuje, že Komise musí využít k řešení krize životních nákladů všech nástrojů dostupných v rámci právních předpisů v oblasti hospodářské soutěže;</w:t>
      </w:r>
    </w:p>
    <w:p w:rsidR="006E67A0" w:rsidRPr="00C53980" w:rsidRDefault="006E67A0" w:rsidP="006E67A0">
      <w:pPr>
        <w:pStyle w:val="NormalHanging12a"/>
      </w:pPr>
      <w:r w:rsidRPr="00C53980">
        <w:t>7.</w:t>
      </w:r>
      <w:r w:rsidRPr="00C53980">
        <w:tab/>
        <w:t xml:space="preserve">vítá iniciativy orgánů pro hospodářskou soutěž v několika členských státech </w:t>
      </w:r>
      <w:r w:rsidRPr="00C53980">
        <w:rPr>
          <w:rStyle w:val="FootnoteReference"/>
        </w:rPr>
        <w:footnoteReference w:id="21"/>
      </w:r>
      <w:r w:rsidRPr="00C53980">
        <w:t>, jejichž cílem je zavést nové pravomoci v oblasti šetření trhu, pokud nevedou k roztříštěnosti vnitřního trhu; vyzývá Komisi, aby zavedla podobný nástroj pro šetření trhu s cílem zabránit mezerám v prosazování právních předpisů v případech, kdy k určitým postupům dochází v EU v přeshraničním kontextu, a případně přijala odvětvová nápravná opatření, aby mohla řešit protisoutěžní chování; připomíná iniciativu Komise týkající se „nového nástroje pro hospodářskou soutěž“, jenž měl řešit mezery mezi pravidly EU v oblasti hospodářské soutěže a intervenčními nástroji proti strukturálním problémům hospodářské soutěže napříč trhy; konstatuje, že díky novému nástroji pro hospodářskou soutěž by Komise mohla prošetřit otázky hospodářské soutěže napříč celými odvětvími; vyzývá Komisi, aby opětovně posoudila „nový nástroj pro hospodářskou soutěž“;</w:t>
      </w:r>
    </w:p>
    <w:p w:rsidR="006E67A0" w:rsidRPr="00C53980" w:rsidRDefault="006E67A0" w:rsidP="006E67A0">
      <w:pPr>
        <w:pStyle w:val="NormalHanging12a"/>
      </w:pPr>
      <w:r w:rsidRPr="00C53980">
        <w:t>8.</w:t>
      </w:r>
      <w:r w:rsidRPr="00C53980">
        <w:tab/>
        <w:t xml:space="preserve">vyzdvihuje důležitost významných projektů společného evropského zájmu pro financování velkých nadnárodních projektů a dosažení strategických priorit EU; bere na vědomí zvláštní kritéria pro významné projekty společného evropského zájmu, pokud jde o analýzu slučitelnosti státní podpory s vnitřním trhem; vyjadřuje hluboké politování nad tím, že potřebné postupy, které jsou zdlouhavé a složité, jsou pro malé a střední podniky často příliš zatěžující; vyzývá Komisi a členské státy k zajištění toho, aby veškerá oznámení byla dokončena nejpozději do šesti měsíců; zdůrazňuje, že významné </w:t>
      </w:r>
      <w:r w:rsidRPr="00C53980">
        <w:lastRenderedPageBreak/>
        <w:t>projekty společného evropského zájmu by měly mít skutečnou evropskou přidanou hodnotu;</w:t>
      </w:r>
    </w:p>
    <w:p w:rsidR="006E67A0" w:rsidRPr="00C53980" w:rsidRDefault="006E67A0" w:rsidP="006E67A0">
      <w:pPr>
        <w:pStyle w:val="NormalHanging12a"/>
      </w:pPr>
      <w:r w:rsidRPr="00C53980">
        <w:t>9.</w:t>
      </w:r>
      <w:r w:rsidRPr="00C53980">
        <w:tab/>
        <w:t>vyzývá Komisi, aby posoudila, jak zásady hospodářské soutěže EU ovlivnily poskytování služeb obecného hospodářského zájmu, a to i s ohledem na krizi COVID-19 a zvýšené životní náklady; vyzývá Komisi, aby posoudila postavení sociálních služeb obecného zájmu a výjimku pro poskytování služeb obecného hospodářského zájmu, pokud jde o cenově dostupné bydlení;</w:t>
      </w:r>
    </w:p>
    <w:p w:rsidR="006E67A0" w:rsidRPr="00C53980" w:rsidRDefault="006E67A0" w:rsidP="006E67A0">
      <w:pPr>
        <w:pStyle w:val="NormalHanging12a"/>
      </w:pPr>
      <w:r w:rsidRPr="00C53980">
        <w:t>10.</w:t>
      </w:r>
      <w:r w:rsidRPr="00C53980">
        <w:tab/>
        <w:t>vítá „Pokyny Komise k uplatňování právních předpisů Unie v oblasti hospodářské soutěže na kolektivní smlouvy“, které objasňují, že právo v oblasti hospodářské soutěže EU nebrání samostatně výdělečně činným osobám v kolektivním vyjednávání; připomíná, že osoby samostatně výdělečně činné mají často omezený přístup ke kolektivnímu vyjednávání nebo jej nemají vůbec, což může vést k nejistým pracovním podmínkám;</w:t>
      </w:r>
    </w:p>
    <w:p w:rsidR="006E67A0" w:rsidRPr="00C53980" w:rsidRDefault="006E67A0" w:rsidP="006E67A0">
      <w:pPr>
        <w:pStyle w:val="NormalHanging12a"/>
      </w:pPr>
      <w:r w:rsidRPr="00C53980">
        <w:t>11.</w:t>
      </w:r>
      <w:r w:rsidRPr="00C53980">
        <w:tab/>
        <w:t>připomíná nedílnou vazbu mezi politikou hospodářské soutěže a vnitřním trhem, která jasně vyplývá ze samotného znění článků 101 a 102 SFEU upravujících politiku hospodářské soutěže EU; vítá skutečnost, že Komise v rámci své legislativní i politické činnosti uznala potřebu propojit politiku hospodářské soutěže s cíli vnitřního trhu, které ji vymezují;</w:t>
      </w:r>
    </w:p>
    <w:p w:rsidR="006E67A0" w:rsidRPr="00C53980" w:rsidRDefault="006E67A0" w:rsidP="006E67A0">
      <w:pPr>
        <w:pStyle w:val="NormalHanging12a"/>
      </w:pPr>
      <w:r w:rsidRPr="00C53980">
        <w:t>12.</w:t>
      </w:r>
      <w:r w:rsidRPr="00C53980">
        <w:tab/>
        <w:t xml:space="preserve">poukazuje na to, že je třeba účinně řešit narušení a selhání trhu a posílit hospodářskou soutěž tím, že budou odstraněny stávající neodůvodněné regulační překážky a že se sníží zbytečná administrativní zátěž, aby se usnadnil vstup nových konkurentů na trh; </w:t>
      </w:r>
    </w:p>
    <w:p w:rsidR="006E67A0" w:rsidRPr="00C53980" w:rsidRDefault="006E67A0" w:rsidP="006E67A0">
      <w:pPr>
        <w:pStyle w:val="NormalHanging12a"/>
      </w:pPr>
      <w:r w:rsidRPr="00C53980">
        <w:t>13.</w:t>
      </w:r>
      <w:r w:rsidRPr="00C53980">
        <w:rPr>
          <w:b/>
        </w:rPr>
        <w:tab/>
      </w:r>
      <w:r w:rsidRPr="00C53980">
        <w:t>zdůrazňuje význam rozsudků SDEU ve věcech c-555/21 (</w:t>
      </w:r>
      <w:proofErr w:type="spellStart"/>
      <w:r w:rsidRPr="00C53980">
        <w:t>UniCredit</w:t>
      </w:r>
      <w:proofErr w:type="spellEnd"/>
      <w:r w:rsidRPr="00C53980">
        <w:t xml:space="preserve"> Bank </w:t>
      </w:r>
      <w:proofErr w:type="spellStart"/>
      <w:r w:rsidRPr="00C53980">
        <w:t>Austria</w:t>
      </w:r>
      <w:proofErr w:type="spellEnd"/>
      <w:r w:rsidRPr="00C53980">
        <w:t>) a C-383/18 (</w:t>
      </w:r>
      <w:proofErr w:type="spellStart"/>
      <w:r w:rsidRPr="00C53980">
        <w:t>Lexitor</w:t>
      </w:r>
      <w:proofErr w:type="spellEnd"/>
      <w:r w:rsidRPr="00C53980">
        <w:t xml:space="preserve"> </w:t>
      </w:r>
      <w:proofErr w:type="spellStart"/>
      <w:r w:rsidRPr="00C53980">
        <w:t>sp</w:t>
      </w:r>
      <w:proofErr w:type="spellEnd"/>
      <w:r w:rsidRPr="00C53980">
        <w:t xml:space="preserve">. z </w:t>
      </w:r>
      <w:proofErr w:type="spellStart"/>
      <w:proofErr w:type="gramStart"/>
      <w:r w:rsidRPr="00C53980">
        <w:t>o.o</w:t>
      </w:r>
      <w:proofErr w:type="spellEnd"/>
      <w:r w:rsidRPr="00C53980">
        <w:t>.</w:t>
      </w:r>
      <w:proofErr w:type="gramEnd"/>
      <w:r w:rsidRPr="00C53980">
        <w:t>) pro zajištění rovných podmínek na trhu spotřebitelských úvěrů a zamezení narušení hospodářské soutěže na tomto trhu;</w:t>
      </w:r>
    </w:p>
    <w:p w:rsidR="006E67A0" w:rsidRPr="00C53980" w:rsidRDefault="006E67A0" w:rsidP="006E67A0">
      <w:pPr>
        <w:pStyle w:val="NormalHanging12a"/>
        <w:rPr>
          <w:b/>
          <w:i/>
        </w:rPr>
      </w:pPr>
      <w:r w:rsidRPr="00C53980">
        <w:rPr>
          <w:b/>
          <w:i/>
        </w:rPr>
        <w:t>Prosazování politiky v oblasti hospodářské soutěže a globální trendy</w:t>
      </w:r>
    </w:p>
    <w:p w:rsidR="006E67A0" w:rsidRPr="00C53980" w:rsidRDefault="006E67A0" w:rsidP="006E67A0">
      <w:pPr>
        <w:pStyle w:val="NormalHanging12a"/>
      </w:pPr>
      <w:r w:rsidRPr="00C53980">
        <w:t>14.</w:t>
      </w:r>
      <w:r w:rsidRPr="00C53980">
        <w:tab/>
        <w:t>vítá oznámení Komise, že zahájí antisubvenční šetření týkající se čínských elektrických vozidel podle nařízení (EU) 2016/1037 o ochraně před dovozem subvencovaných výrobků ze zemí, které nejsou členy Evropské unie</w:t>
      </w:r>
      <w:r w:rsidRPr="00C53980">
        <w:rPr>
          <w:rStyle w:val="FootnoteReference"/>
        </w:rPr>
        <w:footnoteReference w:id="22"/>
      </w:r>
      <w:r w:rsidRPr="00C53980">
        <w:t>; zdůrazňuje význam účinného provádění nástrojů EU pro zahraniční subvence, včetně nařízení (EU) 2022/2560 o zahraničních subvencích s cílem zajistit zmírnění účinků, jež by potenciálně mohly narušovat jednotný trh; upozorňuje na nedostatek zdrojů s pouhými osmi ekvivalenty plného pracovního úvazku v rámci Komise;</w:t>
      </w:r>
    </w:p>
    <w:p w:rsidR="006E67A0" w:rsidRPr="00C53980" w:rsidRDefault="006E67A0" w:rsidP="006E67A0">
      <w:pPr>
        <w:pStyle w:val="NormalHanging12a"/>
      </w:pPr>
      <w:r w:rsidRPr="00C53980">
        <w:t>15.</w:t>
      </w:r>
      <w:r w:rsidRPr="00C53980">
        <w:tab/>
        <w:t>vyzývá Komisi, aby modernizovala pravidla pro zadávání veřejných zakázek s cílem řešit nové priority a provozní výzvy, a podpořit tak ekologičtější průmysl a evropské normy;</w:t>
      </w:r>
    </w:p>
    <w:p w:rsidR="006E67A0" w:rsidRPr="00C53980" w:rsidRDefault="006E67A0" w:rsidP="006E67A0">
      <w:pPr>
        <w:pStyle w:val="NormalHanging12a"/>
      </w:pPr>
      <w:r w:rsidRPr="00C53980">
        <w:t>16.</w:t>
      </w:r>
      <w:r w:rsidRPr="00C53980">
        <w:tab/>
        <w:t xml:space="preserve">zdůrazňuje, že pravidla hospodářské soutěže EU by měla přispívat k cílům EU stanoveným v článku 3 SEU; zdůrazňuje, že „spravedlivá cena“ výrobků není nejnižší možnou cenou pro spotřebitele, ale cenou, která umožňuje spravedlivou odměnu všem stranám v dodavatelském řetězci, aniž by vedla k negativním externalitám; zdůrazňuje, </w:t>
      </w:r>
      <w:r w:rsidRPr="00C53980">
        <w:lastRenderedPageBreak/>
        <w:t>že prosazování politiky hospodářské soutěže ve prospěch spotřebitelů by nemělo zahrnovat pouze úvahy o cenové hladině, ale také otázky udržitelnosti a dopadu na soukromí občanů;</w:t>
      </w:r>
    </w:p>
    <w:p w:rsidR="006E67A0" w:rsidRPr="00C53980" w:rsidRDefault="006E67A0" w:rsidP="006E67A0">
      <w:pPr>
        <w:pStyle w:val="NormalHanging12a"/>
      </w:pPr>
      <w:r w:rsidRPr="00C53980">
        <w:t>17.</w:t>
      </w:r>
      <w:r w:rsidRPr="00C53980">
        <w:tab/>
        <w:t>zdůrazňuje klíčovou úlohu Evropské sítě pro hospodářskou soutěž (ECN) jako fóra na podporu spolupráce a součinnosti mezi evropskými orgány pro hospodářskou soutěž; vyzývá Komisi, aby usilovala o trvalý konstruktivní dialog a spolupráci na mezinárodní úrovni; zdůrazňuje, že je třeba posílit spolupráci mezi antimonopolními a dalšími odvětvovými regulačními orgány, jako jsou regulační orgány zabývající se ochranou údajů, a to jak s cílem dohlížet na zneužívání podnikových údajů, tak zabránit společnostem v tom, aby využívaly údaje spotřebitelů k získání nespravedlivé konkurenční výhody; vítá významnou úlohu vnitrostátních orgánů pro hospodářskou soutěž při prosazování pravidel nařízení o digitálních trzích a vnitrostátních legislativních iniciativ, které jsou zaváděny s cílem řešit protisoutěžní chování velkých online platforem v digitálních odvětvích; v tomto ohledu zdůrazňuje význam koordinovaných a stejnorodých opatření, která neohrozí uplatňování nařízení o digitálních trzích na jedné straně a vnitrostátních pravidel hospodářské soutěže v digitálním odvětví na straně druhé, jak je stanoveno v čl. 1 odst. 6 nařízení o digitálních trzích;</w:t>
      </w:r>
    </w:p>
    <w:p w:rsidR="006E67A0" w:rsidRPr="00C53980" w:rsidRDefault="006E67A0" w:rsidP="006E67A0">
      <w:pPr>
        <w:pStyle w:val="NormalHanging12a"/>
      </w:pPr>
      <w:r w:rsidRPr="00C53980">
        <w:t>18.</w:t>
      </w:r>
      <w:r w:rsidRPr="00C53980">
        <w:tab/>
        <w:t>zdůrazňuje, že v globalizovaném světě je pro zajištění účinného prosazování hospodářské soutěže stěžejní mezinárodní spolupráce; zdůrazňuje, že zvláštní dohody o spolupráci se třetími zeměmi v oblasti politiky hospodářské soutěže mohou smysluplně přispívat k její účinnosti; vyzývá Komisi, aby rozvíjela vliv politiky hospodářské soutěže ve světě, zejména posilováním spolupráce s třetími zeměmi prostřednictvím druhé generace smluv o spolupráci, které umožňují účinnější výměnu informací mezi orgány hospodářské soutěže;</w:t>
      </w:r>
    </w:p>
    <w:p w:rsidR="006E67A0" w:rsidRPr="00C53980" w:rsidRDefault="006E67A0" w:rsidP="006E67A0">
      <w:pPr>
        <w:pStyle w:val="NormalHanging12a"/>
      </w:pPr>
      <w:r w:rsidRPr="00C53980">
        <w:t>19.</w:t>
      </w:r>
      <w:r w:rsidRPr="00C53980">
        <w:tab/>
        <w:t>vyzývá Komisi, aby při prosazování právních předpisů v oblasti hospodářské soutěže více využívala další důkazní nástroje, jako jsou poznatky o chování a finanční analýzy, a dále aby více využívala vědecké pracovníky specializované na data, IKT a umělou inteligenci a behaviorální ekonomy;</w:t>
      </w:r>
    </w:p>
    <w:p w:rsidR="006E67A0" w:rsidRPr="00C53980" w:rsidRDefault="006E67A0" w:rsidP="006E67A0">
      <w:pPr>
        <w:pStyle w:val="NormalHanging12a"/>
      </w:pPr>
      <w:r w:rsidRPr="00C53980">
        <w:t>20.</w:t>
      </w:r>
      <w:r w:rsidRPr="00C53980">
        <w:tab/>
        <w:t>podotýká, že na trhu ratingových agentur přetrvává vysoká míra koncentrace, jelikož tři největší ratingové agentury mají více než 90% podíl na trhu</w:t>
      </w:r>
      <w:r w:rsidRPr="00C53980">
        <w:rPr>
          <w:rStyle w:val="FootnoteReference"/>
        </w:rPr>
        <w:footnoteReference w:id="23"/>
      </w:r>
      <w:r w:rsidRPr="00C53980">
        <w:t>; znovu opakuje, že pro zajištění nestrannosti a důvěry je nutné posílit hospodářskou soutěž na tomto trhu;</w:t>
      </w:r>
    </w:p>
    <w:p w:rsidR="006E67A0" w:rsidRPr="00C53980" w:rsidRDefault="006E67A0" w:rsidP="006E67A0">
      <w:pPr>
        <w:pStyle w:val="NormalHanging12a"/>
      </w:pPr>
      <w:r w:rsidRPr="00C53980">
        <w:t>21.</w:t>
      </w:r>
      <w:r w:rsidRPr="00C53980">
        <w:tab/>
        <w:t xml:space="preserve">vyjadřuje politování nad rozhodnutím společnosti Ernst &amp; </w:t>
      </w:r>
      <w:proofErr w:type="spellStart"/>
      <w:r w:rsidRPr="00C53980">
        <w:t>Young</w:t>
      </w:r>
      <w:proofErr w:type="spellEnd"/>
      <w:r w:rsidRPr="00C53980">
        <w:t xml:space="preserve"> zastavit proces oddělení jejích auditorských a poradenských činností; konstatuje, že kombinace auditorských a poradenských činností může vést ke střetu zájmů a může posílit dominantní postavení každé auditorské společnosti ze čtveřice největších auditorských společností na trhu; vyzývá Komisi, aby prošetřila spojení auditorské a poradenské činnosti a případně předložila opatření, která by zabránila střetu zájmů a dominantnímu postavení na trhu;</w:t>
      </w:r>
    </w:p>
    <w:p w:rsidR="006E67A0" w:rsidRPr="00C53980" w:rsidRDefault="006E67A0" w:rsidP="006E67A0">
      <w:pPr>
        <w:pStyle w:val="NormalHanging12a"/>
        <w:rPr>
          <w:b/>
          <w:i/>
        </w:rPr>
      </w:pPr>
      <w:r w:rsidRPr="00C53980">
        <w:rPr>
          <w:b/>
          <w:i/>
        </w:rPr>
        <w:t>Kontrola spojování podniků</w:t>
      </w:r>
    </w:p>
    <w:p w:rsidR="006E67A0" w:rsidRPr="00C53980" w:rsidRDefault="006E67A0" w:rsidP="006E67A0">
      <w:pPr>
        <w:pStyle w:val="NormalHanging12a"/>
      </w:pPr>
      <w:r w:rsidRPr="00C53980">
        <w:t>22.</w:t>
      </w:r>
      <w:r w:rsidRPr="00C53980">
        <w:tab/>
        <w:t xml:space="preserve">konstatuje, že akvizice </w:t>
      </w:r>
      <w:proofErr w:type="spellStart"/>
      <w:r w:rsidRPr="00C53980">
        <w:t>startupů</w:t>
      </w:r>
      <w:proofErr w:type="spellEnd"/>
      <w:r w:rsidRPr="00C53980">
        <w:t xml:space="preserve"> dominantními hráči na trhu by mohla ničit inovace </w:t>
      </w:r>
      <w:r w:rsidRPr="00C53980">
        <w:lastRenderedPageBreak/>
        <w:t>a nakonec i hospodářskou soutěž; zdůrazňuje, že je důležité, aby Komise věnovala velkou pozornost fenoménu „likvidačních akvizic“ v digitálním odvětví, které musí být podle nařízení o digitálních trzích hlášeny, a aby případně přijala rozhodná opatření podle článku 22 nařízení ES o spojování;</w:t>
      </w:r>
    </w:p>
    <w:p w:rsidR="006E67A0" w:rsidRPr="00C53980" w:rsidRDefault="006E67A0" w:rsidP="006E67A0">
      <w:pPr>
        <w:pStyle w:val="NormalHanging12a"/>
      </w:pPr>
      <w:r w:rsidRPr="00C53980">
        <w:t>23.</w:t>
      </w:r>
      <w:r w:rsidRPr="00C53980">
        <w:tab/>
        <w:t>vítá nedávná rozhodnutí Komise v případech fúzí</w:t>
      </w:r>
      <w:r w:rsidRPr="00C53980">
        <w:rPr>
          <w:rStyle w:val="FootnoteReference"/>
        </w:rPr>
        <w:footnoteReference w:id="24"/>
      </w:r>
      <w:r w:rsidRPr="00C53980">
        <w:t>; zdůrazňuje význam strukturálních nápravných opatření v rozhodnutích o fúzích; konstatuje, že největší a nejvlivnější on-line platformy ovlivňují každodenní provoz desítek tisíc malých a středních podniků; zdůrazňuje, že akvizice nemůže vést k posilování dominantního postavení společnosti na hotelovém trhu tím, že jí umožní křížový prodej jejích různých služeb;</w:t>
      </w:r>
    </w:p>
    <w:p w:rsidR="006E67A0" w:rsidRPr="00C53980" w:rsidRDefault="006E67A0" w:rsidP="006E67A0">
      <w:pPr>
        <w:pStyle w:val="NormalHanging12a"/>
      </w:pPr>
      <w:r w:rsidRPr="00C53980">
        <w:t>24.</w:t>
      </w:r>
      <w:r w:rsidRPr="00C53980">
        <w:tab/>
        <w:t>vítá iniciativu Komise přezkoumat své oznámení o vymezení „relevantního trhu“ a se zájmem očekává výsledky veřejné konzultace; zdůrazňuje, že je třeba zaujmout dynamičtější přístup, který jde nad rámec tradičního přístupu, zejména pro nově vznikající trhy, například v digitálním odvětví, a zohledňuje dlouhodobější vizi zahrnující globální rozměr a potenciální budoucí hospodářskou soutěž; vyjadřuje politování nad tím, že Komise v minulosti v některých případech pojímala relevantní trh příliš úzce, čímž evropské společnosti připravila o možnost účinně konkurovat v globalizovaném prostředí; podporuje Komisi v tom, aby důkladněji zohledňovala potenciální narušení hospodářské soutěže při posuzování fúzí, při nichž by expanze na sousední trhy dále posílila dominantní postavení nástupnické společnosti na jejím hlavním trhu;</w:t>
      </w:r>
    </w:p>
    <w:p w:rsidR="006E67A0" w:rsidRPr="00C53980" w:rsidRDefault="006E67A0" w:rsidP="006E67A0">
      <w:pPr>
        <w:pStyle w:val="NormalHanging12a"/>
      </w:pPr>
      <w:r w:rsidRPr="00C53980">
        <w:t>25.</w:t>
      </w:r>
      <w:r w:rsidRPr="00C53980">
        <w:tab/>
        <w:t>je znepokojen dalekosáhlou koncentrací, k níž dochází v některých částech potravinového řetězce a která je na úkor spotřebitelů, zemědělců, životního prostředí a biologické rozmanitosti;</w:t>
      </w:r>
    </w:p>
    <w:p w:rsidR="006E67A0" w:rsidRPr="00C53980" w:rsidRDefault="006E67A0" w:rsidP="006E67A0">
      <w:pPr>
        <w:pStyle w:val="NormalHanging12a"/>
      </w:pPr>
      <w:r w:rsidRPr="00C53980">
        <w:t>26.</w:t>
      </w:r>
      <w:r w:rsidRPr="00C53980">
        <w:tab/>
        <w:t>připomíná, že podle nařízení ES o spojování podniků mohou členské státy přijmout vhodná opatření na ochranu otázek veřejného zájmu, jako je ochrana klimatu, udržitelnost a právní stát, a žádá, aby Komise měla stejnou možnost v souvislosti s posuzováním dopadu spojování podniků na vnitřní trh;</w:t>
      </w:r>
    </w:p>
    <w:p w:rsidR="006E67A0" w:rsidRPr="00C53980" w:rsidRDefault="006E67A0" w:rsidP="006E67A0">
      <w:pPr>
        <w:pStyle w:val="NormalHanging12a"/>
        <w:rPr>
          <w:b/>
          <w:i/>
        </w:rPr>
      </w:pPr>
      <w:r w:rsidRPr="00C53980">
        <w:rPr>
          <w:b/>
          <w:i/>
        </w:rPr>
        <w:t>Antimonopolní režim a kartely</w:t>
      </w:r>
    </w:p>
    <w:p w:rsidR="006E67A0" w:rsidRPr="00C53980" w:rsidRDefault="006E67A0" w:rsidP="006E67A0">
      <w:pPr>
        <w:pStyle w:val="NormalHanging12a"/>
      </w:pPr>
      <w:r w:rsidRPr="00C53980">
        <w:t>27.</w:t>
      </w:r>
      <w:r w:rsidRPr="00C53980">
        <w:tab/>
        <w:t>vyzývá Komisi, aby lépe využívala nástroj prozatímních opatření k zastavení veškerých praktik, které by vážně poškozovaly hospodářskou soutěž, a to zejména ve vztahu k dynamickým a rychle se rozvíjejícím trhům, jako jsou digitální trhy;</w:t>
      </w:r>
    </w:p>
    <w:p w:rsidR="006E67A0" w:rsidRPr="00C53980" w:rsidRDefault="006E67A0" w:rsidP="006E67A0">
      <w:pPr>
        <w:pStyle w:val="NormalHanging12a"/>
      </w:pPr>
      <w:r w:rsidRPr="00C53980">
        <w:t>28.</w:t>
      </w:r>
      <w:r w:rsidRPr="00C53980">
        <w:tab/>
        <w:t xml:space="preserve">vítá nový přístup k nejnovějším případům porušení antimonopolních pravidel, v nichž Komise poprvé za určitých podmínek stanoví uložení strukturálních nápravných opatření k zastavení protisoutěžního jednání, zejména v případech, kdy tato protisoutěžní praktika byla v průběhu let opakována v jiných segmentech trhu stejnou společností; vybízí proto Komisi, aby v tomto směru pokračovala v úsilí o účinné prosazování antimonopolních pravidel </w:t>
      </w:r>
      <w:r w:rsidRPr="00C53980">
        <w:rPr>
          <w:i/>
          <w:iCs/>
        </w:rPr>
        <w:t>ex post</w:t>
      </w:r>
      <w:r w:rsidRPr="00C53980">
        <w:t>;</w:t>
      </w:r>
    </w:p>
    <w:p w:rsidR="006E67A0" w:rsidRPr="00C53980" w:rsidRDefault="006E67A0" w:rsidP="006E67A0">
      <w:pPr>
        <w:pStyle w:val="NormalHanging12a"/>
      </w:pPr>
      <w:r w:rsidRPr="00C53980">
        <w:t>29.</w:t>
      </w:r>
      <w:r w:rsidRPr="00C53980">
        <w:tab/>
        <w:t xml:space="preserve">vyzývá Komisi, aby urychlila antimonopolní řízení, stanovila vhodné lhůty pro postupy a zajistila účinné sledování rozhodnutí, aby bylo možné vyvarovat se zdlouhavých postupů, jako tomu bylo v případě společnosti </w:t>
      </w:r>
      <w:proofErr w:type="spellStart"/>
      <w:r w:rsidRPr="00C53980">
        <w:t>Spotify</w:t>
      </w:r>
      <w:proofErr w:type="spellEnd"/>
      <w:r w:rsidRPr="00C53980">
        <w:t xml:space="preserve">, jež podala v roce 2019 stížnost na společnost Apple, a kdy navzdory tomu, že Komise vydala prohlášení o námitkách, </w:t>
      </w:r>
      <w:r w:rsidRPr="00C53980">
        <w:lastRenderedPageBreak/>
        <w:t xml:space="preserve">nebyla přijata žádná konkrétní opatření s cílem řešit omezení </w:t>
      </w:r>
      <w:proofErr w:type="spellStart"/>
      <w:r w:rsidRPr="00C53980">
        <w:t>uplatňováná</w:t>
      </w:r>
      <w:proofErr w:type="spellEnd"/>
      <w:r w:rsidRPr="00C53980">
        <w:t xml:space="preserve"> společností Apple, jež brání vývojářům aplikací, aby svobodně komunikovali se svými vlastními uživateli;</w:t>
      </w:r>
    </w:p>
    <w:p w:rsidR="006E67A0" w:rsidRPr="00C53980" w:rsidRDefault="006E67A0" w:rsidP="006E67A0">
      <w:pPr>
        <w:pStyle w:val="NormalHanging12a"/>
      </w:pPr>
      <w:r w:rsidRPr="00C53980">
        <w:t>30.</w:t>
      </w:r>
      <w:r w:rsidRPr="00C53980">
        <w:tab/>
        <w:t>vítá, že byla zahájena iniciativa zaměřená na pokyny týkající se zneužívání dominantního postavení podniků vylučujícího ostatní soutěžitele, jejichž návrh bude připraven v roce 2024 a které mají být přijaty v roce 2025, a dále vítá závazek Komise důrazně, účinně a rychle uplatňovat v oblasti zneužívání dominantního postavení podniků vylučujícího ostatní soutěžitele článek 102 SFEU; vyzývá Komisi, aby konkrétně potvrdila prosazování antimonopolních pravidel založené na účincích, a v příslušných případech zejména relevantnost ekonomických důkazů; vyzývá k tomu, aby se při posuzování nekorektního jednání, např. neúměrně vysokých cen a zneužívajících ujednání, přihlíželo k ohrožení spotřebitelů;</w:t>
      </w:r>
    </w:p>
    <w:p w:rsidR="006E67A0" w:rsidRPr="00C53980" w:rsidRDefault="006E67A0" w:rsidP="006E67A0">
      <w:pPr>
        <w:pStyle w:val="NormalHanging12a"/>
      </w:pPr>
      <w:r w:rsidRPr="00C53980">
        <w:t>31.</w:t>
      </w:r>
      <w:r w:rsidRPr="00C53980">
        <w:tab/>
        <w:t>bere na vědomí, že bylo zahájeno formální vyšetřování možného protisoutěžního jednání ze strany strážce přístupu, jelikož platformu pro komunikaci a spolupráci váže na svůj dominantní a populární software</w:t>
      </w:r>
      <w:r w:rsidRPr="00C53980">
        <w:rPr>
          <w:rStyle w:val="FootnoteReference"/>
        </w:rPr>
        <w:footnoteReference w:id="25"/>
      </w:r>
      <w:r w:rsidRPr="00C53980">
        <w:t>; vyzývá Komisi, aby ústupky, které strážce přístupu jednostranně nabídl, pečlivě posoudila se zúčastněnými podniky, a zajistila tak, aby řešily obavy účastníků trhu, pokud jde o nové a stávající uživatele, jakož i otázky interoperability a cen;</w:t>
      </w:r>
    </w:p>
    <w:p w:rsidR="006E67A0" w:rsidRPr="00C53980" w:rsidRDefault="006E67A0" w:rsidP="006E67A0">
      <w:pPr>
        <w:pStyle w:val="NormalHanging12a"/>
      </w:pPr>
      <w:r w:rsidRPr="00C53980">
        <w:t>32.</w:t>
      </w:r>
      <w:r w:rsidRPr="00C53980">
        <w:tab/>
        <w:t>trvá na účinných nápravných opatřeních, která mohou vyžadovat větší koordinaci mezi donucovacími orgány a další dialog se třetími stranami, jakož i vhodné prosazování; připomíná, že na podniky označené za strážce přístupu se vztahovala předchozí antimonopolní rozhodnutí, která nevedla k účinným změnám chování, zejména pokud jde o upřednostňování sebe sama na digitálních trzích; vyzývá Komisi, aby v krajním případě lépe využívala strukturální nápravná opatření; znovu vyzývá Komisi, aby ukončila nadřazenost opatření nápravy chování v právu EU;</w:t>
      </w:r>
    </w:p>
    <w:p w:rsidR="006E67A0" w:rsidRPr="00C53980" w:rsidRDefault="006E67A0" w:rsidP="006E67A0">
      <w:pPr>
        <w:pStyle w:val="NormalHanging12a"/>
      </w:pPr>
      <w:r w:rsidRPr="00C53980">
        <w:t>33.</w:t>
      </w:r>
      <w:r w:rsidRPr="00C53980">
        <w:tab/>
        <w:t xml:space="preserve">znovu vyzývá Komisi, aby se zabývala protisoutěžním účinkem územních omezení dodávek s cílem zajistit plně funkční jednotný trh a využít jeho potenciálních výhod pro spotřebitele; </w:t>
      </w:r>
    </w:p>
    <w:p w:rsidR="006E67A0" w:rsidRPr="00C53980" w:rsidRDefault="006E67A0" w:rsidP="006E67A0">
      <w:pPr>
        <w:pStyle w:val="NormalHanging12a"/>
      </w:pPr>
      <w:r w:rsidRPr="00C53980">
        <w:t xml:space="preserve">34. </w:t>
      </w:r>
      <w:r w:rsidRPr="00C53980">
        <w:tab/>
        <w:t xml:space="preserve">dále opakuje svou výzvu Komisi, aby i nadále aktivně sledovala a odstraňovala neodůvodněné zeměpisné blokování a další omezení přeshraničního prodeje on-line, přičemž ústředním prvkem je přístup podporující spotřebitele s cílem umožnit jim přístup k většímu výběru výrobků a služeb v celé EU; </w:t>
      </w:r>
    </w:p>
    <w:p w:rsidR="006E67A0" w:rsidRPr="00C53980" w:rsidRDefault="006E67A0" w:rsidP="006E67A0">
      <w:pPr>
        <w:pStyle w:val="NormalHanging12a"/>
        <w:rPr>
          <w:b/>
          <w:i/>
        </w:rPr>
      </w:pPr>
      <w:r w:rsidRPr="00C53980">
        <w:rPr>
          <w:b/>
          <w:i/>
        </w:rPr>
        <w:t>Politika v oblasti hospodářské soutěže v digitálním věku</w:t>
      </w:r>
    </w:p>
    <w:p w:rsidR="006E67A0" w:rsidRPr="00C53980" w:rsidRDefault="006E67A0" w:rsidP="006E67A0">
      <w:pPr>
        <w:pStyle w:val="NormalHanging12a"/>
      </w:pPr>
      <w:r w:rsidRPr="00C53980">
        <w:t>35.</w:t>
      </w:r>
      <w:r w:rsidRPr="00C53980">
        <w:tab/>
        <w:t xml:space="preserve">vítá určení šesti strážců přístupu – </w:t>
      </w:r>
      <w:proofErr w:type="spellStart"/>
      <w:r w:rsidRPr="00C53980">
        <w:t>Alphabet</w:t>
      </w:r>
      <w:proofErr w:type="spellEnd"/>
      <w:r w:rsidRPr="00C53980">
        <w:t xml:space="preserve">, Amazon, Apple, </w:t>
      </w:r>
      <w:proofErr w:type="spellStart"/>
      <w:r w:rsidRPr="00C53980">
        <w:t>ByteDance</w:t>
      </w:r>
      <w:proofErr w:type="spellEnd"/>
      <w:r w:rsidRPr="00C53980">
        <w:t>, Meta, Microsoft</w:t>
      </w:r>
      <w:r w:rsidRPr="00C53980">
        <w:rPr>
          <w:rStyle w:val="FootnoteReference"/>
        </w:rPr>
        <w:footnoteReference w:id="26"/>
      </w:r>
      <w:r w:rsidRPr="00C53980">
        <w:t xml:space="preserve"> – pro 22 hlavních služeb platforem podle nařízení o digitálních trzích, čtyři šetření trhu za účelem vyvrácení, jakož i první šetření trhu podle čl. 3 odst. 8 nařízení o digitálních trzích; vybízí Komisi, aby neprodleně přijala akty v přenesené pravomoci s cílem rozšířit způsoby uplatňování nebo upřesnit způsoby provádění povinností </w:t>
      </w:r>
      <w:r w:rsidRPr="00C53980">
        <w:lastRenderedPageBreak/>
        <w:t>stanovených v článcích 5, 6 a 7 a 12 nařízení o digitálních trzích; vyzývá Komisi, aby do 6. března 2024 důsledně posoudila, zda strážci přístupu dodržují povinnosti vyplývající z nařízení o digitálních trzích, a aby si vyžádala zpětnou vazbu od třetích stran, pokud jde o to, zda řešení v oblasti dodržování předpisů, která nabízejí strážci, vedou ke spravedlivějším a konkurenceschopnějším digitálním trhům; vyzývá Komisi, aby zajistila, že opatření strážců přístupu týkající se bezpečnosti a integrity jejich platforem, která by mohla mít dopad na dodržování nařízení o digitálních trzích, jsou prověřena nezávislými třetími stranami, a nikoli založena pouze na vlastním posouzení strážců;</w:t>
      </w:r>
    </w:p>
    <w:p w:rsidR="006E67A0" w:rsidRPr="00C53980" w:rsidRDefault="006E67A0" w:rsidP="006E67A0">
      <w:pPr>
        <w:pStyle w:val="NormalHanging12a"/>
      </w:pPr>
      <w:r w:rsidRPr="00C53980">
        <w:t>36.</w:t>
      </w:r>
      <w:r w:rsidRPr="00C53980">
        <w:tab/>
        <w:t>poukazuje na to, že studie Komise o dopadu nedávného vývoje digitální reklamy na soukromí, vydavatele a inzerenty dospěla k závěru, že rozsáhlý sběr a zpracování osobních údajů pro reklamní účely a neprůhlednost trhu digitální reklamy mohou přispívat k reklamním podvodům</w:t>
      </w:r>
      <w:r w:rsidRPr="00C53980">
        <w:rPr>
          <w:rStyle w:val="FootnoteReference"/>
        </w:rPr>
        <w:footnoteReference w:id="27"/>
      </w:r>
      <w:r w:rsidRPr="00C53980">
        <w:t>; v souladu s doporučeními této studie vyzývá Komisi, aby s cílem řešit protisoutěžní jednání dále analyzovala legislativní možnosti pro budoucí politické zásahy, včetně ukládání strukturálních nápravných opatření, a v tomto ohledu tedy doplnila nařízení o digitálních trzích a nařízení o digitálních službách</w:t>
      </w:r>
      <w:r w:rsidRPr="00C53980">
        <w:rPr>
          <w:rStyle w:val="FootnoteReference"/>
        </w:rPr>
        <w:footnoteReference w:id="28"/>
      </w:r>
      <w:r w:rsidRPr="00C53980">
        <w:t>;</w:t>
      </w:r>
    </w:p>
    <w:p w:rsidR="006E67A0" w:rsidRPr="00C53980" w:rsidRDefault="006E67A0" w:rsidP="006E67A0">
      <w:pPr>
        <w:pStyle w:val="NormalHanging12a"/>
      </w:pPr>
      <w:r w:rsidRPr="00C53980">
        <w:t>37.</w:t>
      </w:r>
      <w:r w:rsidRPr="00C53980">
        <w:tab/>
        <w:t xml:space="preserve">bere na vědomí šetření trhu týkající se prohlížeče </w:t>
      </w:r>
      <w:proofErr w:type="spellStart"/>
      <w:r w:rsidRPr="00C53980">
        <w:t>Edge</w:t>
      </w:r>
      <w:proofErr w:type="spellEnd"/>
      <w:r w:rsidRPr="00C53980">
        <w:t xml:space="preserve"> a vyhledávače Bing společnosti Microsoft</w:t>
      </w:r>
      <w:r w:rsidRPr="00C53980">
        <w:rPr>
          <w:rStyle w:val="FootnoteReference"/>
        </w:rPr>
        <w:footnoteReference w:id="29"/>
      </w:r>
      <w:r w:rsidRPr="00C53980">
        <w:t xml:space="preserve"> a služby </w:t>
      </w:r>
      <w:proofErr w:type="spellStart"/>
      <w:r w:rsidRPr="00C53980">
        <w:t>iMessage</w:t>
      </w:r>
      <w:proofErr w:type="spellEnd"/>
      <w:r w:rsidRPr="00C53980">
        <w:t xml:space="preserve"> používané na zařízeních s operačním systémem </w:t>
      </w:r>
      <w:proofErr w:type="spellStart"/>
      <w:r w:rsidRPr="00C53980">
        <w:t>iOs</w:t>
      </w:r>
      <w:proofErr w:type="spellEnd"/>
      <w:r w:rsidRPr="00C53980">
        <w:t xml:space="preserve"> od společnosti Apple</w:t>
      </w:r>
      <w:r w:rsidRPr="00C53980">
        <w:rPr>
          <w:rStyle w:val="FootnoteReference"/>
        </w:rPr>
        <w:footnoteReference w:id="30"/>
      </w:r>
      <w:r w:rsidRPr="00C53980">
        <w:t xml:space="preserve"> s cílem posoudit jejich úlohu brány a jejich zavedené postavení na trhu v souladu s rozhodnutím o označení společností Apple a Microsoft jako strážců přístupu podle nařízení o digitálních trzích; zdůrazňuje, že služba </w:t>
      </w:r>
      <w:proofErr w:type="spellStart"/>
      <w:r w:rsidRPr="00C53980">
        <w:t>iMessage</w:t>
      </w:r>
      <w:proofErr w:type="spellEnd"/>
      <w:r w:rsidRPr="00C53980">
        <w:t xml:space="preserve"> je standardně zahrnuta na všech zařízeních s </w:t>
      </w:r>
      <w:proofErr w:type="spellStart"/>
      <w:r w:rsidRPr="00C53980">
        <w:t>iOS</w:t>
      </w:r>
      <w:proofErr w:type="spellEnd"/>
      <w:r w:rsidRPr="00C53980">
        <w:t xml:space="preserve">, což se týká více než 144 milionů uživatelů; vyzdvihuje význam chytrých telefonů coby nepostradatelného osobního a profesního nástroje; zdůrazňuje, že dnešnímu trhu dominují dva operační systémy s vlastními </w:t>
      </w:r>
      <w:proofErr w:type="spellStart"/>
      <w:r w:rsidRPr="00C53980">
        <w:t>neinteroperabilními</w:t>
      </w:r>
      <w:proofErr w:type="spellEnd"/>
      <w:r w:rsidRPr="00C53980">
        <w:t xml:space="preserve"> službami zasílání zpráv, což omezuje možnost uživatelů a podniků volně se pohybovat z jednoho ekosystému do druhého a bez ohledu na operační systém mezi sebou komunikovat, což je v zásadě v rozporu s duchem a literou nařízení o digitálních trzích; vyzývá proto Komisi, aby urychleně pokračovala ve svém šetření a jeho účinném provádění s cílem včas přinést výhody interoperability zpráv;</w:t>
      </w:r>
    </w:p>
    <w:p w:rsidR="006E67A0" w:rsidRPr="00C53980" w:rsidRDefault="006E67A0" w:rsidP="006E67A0">
      <w:pPr>
        <w:pStyle w:val="NormalHanging12a"/>
      </w:pPr>
      <w:r w:rsidRPr="00C53980">
        <w:t>38.</w:t>
      </w:r>
      <w:r w:rsidRPr="00C53980">
        <w:tab/>
        <w:t xml:space="preserve">bere na vědomí rozhodnutí SDEU ve věci </w:t>
      </w:r>
      <w:r w:rsidRPr="00C53980">
        <w:rPr>
          <w:i/>
          <w:iCs/>
        </w:rPr>
        <w:t>Meta v. </w:t>
      </w:r>
      <w:proofErr w:type="spellStart"/>
      <w:r w:rsidRPr="00C53980">
        <w:rPr>
          <w:i/>
          <w:iCs/>
        </w:rPr>
        <w:t>Bundeskartellamt</w:t>
      </w:r>
      <w:proofErr w:type="spellEnd"/>
      <w:r w:rsidRPr="00C53980">
        <w:t xml:space="preserve">, které potvrzuje pravomoc vnitrostátních orgánů pro hospodářskou soutěž prosazovat pravidla ochrany údajů podle antimonopolních právních předpisů; poukazuje na to, že SDEU potvrzuje, že ochrana osobních údajů je důležitým hlediskem při zkoumání zneužití dominantního postavení a že ukládá požadavky na používání osobních údajů jednotlivců pro cílenou reklamu; vybízí orgány pro hospodářskou soutěž, aby vyšetřily porušení obecného </w:t>
      </w:r>
      <w:r w:rsidRPr="00C53980">
        <w:lastRenderedPageBreak/>
        <w:t>nařízení o ochraně osobních údajů</w:t>
      </w:r>
      <w:r w:rsidRPr="00C53980">
        <w:rPr>
          <w:rStyle w:val="FootnoteReference"/>
        </w:rPr>
        <w:footnoteReference w:id="31"/>
      </w:r>
      <w:r w:rsidRPr="00C53980">
        <w:t>, a vyzývá orgány pro ochranu údajů, aby taková porušení sankcionovaly;</w:t>
      </w:r>
    </w:p>
    <w:p w:rsidR="006E67A0" w:rsidRPr="00C53980" w:rsidRDefault="006E67A0" w:rsidP="006E67A0">
      <w:pPr>
        <w:pStyle w:val="NormalHanging12a"/>
      </w:pPr>
      <w:r w:rsidRPr="00C53980">
        <w:t>39.</w:t>
      </w:r>
      <w:r w:rsidRPr="00C53980">
        <w:tab/>
        <w:t xml:space="preserve">bere na vědomí závěry řízení orgánu </w:t>
      </w:r>
      <w:proofErr w:type="spellStart"/>
      <w:r w:rsidRPr="00C53980">
        <w:t>Bundeskartellamt</w:t>
      </w:r>
      <w:proofErr w:type="spellEnd"/>
      <w:r w:rsidRPr="00C53980">
        <w:t xml:space="preserve"> se společností </w:t>
      </w:r>
      <w:proofErr w:type="spellStart"/>
      <w:r w:rsidRPr="00C53980">
        <w:t>Alphabet</w:t>
      </w:r>
      <w:proofErr w:type="spellEnd"/>
      <w:r w:rsidRPr="00C53980">
        <w:t xml:space="preserve"> Inc., které umožňují uživatelům Google lépe se rozhodnout, jak společnost Google zpracovává jejich údaje; tvrdí, že spotřebitelé v EU musí mít možnost volby, zda umožní shromažďování svých osobních údajů a jejich zpracování napříč službami; vybízí Komisi, aby pokračovala v koordinaci činností v oblasti prosazování právních předpisů a spolupracovala s vnitrostátními orgány pro hospodářskou soutěž s cílem usnadnit účinnou interakci mezi právem hospodářské soutěže a nařízením o digitálních trzích, zejména v souvislosti s „dalšími povinnostmi“ podle nařízení o digitálních trzích; </w:t>
      </w:r>
    </w:p>
    <w:p w:rsidR="006E67A0" w:rsidRPr="00C53980" w:rsidRDefault="006E67A0" w:rsidP="006E67A0">
      <w:pPr>
        <w:pStyle w:val="NormalHanging12a"/>
      </w:pPr>
      <w:r w:rsidRPr="00C53980">
        <w:t>40.</w:t>
      </w:r>
      <w:r w:rsidRPr="00C53980">
        <w:tab/>
        <w:t xml:space="preserve">upozorňuje, že internet věcí je rostoucím trhem; dále poukazuje na to, že chytrá domácí zařízení, jako jsou robotické vysavače, jsou významným zdrojem spotřebitelských dat; konstatuje, že fúze a akvizice v tomto odvětví mohou způsobit velké škody na hospodářské soutěži; vyzývá Komisi, aby do hodnocení případů fúzí a akvizic v tomto odvětví zahrnula údaje jako zdroj tržní síly, zejména pokud se tyto případy týkají zavedených velkých technologických společností; dále vyzývá k případnému stanovení podmínek pro používání údajů; </w:t>
      </w:r>
    </w:p>
    <w:p w:rsidR="006E67A0" w:rsidRPr="00C53980" w:rsidRDefault="006E67A0" w:rsidP="006E67A0">
      <w:pPr>
        <w:pStyle w:val="NormalHanging12a"/>
      </w:pPr>
      <w:r w:rsidRPr="00C53980">
        <w:t>41.</w:t>
      </w:r>
      <w:r w:rsidRPr="00C53980">
        <w:tab/>
        <w:t xml:space="preserve">vyjadřuje politování nad skutečností, že na seznamu strážců přístupu chybí poskytovatelé </w:t>
      </w:r>
      <w:proofErr w:type="spellStart"/>
      <w:r w:rsidRPr="00C53980">
        <w:t>cloudových</w:t>
      </w:r>
      <w:proofErr w:type="spellEnd"/>
      <w:r w:rsidRPr="00C53980">
        <w:t xml:space="preserve"> služeb; vyzývá Komisi, aby zvážila zahájení šetření trhu podle čl. 3 odst. 8 nařízení o digitálních trzích (kvalitativní posouzení) v tomto odvětví, zejména s ohledem na koncentrovanou strukturu trhu a škodlivé praktiky narušující hospodářskou soutěž, na něž upozornily vnitrostátní orgány pro hospodářskou soutěž; zdůrazňuje, že evropskému trhu v oblasti </w:t>
      </w:r>
      <w:proofErr w:type="spellStart"/>
      <w:r w:rsidRPr="00C53980">
        <w:t>cloud</w:t>
      </w:r>
      <w:proofErr w:type="spellEnd"/>
      <w:r w:rsidRPr="00C53980">
        <w:t xml:space="preserve"> </w:t>
      </w:r>
      <w:proofErr w:type="spellStart"/>
      <w:r w:rsidRPr="00C53980">
        <w:t>computingu</w:t>
      </w:r>
      <w:proofErr w:type="spellEnd"/>
      <w:r w:rsidRPr="00C53980">
        <w:t xml:space="preserve"> dominuje několik velmi velkých subjektů; vyzývá Komisi, aby zajistila, že budou označeny všechny způsobilé služby, s cílem obnovit na evropském trhu v oblasti </w:t>
      </w:r>
      <w:proofErr w:type="spellStart"/>
      <w:r w:rsidRPr="00C53980">
        <w:t>cloud</w:t>
      </w:r>
      <w:proofErr w:type="spellEnd"/>
      <w:r w:rsidRPr="00C53980">
        <w:t xml:space="preserve"> </w:t>
      </w:r>
      <w:proofErr w:type="spellStart"/>
      <w:r w:rsidRPr="00C53980">
        <w:t>computingu</w:t>
      </w:r>
      <w:proofErr w:type="spellEnd"/>
      <w:r w:rsidRPr="00C53980">
        <w:t xml:space="preserve"> spravedlivou a rovnou hospodářskou soutěž;</w:t>
      </w:r>
    </w:p>
    <w:p w:rsidR="006E67A0" w:rsidRPr="00C53980" w:rsidRDefault="006E67A0" w:rsidP="006E67A0">
      <w:pPr>
        <w:pStyle w:val="NormalHanging12a"/>
      </w:pPr>
      <w:r w:rsidRPr="00C53980">
        <w:t>42.</w:t>
      </w:r>
      <w:r w:rsidRPr="00C53980">
        <w:tab/>
        <w:t>vyzývá Komisi, aby posoudila, zda je třeba zahájit šetření trhu podle článku 19 nařízení o digitálních trzích o doplnění nových kategorií hlavních služeb platforem podle čl. 2 odst. 2 tohoto nařízení s ohledem na nejnovější technologický vývoj, který může vést k novým druhům služeb, které nespadají do stávajících kategorií, jako je generativní umělá inteligence; uznává, že nové funkce, které využívají generativní umělou inteligenci, mohou být začleněny mezi stávající digitální služby, např. internetové vyhledávače, a mohou být součástí stávajícího seznamu hlavních služeb platforem, což by mohlo vést k posílení stávajících strážců přístupu;</w:t>
      </w:r>
    </w:p>
    <w:p w:rsidR="006E67A0" w:rsidRPr="00C53980" w:rsidRDefault="006E67A0" w:rsidP="006E67A0">
      <w:pPr>
        <w:pStyle w:val="NormalHanging12a"/>
      </w:pPr>
      <w:r w:rsidRPr="00C53980">
        <w:t xml:space="preserve">43. </w:t>
      </w:r>
      <w:r w:rsidRPr="00C53980">
        <w:tab/>
        <w:t>bere na vědomí společné prohlášení orgánů pro hospodářskou soutěž skupiny G7 ohledně hospodářské soutěže a umělé inteligence, v němž je zdůrazněn význam spolupráce s cílem podporovat hospodářskou soutěž na digitálních trzích</w:t>
      </w:r>
      <w:r w:rsidRPr="00C53980">
        <w:rPr>
          <w:rStyle w:val="FootnoteReference"/>
        </w:rPr>
        <w:footnoteReference w:id="32"/>
      </w:r>
      <w:r w:rsidRPr="00C53980">
        <w:t xml:space="preserve">; vyzývá Komisi, aby byla obezřetná, pokud jde o dohody o spolupráci v souvislosti s vývojem </w:t>
      </w:r>
      <w:r w:rsidRPr="00C53980">
        <w:lastRenderedPageBreak/>
        <w:t>v oblasti umělé inteligence, a zajistila, aby tyto dohody o spolupráci nebyly potenciálně skrytými fúzemi nebo likvidačními akvizicemi;</w:t>
      </w:r>
    </w:p>
    <w:p w:rsidR="006E67A0" w:rsidRPr="00C53980" w:rsidRDefault="006E67A0" w:rsidP="006E67A0">
      <w:pPr>
        <w:pStyle w:val="NormalHanging12a"/>
      </w:pPr>
      <w:r w:rsidRPr="00C53980">
        <w:t>44.</w:t>
      </w:r>
      <w:r w:rsidRPr="00C53980">
        <w:tab/>
        <w:t xml:space="preserve">znovu opakuje, že nařízení o digitálních trzích má jiný právní základ než rámec hospodářské soutěže; zdůrazňuje potřebu účinné koexistence vymáhání práva hospodářské soutěže </w:t>
      </w:r>
      <w:r w:rsidRPr="00C53980">
        <w:rPr>
          <w:i/>
          <w:iCs/>
        </w:rPr>
        <w:t>ex post</w:t>
      </w:r>
      <w:r w:rsidRPr="00C53980">
        <w:t xml:space="preserve"> a prosazování nařízení o digitálních trzích </w:t>
      </w:r>
      <w:r w:rsidRPr="00C53980">
        <w:rPr>
          <w:i/>
          <w:iCs/>
        </w:rPr>
        <w:t>ex ante</w:t>
      </w:r>
      <w:r w:rsidRPr="00C53980">
        <w:t xml:space="preserve"> vzhledem k jejich doplňkové povaze; zdůrazňuje, že je třeba vyčlenit dostatečné personální zdroje a využívat synergie pro účinné provádění pravidel a zabránit překrývání nebo zdvojování stávajících struktur a opatření;</w:t>
      </w:r>
    </w:p>
    <w:p w:rsidR="006E67A0" w:rsidRPr="00C53980" w:rsidRDefault="006E67A0" w:rsidP="006E67A0">
      <w:pPr>
        <w:pStyle w:val="NormalHanging12a"/>
      </w:pPr>
      <w:r w:rsidRPr="00C53980">
        <w:t>45.</w:t>
      </w:r>
      <w:r w:rsidRPr="00C53980">
        <w:tab/>
        <w:t xml:space="preserve">upozorňuje na budoucí potřeby EU v oblasti konektivity, pokud jde o infrastrukturu a investice; vyzývá Komisi, aby zvážila revizi stávající praxe hospodářské soutěže na telekomunikačním trhu s cílem usnadnit vytvoření plně integrovaného jednotného trhu telekomunikačních služeb; konstatuje, že jediným způsobem, jak se vyhnout prodeji jednotlivých částí infrastruktury zahraničním společnostem ze zemí mimo EU a získat schopnost účinně soutěžit v globálním měřítku, by mohla být konsolidace trhu; poukazuje na to, že růst tohoto odvětví v Evropě byl v posledním desetiletí velmi nízký a že hlavním důvodem je roztříštěnost; v tomto ohledu vítá prohlášení komisaře Bretona ohledně toho, že Komise pracuje na novém návrhu aktu o digitálních sítích, který má řešit roztříštěnost trhu, přilákat investice a zabezpečit telekomunikační infrastrukturu a inovace bez dodatečných nákladů pro spotřebitele a aniž by byla ohrožena </w:t>
      </w:r>
      <w:r w:rsidR="00083E7C" w:rsidRPr="00083E7C">
        <w:t xml:space="preserve">neutralita sítě a </w:t>
      </w:r>
      <w:r w:rsidRPr="00C53980">
        <w:t>spravedlivá hospodářská soutěž na trhu mezi všemi aktéry;</w:t>
      </w:r>
    </w:p>
    <w:p w:rsidR="006E67A0" w:rsidRPr="00C53980" w:rsidRDefault="006E67A0" w:rsidP="006E67A0">
      <w:pPr>
        <w:pStyle w:val="NormalHanging12a"/>
      </w:pPr>
      <w:r w:rsidRPr="00C53980">
        <w:t xml:space="preserve">46. </w:t>
      </w:r>
      <w:r w:rsidRPr="00C53980">
        <w:tab/>
        <w:t xml:space="preserve">s obavami konstatuje, že strážci přístupu, kteří si vytvoří datovou výhodu vůči konkurentům, mohou dosáhnout kritických úspor z rozsahu, což přispívá k dalšímu vychýlení konkurenční rovnováhy na digitálních trzích a potlačuje inovace; </w:t>
      </w:r>
    </w:p>
    <w:p w:rsidR="006E67A0" w:rsidRPr="00C53980" w:rsidRDefault="006E67A0" w:rsidP="006E67A0">
      <w:pPr>
        <w:pStyle w:val="NormalHanging12a"/>
      </w:pPr>
      <w:r w:rsidRPr="00C53980">
        <w:t>47.</w:t>
      </w:r>
      <w:r w:rsidRPr="00C53980">
        <w:tab/>
        <w:t xml:space="preserve">zdůrazňuje, že při rozhodování o digitálních fúzích a akvizicích by měla být aktiva v podobě osobních údajů posuzována a hodnocena stejným způsobem jako ostatní tradiční aktiva; dále zdůrazňuje, že konsolidace údajů prostřednictvím fúzí a akvizic může posílit dominantní postavení; </w:t>
      </w:r>
    </w:p>
    <w:p w:rsidR="006E67A0" w:rsidRPr="00C53980" w:rsidRDefault="006E67A0" w:rsidP="006E67A0">
      <w:pPr>
        <w:pStyle w:val="NormalHanging12a"/>
        <w:rPr>
          <w:b/>
          <w:i/>
        </w:rPr>
      </w:pPr>
      <w:r w:rsidRPr="00C53980">
        <w:rPr>
          <w:b/>
          <w:i/>
        </w:rPr>
        <w:t>Daňové otázky</w:t>
      </w:r>
    </w:p>
    <w:p w:rsidR="006E67A0" w:rsidRPr="00C53980" w:rsidRDefault="006E67A0" w:rsidP="006E67A0">
      <w:pPr>
        <w:pStyle w:val="NormalHanging12a"/>
      </w:pPr>
      <w:r w:rsidRPr="00C53980">
        <w:t>48.</w:t>
      </w:r>
      <w:r w:rsidRPr="00C53980">
        <w:tab/>
        <w:t>vyjadřuje politování nad rušivými účinky agresivního daňového plánování a daňových systémů některých členských států na spravedlivou hospodářskou soutěž, neboť mohou potlačovat inovace a ohrožovat otevřenost trhů hospodářské soutěži, zejména pro malé a střední podniky; požaduje, aby společnosti, které se vyhýbají daňovým povinnostem využíváním daňových rájů zemí mimo EU, byly vyloučeny ze zadávacích řízení a přijímání státní podpory, protože tyto společnosti konkurují za nekalých podmínek společnostem usazeným mimo daňové ráje; vítá doporučení Komise ze dne 14. července 2020 neposkytovat finanční podporu společnostem s vazbami na daňové ráje a chránit poctivé daňové poplatníky;</w:t>
      </w:r>
    </w:p>
    <w:p w:rsidR="006E67A0" w:rsidRPr="00C53980" w:rsidRDefault="006E67A0" w:rsidP="006E67A0">
      <w:pPr>
        <w:pStyle w:val="NormalHanging12a"/>
      </w:pPr>
      <w:r w:rsidRPr="00C53980">
        <w:t>49.</w:t>
      </w:r>
      <w:r w:rsidRPr="00C53980">
        <w:tab/>
        <w:t xml:space="preserve">vyzývá Komisi, aby prozkoumala možnost pokutovat země, u nichž bylo zjištěno porušení pravidel EU pro poskytování státní podpory; vybízí Komisi, aby pokračovala ve vyšetřování postupů členských států v oblasti daňových rozhodnutí; </w:t>
      </w:r>
    </w:p>
    <w:p w:rsidR="006E67A0" w:rsidRPr="00C53980" w:rsidRDefault="006E67A0" w:rsidP="006E67A0">
      <w:pPr>
        <w:pStyle w:val="NormalHanging12a"/>
      </w:pPr>
      <w:r w:rsidRPr="00C53980">
        <w:t>50.</w:t>
      </w:r>
      <w:r w:rsidRPr="00C53980">
        <w:tab/>
        <w:t xml:space="preserve">bere na vědomí závazek místopředsedy Komise </w:t>
      </w:r>
      <w:proofErr w:type="spellStart"/>
      <w:r w:rsidRPr="00C53980">
        <w:t>Šefčoviče</w:t>
      </w:r>
      <w:proofErr w:type="spellEnd"/>
      <w:r w:rsidRPr="00C53980">
        <w:t xml:space="preserve"> a </w:t>
      </w:r>
      <w:bookmarkStart w:id="8" w:name="_GoBack"/>
      <w:bookmarkEnd w:id="8"/>
      <w:r w:rsidRPr="00C53980">
        <w:t xml:space="preserve">komisaře </w:t>
      </w:r>
      <w:proofErr w:type="spellStart"/>
      <w:r w:rsidRPr="00C53980">
        <w:t>Hoekstry</w:t>
      </w:r>
      <w:proofErr w:type="spellEnd"/>
      <w:r w:rsidRPr="00C53980">
        <w:t xml:space="preserve"> zahájit diskusi o postupném ukončování dotací na fosilní paliva; připomíná svůj požadavek, aby byly co nejdříve zavedeny konkrétní politiky, harmonogramy a opatření za účelem </w:t>
      </w:r>
      <w:r w:rsidRPr="00C53980">
        <w:lastRenderedPageBreak/>
        <w:t xml:space="preserve">postupného ukončování dotací na fosilní paliva prostřednictvím daňových opatření; </w:t>
      </w:r>
    </w:p>
    <w:p w:rsidR="006E67A0" w:rsidRPr="00C53980" w:rsidRDefault="006E67A0" w:rsidP="006E67A0">
      <w:pPr>
        <w:pStyle w:val="NormalHanging12a"/>
      </w:pPr>
      <w:r w:rsidRPr="00C53980">
        <w:t>51.</w:t>
      </w:r>
      <w:r w:rsidRPr="00C53980">
        <w:tab/>
        <w:t xml:space="preserve">vítá obezřetnost Komise při prosazování pravidel státní podpory v oblasti daní; </w:t>
      </w:r>
    </w:p>
    <w:p w:rsidR="006E67A0" w:rsidRPr="00C53980" w:rsidRDefault="006E67A0" w:rsidP="006E67A0">
      <w:pPr>
        <w:pStyle w:val="NormalHanging12a"/>
      </w:pPr>
      <w:r w:rsidRPr="00C53980">
        <w:t xml:space="preserve">52. </w:t>
      </w:r>
      <w:r w:rsidRPr="00C53980">
        <w:tab/>
        <w:t xml:space="preserve">zároveň lituje, že několik nedávných rozhodnutí Komise ve významných případech hospodářské soutěže v oblasti daní bylo Soudním dvorem EU zrušeno; vyzývá Komisi, aby své případy týkající se politiky hospodářské soutěže připravovala důkladněji s tím, aby mohly obstát před soudem; se znepokojením konstatuje, že zrušení pokut a zpětná úhrada úroků z prodlení ve zrušených případech rovněž představují rozpočtové riziko pro EU; </w:t>
      </w:r>
    </w:p>
    <w:p w:rsidR="006E67A0" w:rsidRPr="00C53980" w:rsidRDefault="006E67A0" w:rsidP="006E67A0">
      <w:pPr>
        <w:pStyle w:val="NormalHanging12a"/>
        <w:rPr>
          <w:b/>
          <w:i/>
        </w:rPr>
      </w:pPr>
      <w:r w:rsidRPr="00C53980">
        <w:rPr>
          <w:b/>
          <w:i/>
        </w:rPr>
        <w:t>Zapojení Parlamentu</w:t>
      </w:r>
    </w:p>
    <w:p w:rsidR="006E67A0" w:rsidRPr="00C53980" w:rsidRDefault="006E67A0" w:rsidP="006E67A0">
      <w:pPr>
        <w:pStyle w:val="NormalHanging12a"/>
      </w:pPr>
      <w:r w:rsidRPr="00C53980">
        <w:t>53.</w:t>
      </w:r>
      <w:r w:rsidRPr="00C53980">
        <w:tab/>
        <w:t>zdůrazňuje, že by Parlament měl hrát aktivní úlohu při utváření politiky v oblasti hospodářské soutěže a měl by se více podílet na činnosti pracovních a odborných skupin; domnívá se, že by se mělo častěji využívat právo Parlamentu zasahovat do soudních řízení týkajících se práva v oblasti hospodářské soutěže;</w:t>
      </w:r>
    </w:p>
    <w:p w:rsidR="006E67A0" w:rsidRPr="00C53980" w:rsidRDefault="006E67A0" w:rsidP="006E67A0">
      <w:pPr>
        <w:pStyle w:val="NormalHanging12a"/>
      </w:pPr>
      <w:r w:rsidRPr="00C53980">
        <w:t>54.</w:t>
      </w:r>
      <w:r w:rsidRPr="00C53980">
        <w:tab/>
        <w:t>vyzývá komisařku odpovědnou za politiku hospodářské soutěže, aby zůstala v úzkém kontaktu s příslušným výborem Evropského parlamentu a jeho pracovní skupinou pro otázky hospodářské soutěže;</w:t>
      </w:r>
    </w:p>
    <w:p w:rsidR="006E67A0" w:rsidRPr="00C53980" w:rsidRDefault="006E67A0" w:rsidP="006E67A0">
      <w:pPr>
        <w:pStyle w:val="NormalHanging12a"/>
        <w:jc w:val="center"/>
      </w:pPr>
      <w:r w:rsidRPr="00C53980">
        <w:t>°</w:t>
      </w:r>
    </w:p>
    <w:p w:rsidR="006E67A0" w:rsidRPr="00C53980" w:rsidRDefault="006E67A0" w:rsidP="006E67A0">
      <w:pPr>
        <w:pStyle w:val="NormalHanging12a"/>
        <w:jc w:val="center"/>
      </w:pPr>
      <w:r w:rsidRPr="00C53980">
        <w:t>°</w:t>
      </w:r>
      <w:r w:rsidRPr="00C53980">
        <w:tab/>
        <w:t>°</w:t>
      </w:r>
    </w:p>
    <w:p w:rsidR="00E365E1" w:rsidRPr="00C53980" w:rsidRDefault="006E67A0" w:rsidP="00E70EEF">
      <w:pPr>
        <w:pStyle w:val="NormalHanging12a"/>
      </w:pPr>
      <w:r w:rsidRPr="00C53980">
        <w:t>55.</w:t>
      </w:r>
      <w:r w:rsidRPr="00C53980">
        <w:tab/>
        <w:t>pověřuje svou předsedkyni, aby předala toto usnesení Radě, Komisi a parlamentům a orgánům pro hospodářskou soutěž členských států.</w:t>
      </w:r>
      <w:bookmarkStart w:id="9" w:name="TextBodyEnd"/>
      <w:bookmarkEnd w:id="9"/>
    </w:p>
    <w:sectPr w:rsidR="00E365E1" w:rsidRPr="00C53980" w:rsidSect="00C539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182" w:rsidRPr="00C53980" w:rsidRDefault="001D2182">
      <w:r w:rsidRPr="00C53980">
        <w:separator/>
      </w:r>
    </w:p>
  </w:endnote>
  <w:endnote w:type="continuationSeparator" w:id="0">
    <w:p w:rsidR="001D2182" w:rsidRPr="00C53980" w:rsidRDefault="001D2182">
      <w:r w:rsidRPr="00C539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398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398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398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182" w:rsidRPr="00C53980" w:rsidRDefault="001D2182">
      <w:r w:rsidRPr="00C53980">
        <w:separator/>
      </w:r>
    </w:p>
  </w:footnote>
  <w:footnote w:type="continuationSeparator" w:id="0">
    <w:p w:rsidR="001D2182" w:rsidRPr="00C53980" w:rsidRDefault="001D2182">
      <w:r w:rsidRPr="00C53980">
        <w:continuationSeparator/>
      </w:r>
    </w:p>
  </w:footnote>
  <w:footnote w:id="1">
    <w:p w:rsidR="006E67A0" w:rsidRPr="00C53980" w:rsidRDefault="006E67A0" w:rsidP="00C53980">
      <w:pPr>
        <w:pStyle w:val="FootnoteText"/>
        <w:ind w:left="567" w:hanging="567"/>
        <w:rPr>
          <w:sz w:val="24"/>
          <w:szCs w:val="24"/>
          <w:lang w:val="cs-CZ"/>
        </w:rPr>
      </w:pPr>
      <w:r w:rsidRPr="00C53980">
        <w:rPr>
          <w:rStyle w:val="FootnoteReference"/>
          <w:sz w:val="24"/>
          <w:lang w:val="cs-CZ"/>
        </w:rPr>
        <w:footnoteRef/>
      </w:r>
      <w:r w:rsidR="00C53980" w:rsidRPr="00C53980">
        <w:rPr>
          <w:sz w:val="24"/>
          <w:lang w:val="cs-CZ"/>
        </w:rPr>
        <w:t xml:space="preserve"> </w:t>
      </w:r>
      <w:r w:rsidR="00C53980" w:rsidRPr="00C53980">
        <w:rPr>
          <w:sz w:val="24"/>
          <w:lang w:val="cs-CZ"/>
        </w:rPr>
        <w:tab/>
      </w:r>
      <w:r w:rsidRPr="00C53980">
        <w:rPr>
          <w:sz w:val="24"/>
          <w:lang w:val="cs-CZ"/>
        </w:rPr>
        <w:t>Přijaté texty, P9_TA(2023)0227.</w:t>
      </w:r>
    </w:p>
  </w:footnote>
  <w:footnote w:id="2">
    <w:p w:rsidR="006E67A0" w:rsidRPr="00C53980" w:rsidRDefault="006E67A0" w:rsidP="00C53980">
      <w:pPr>
        <w:pStyle w:val="FootnoteText"/>
        <w:ind w:left="567" w:hanging="567"/>
        <w:rPr>
          <w:sz w:val="24"/>
          <w:lang w:val="cs-CZ"/>
        </w:rPr>
      </w:pPr>
      <w:r w:rsidRPr="00C53980">
        <w:rPr>
          <w:rStyle w:val="FootnoteReference"/>
          <w:sz w:val="24"/>
          <w:lang w:val="cs-CZ"/>
        </w:rPr>
        <w:footnoteRef/>
      </w:r>
      <w:r w:rsidR="00C53980" w:rsidRPr="00C53980">
        <w:rPr>
          <w:sz w:val="24"/>
          <w:lang w:val="cs-CZ"/>
        </w:rPr>
        <w:t xml:space="preserve"> </w:t>
      </w:r>
      <w:r w:rsidR="00C53980" w:rsidRPr="00C53980">
        <w:rPr>
          <w:sz w:val="24"/>
          <w:lang w:val="cs-CZ"/>
        </w:rPr>
        <w:tab/>
      </w:r>
      <w:r w:rsidRPr="00C53980">
        <w:rPr>
          <w:sz w:val="24"/>
          <w:lang w:val="cs-CZ"/>
        </w:rPr>
        <w:t xml:space="preserve">Rozsudek Tribunálu ze dne 13. července 2022, </w:t>
      </w:r>
      <w:proofErr w:type="spellStart"/>
      <w:r w:rsidRPr="00E70EEF">
        <w:rPr>
          <w:iCs/>
          <w:sz w:val="24"/>
          <w:lang w:val="cs-CZ"/>
        </w:rPr>
        <w:t>Ilumina</w:t>
      </w:r>
      <w:proofErr w:type="spellEnd"/>
      <w:r w:rsidRPr="00E70EEF">
        <w:rPr>
          <w:iCs/>
          <w:sz w:val="24"/>
          <w:lang w:val="cs-CZ"/>
        </w:rPr>
        <w:t xml:space="preserve">, </w:t>
      </w:r>
      <w:proofErr w:type="spellStart"/>
      <w:proofErr w:type="gramStart"/>
      <w:r w:rsidRPr="00E70EEF">
        <w:rPr>
          <w:iCs/>
          <w:sz w:val="24"/>
          <w:lang w:val="cs-CZ"/>
        </w:rPr>
        <w:t>Inc.v</w:t>
      </w:r>
      <w:proofErr w:type="spellEnd"/>
      <w:r w:rsidRPr="00E70EEF">
        <w:rPr>
          <w:iCs/>
          <w:sz w:val="24"/>
          <w:lang w:val="cs-CZ"/>
        </w:rPr>
        <w:t>.</w:t>
      </w:r>
      <w:proofErr w:type="gramEnd"/>
      <w:r w:rsidRPr="00E70EEF">
        <w:rPr>
          <w:iCs/>
          <w:sz w:val="24"/>
          <w:lang w:val="cs-CZ"/>
        </w:rPr>
        <w:t xml:space="preserve"> Evropská komise</w:t>
      </w:r>
      <w:r w:rsidRPr="00C53980">
        <w:rPr>
          <w:sz w:val="24"/>
          <w:lang w:val="cs-CZ"/>
        </w:rPr>
        <w:t>, T-227/21, ECLI:EU:T:2022:447.</w:t>
      </w:r>
    </w:p>
  </w:footnote>
  <w:footnote w:id="3">
    <w:p w:rsidR="006E67A0" w:rsidRPr="00C53980" w:rsidRDefault="006E67A0" w:rsidP="00C53980">
      <w:pPr>
        <w:pStyle w:val="FootnoteText"/>
        <w:ind w:left="567" w:hanging="567"/>
        <w:rPr>
          <w:sz w:val="24"/>
          <w:lang w:val="cs-CZ"/>
        </w:rPr>
      </w:pPr>
      <w:r w:rsidRPr="00C53980">
        <w:rPr>
          <w:rStyle w:val="FootnoteReference"/>
          <w:sz w:val="24"/>
          <w:lang w:val="cs-CZ"/>
        </w:rPr>
        <w:footnoteRef/>
      </w:r>
      <w:r w:rsidR="00C53980" w:rsidRPr="00C53980">
        <w:rPr>
          <w:sz w:val="24"/>
          <w:lang w:val="cs-CZ"/>
        </w:rPr>
        <w:t xml:space="preserve"> </w:t>
      </w:r>
      <w:r w:rsidR="00C53980" w:rsidRPr="00C53980">
        <w:rPr>
          <w:sz w:val="24"/>
          <w:lang w:val="cs-CZ"/>
        </w:rPr>
        <w:tab/>
      </w:r>
      <w:proofErr w:type="spellStart"/>
      <w:r w:rsidRPr="00C53980">
        <w:rPr>
          <w:sz w:val="24"/>
          <w:lang w:val="cs-CZ"/>
        </w:rPr>
        <w:t>Úř</w:t>
      </w:r>
      <w:proofErr w:type="spellEnd"/>
      <w:r w:rsidRPr="00C53980">
        <w:rPr>
          <w:sz w:val="24"/>
          <w:lang w:val="cs-CZ"/>
        </w:rPr>
        <w:t xml:space="preserve">. </w:t>
      </w:r>
      <w:proofErr w:type="spellStart"/>
      <w:proofErr w:type="gramStart"/>
      <w:r w:rsidRPr="00C53980">
        <w:rPr>
          <w:sz w:val="24"/>
          <w:lang w:val="cs-CZ"/>
        </w:rPr>
        <w:t>věst</w:t>
      </w:r>
      <w:proofErr w:type="spellEnd"/>
      <w:proofErr w:type="gramEnd"/>
      <w:r w:rsidRPr="00C53980">
        <w:rPr>
          <w:sz w:val="24"/>
          <w:lang w:val="cs-CZ"/>
        </w:rPr>
        <w:t xml:space="preserve">. C 131 I, </w:t>
      </w:r>
      <w:proofErr w:type="gramStart"/>
      <w:r w:rsidRPr="00C53980">
        <w:rPr>
          <w:sz w:val="24"/>
          <w:lang w:val="cs-CZ"/>
        </w:rPr>
        <w:t>24.3.2022</w:t>
      </w:r>
      <w:proofErr w:type="gramEnd"/>
      <w:r w:rsidRPr="00C53980">
        <w:rPr>
          <w:sz w:val="24"/>
          <w:lang w:val="cs-CZ"/>
        </w:rPr>
        <w:t>, s. 1.</w:t>
      </w:r>
    </w:p>
  </w:footnote>
  <w:footnote w:id="4">
    <w:p w:rsidR="006E67A0" w:rsidRPr="00C53980" w:rsidRDefault="006E67A0" w:rsidP="00C53980">
      <w:pPr>
        <w:pStyle w:val="FootnoteText"/>
        <w:ind w:left="567" w:hanging="567"/>
        <w:rPr>
          <w:sz w:val="24"/>
          <w:lang w:val="cs-CZ"/>
        </w:rPr>
      </w:pPr>
      <w:r w:rsidRPr="00C53980">
        <w:rPr>
          <w:rStyle w:val="FootnoteReference"/>
          <w:sz w:val="24"/>
          <w:lang w:val="cs-CZ"/>
        </w:rPr>
        <w:footnoteRef/>
      </w:r>
      <w:r w:rsidR="00C53980" w:rsidRPr="00C53980">
        <w:rPr>
          <w:sz w:val="24"/>
          <w:lang w:val="cs-CZ"/>
        </w:rPr>
        <w:t xml:space="preserve"> </w:t>
      </w:r>
      <w:r w:rsidR="00C53980" w:rsidRPr="00C53980">
        <w:rPr>
          <w:sz w:val="24"/>
          <w:lang w:val="cs-CZ"/>
        </w:rPr>
        <w:tab/>
      </w:r>
      <w:proofErr w:type="spellStart"/>
      <w:r w:rsidRPr="00C53980">
        <w:rPr>
          <w:sz w:val="24"/>
          <w:lang w:val="cs-CZ"/>
        </w:rPr>
        <w:t>Úř</w:t>
      </w:r>
      <w:proofErr w:type="spellEnd"/>
      <w:r w:rsidRPr="00C53980">
        <w:rPr>
          <w:sz w:val="24"/>
          <w:lang w:val="cs-CZ"/>
        </w:rPr>
        <w:t xml:space="preserve">. </w:t>
      </w:r>
      <w:proofErr w:type="spellStart"/>
      <w:proofErr w:type="gramStart"/>
      <w:r w:rsidRPr="00C53980">
        <w:rPr>
          <w:sz w:val="24"/>
          <w:lang w:val="cs-CZ"/>
        </w:rPr>
        <w:t>věst</w:t>
      </w:r>
      <w:proofErr w:type="spellEnd"/>
      <w:proofErr w:type="gramEnd"/>
      <w:r w:rsidRPr="00C53980">
        <w:rPr>
          <w:sz w:val="24"/>
          <w:lang w:val="cs-CZ"/>
        </w:rPr>
        <w:t xml:space="preserve">. L 24, </w:t>
      </w:r>
      <w:proofErr w:type="gramStart"/>
      <w:r w:rsidRPr="00C53980">
        <w:rPr>
          <w:sz w:val="24"/>
          <w:lang w:val="cs-CZ"/>
        </w:rPr>
        <w:t>29.1.2004</w:t>
      </w:r>
      <w:proofErr w:type="gramEnd"/>
      <w:r w:rsidRPr="00C53980">
        <w:rPr>
          <w:sz w:val="24"/>
          <w:lang w:val="cs-CZ"/>
        </w:rPr>
        <w:t>, s. 1.</w:t>
      </w:r>
    </w:p>
  </w:footnote>
  <w:footnote w:id="5">
    <w:p w:rsidR="006E67A0" w:rsidRPr="00C53980" w:rsidRDefault="006E67A0" w:rsidP="00C53980">
      <w:pPr>
        <w:pStyle w:val="FootnoteText"/>
        <w:ind w:left="567" w:hanging="567"/>
        <w:rPr>
          <w:sz w:val="24"/>
          <w:lang w:val="cs-CZ"/>
        </w:rPr>
      </w:pPr>
      <w:r w:rsidRPr="00C53980">
        <w:rPr>
          <w:rStyle w:val="FootnoteReference"/>
          <w:sz w:val="24"/>
          <w:lang w:val="cs-CZ"/>
        </w:rPr>
        <w:footnoteRef/>
      </w:r>
      <w:r w:rsidR="00C53980" w:rsidRPr="00C53980">
        <w:rPr>
          <w:sz w:val="24"/>
          <w:lang w:val="cs-CZ"/>
        </w:rPr>
        <w:t xml:space="preserve"> </w:t>
      </w:r>
      <w:r w:rsidR="00C53980" w:rsidRPr="00C53980">
        <w:rPr>
          <w:sz w:val="24"/>
          <w:lang w:val="cs-CZ"/>
        </w:rPr>
        <w:tab/>
      </w:r>
      <w:proofErr w:type="spellStart"/>
      <w:r w:rsidRPr="00C53980">
        <w:rPr>
          <w:sz w:val="24"/>
          <w:lang w:val="cs-CZ"/>
        </w:rPr>
        <w:t>Úř</w:t>
      </w:r>
      <w:proofErr w:type="spellEnd"/>
      <w:r w:rsidRPr="00C53980">
        <w:rPr>
          <w:sz w:val="24"/>
          <w:lang w:val="cs-CZ"/>
        </w:rPr>
        <w:t xml:space="preserve">. </w:t>
      </w:r>
      <w:proofErr w:type="spellStart"/>
      <w:proofErr w:type="gramStart"/>
      <w:r w:rsidRPr="00C53980">
        <w:rPr>
          <w:sz w:val="24"/>
          <w:lang w:val="cs-CZ"/>
        </w:rPr>
        <w:t>věst</w:t>
      </w:r>
      <w:proofErr w:type="spellEnd"/>
      <w:proofErr w:type="gramEnd"/>
      <w:r w:rsidRPr="00C53980">
        <w:rPr>
          <w:sz w:val="24"/>
          <w:lang w:val="cs-CZ"/>
        </w:rPr>
        <w:t xml:space="preserve">. L 265, </w:t>
      </w:r>
      <w:proofErr w:type="gramStart"/>
      <w:r w:rsidRPr="00C53980">
        <w:rPr>
          <w:sz w:val="24"/>
          <w:lang w:val="cs-CZ"/>
        </w:rPr>
        <w:t>12.10.2022</w:t>
      </w:r>
      <w:proofErr w:type="gramEnd"/>
      <w:r w:rsidRPr="00C53980">
        <w:rPr>
          <w:sz w:val="24"/>
          <w:lang w:val="cs-CZ"/>
        </w:rPr>
        <w:t>, s. 1.</w:t>
      </w:r>
    </w:p>
  </w:footnote>
  <w:footnote w:id="6">
    <w:p w:rsidR="006E67A0" w:rsidRPr="00C53980" w:rsidRDefault="006E67A0" w:rsidP="00C53980">
      <w:pPr>
        <w:pStyle w:val="FootnoteText"/>
        <w:ind w:left="567" w:hanging="567"/>
        <w:rPr>
          <w:sz w:val="24"/>
          <w:lang w:val="cs-CZ"/>
        </w:rPr>
      </w:pPr>
      <w:r w:rsidRPr="00C53980">
        <w:rPr>
          <w:rStyle w:val="FootnoteReference"/>
          <w:sz w:val="24"/>
          <w:lang w:val="cs-CZ"/>
        </w:rPr>
        <w:footnoteRef/>
      </w:r>
      <w:r w:rsidR="00C53980" w:rsidRPr="00C53980">
        <w:rPr>
          <w:sz w:val="24"/>
          <w:lang w:val="cs-CZ"/>
        </w:rPr>
        <w:t xml:space="preserve"> </w:t>
      </w:r>
      <w:r w:rsidR="00C53980" w:rsidRPr="00C53980">
        <w:rPr>
          <w:sz w:val="24"/>
          <w:lang w:val="cs-CZ"/>
        </w:rPr>
        <w:tab/>
      </w:r>
      <w:proofErr w:type="spellStart"/>
      <w:r w:rsidRPr="00C53980">
        <w:rPr>
          <w:sz w:val="24"/>
          <w:lang w:val="cs-CZ"/>
        </w:rPr>
        <w:t>Úř</w:t>
      </w:r>
      <w:proofErr w:type="spellEnd"/>
      <w:r w:rsidRPr="00C53980">
        <w:rPr>
          <w:sz w:val="24"/>
          <w:lang w:val="cs-CZ"/>
        </w:rPr>
        <w:t xml:space="preserve">. </w:t>
      </w:r>
      <w:proofErr w:type="spellStart"/>
      <w:proofErr w:type="gramStart"/>
      <w:r w:rsidRPr="00C53980">
        <w:rPr>
          <w:sz w:val="24"/>
          <w:lang w:val="cs-CZ"/>
        </w:rPr>
        <w:t>věst</w:t>
      </w:r>
      <w:proofErr w:type="spellEnd"/>
      <w:proofErr w:type="gramEnd"/>
      <w:r w:rsidRPr="00C53980">
        <w:rPr>
          <w:sz w:val="24"/>
          <w:lang w:val="cs-CZ"/>
        </w:rPr>
        <w:t xml:space="preserve">. L 11, </w:t>
      </w:r>
      <w:proofErr w:type="gramStart"/>
      <w:r w:rsidRPr="00C53980">
        <w:rPr>
          <w:sz w:val="24"/>
          <w:lang w:val="cs-CZ"/>
        </w:rPr>
        <w:t>14.1.2019</w:t>
      </w:r>
      <w:proofErr w:type="gramEnd"/>
      <w:r w:rsidRPr="00C53980">
        <w:rPr>
          <w:sz w:val="24"/>
          <w:lang w:val="cs-CZ"/>
        </w:rPr>
        <w:t>, s. 3.</w:t>
      </w:r>
    </w:p>
  </w:footnote>
  <w:footnote w:id="7">
    <w:p w:rsidR="006E67A0" w:rsidRPr="00C53980" w:rsidRDefault="006E67A0" w:rsidP="00C53980">
      <w:pPr>
        <w:pStyle w:val="FootnoteText"/>
        <w:ind w:left="567" w:hanging="567"/>
        <w:rPr>
          <w:sz w:val="24"/>
          <w:lang w:val="cs-CZ"/>
        </w:rPr>
      </w:pPr>
      <w:r w:rsidRPr="00C53980">
        <w:rPr>
          <w:rStyle w:val="FootnoteReference"/>
          <w:sz w:val="24"/>
          <w:lang w:val="cs-CZ"/>
        </w:rPr>
        <w:footnoteRef/>
      </w:r>
      <w:r w:rsidR="00C53980" w:rsidRPr="00C53980">
        <w:rPr>
          <w:sz w:val="24"/>
          <w:lang w:val="cs-CZ"/>
        </w:rPr>
        <w:t xml:space="preserve"> </w:t>
      </w:r>
      <w:r w:rsidR="00C53980" w:rsidRPr="00C53980">
        <w:rPr>
          <w:sz w:val="24"/>
          <w:lang w:val="cs-CZ"/>
        </w:rPr>
        <w:tab/>
      </w:r>
      <w:proofErr w:type="spellStart"/>
      <w:r w:rsidRPr="00C53980">
        <w:rPr>
          <w:sz w:val="24"/>
          <w:lang w:val="cs-CZ"/>
        </w:rPr>
        <w:t>Úř</w:t>
      </w:r>
      <w:proofErr w:type="spellEnd"/>
      <w:r w:rsidRPr="00C53980">
        <w:rPr>
          <w:sz w:val="24"/>
          <w:lang w:val="cs-CZ"/>
        </w:rPr>
        <w:t xml:space="preserve">. </w:t>
      </w:r>
      <w:proofErr w:type="spellStart"/>
      <w:proofErr w:type="gramStart"/>
      <w:r w:rsidRPr="00C53980">
        <w:rPr>
          <w:sz w:val="24"/>
          <w:lang w:val="cs-CZ"/>
        </w:rPr>
        <w:t>věst</w:t>
      </w:r>
      <w:proofErr w:type="spellEnd"/>
      <w:proofErr w:type="gramEnd"/>
      <w:r w:rsidRPr="00C53980">
        <w:rPr>
          <w:sz w:val="24"/>
          <w:lang w:val="cs-CZ"/>
        </w:rPr>
        <w:t xml:space="preserve">. L 1, </w:t>
      </w:r>
      <w:proofErr w:type="gramStart"/>
      <w:r w:rsidRPr="00C53980">
        <w:rPr>
          <w:sz w:val="24"/>
          <w:lang w:val="cs-CZ"/>
        </w:rPr>
        <w:t>4.1.2003</w:t>
      </w:r>
      <w:proofErr w:type="gramEnd"/>
      <w:r w:rsidRPr="00C53980">
        <w:rPr>
          <w:sz w:val="24"/>
          <w:lang w:val="cs-CZ"/>
        </w:rPr>
        <w:t>, s. 1.</w:t>
      </w:r>
    </w:p>
  </w:footnote>
  <w:footnote w:id="8">
    <w:p w:rsidR="006E67A0" w:rsidRPr="00C53980" w:rsidRDefault="006E67A0" w:rsidP="00C53980">
      <w:pPr>
        <w:pStyle w:val="FootnoteText"/>
        <w:ind w:left="567" w:hanging="567"/>
        <w:rPr>
          <w:sz w:val="24"/>
          <w:lang w:val="cs-CZ"/>
        </w:rPr>
      </w:pPr>
      <w:r w:rsidRPr="00C53980">
        <w:rPr>
          <w:rStyle w:val="FootnoteReference"/>
          <w:sz w:val="24"/>
          <w:lang w:val="cs-CZ"/>
        </w:rPr>
        <w:footnoteRef/>
      </w:r>
      <w:r w:rsidR="00C53980" w:rsidRPr="00C53980">
        <w:rPr>
          <w:sz w:val="24"/>
          <w:lang w:val="cs-CZ"/>
        </w:rPr>
        <w:t xml:space="preserve"> </w:t>
      </w:r>
      <w:r w:rsidR="00C53980" w:rsidRPr="00C53980">
        <w:rPr>
          <w:sz w:val="24"/>
          <w:lang w:val="cs-CZ"/>
        </w:rPr>
        <w:tab/>
      </w:r>
      <w:proofErr w:type="spellStart"/>
      <w:r w:rsidRPr="00C53980">
        <w:rPr>
          <w:sz w:val="24"/>
          <w:lang w:val="cs-CZ"/>
        </w:rPr>
        <w:t>Úř</w:t>
      </w:r>
      <w:proofErr w:type="spellEnd"/>
      <w:r w:rsidRPr="00C53980">
        <w:rPr>
          <w:sz w:val="24"/>
          <w:lang w:val="cs-CZ"/>
        </w:rPr>
        <w:t xml:space="preserve">. </w:t>
      </w:r>
      <w:proofErr w:type="spellStart"/>
      <w:proofErr w:type="gramStart"/>
      <w:r w:rsidRPr="00C53980">
        <w:rPr>
          <w:sz w:val="24"/>
          <w:lang w:val="cs-CZ"/>
        </w:rPr>
        <w:t>věst</w:t>
      </w:r>
      <w:proofErr w:type="spellEnd"/>
      <w:proofErr w:type="gramEnd"/>
      <w:r w:rsidRPr="00C53980">
        <w:rPr>
          <w:sz w:val="24"/>
          <w:lang w:val="cs-CZ"/>
        </w:rPr>
        <w:t xml:space="preserve">. L 123, </w:t>
      </w:r>
      <w:proofErr w:type="gramStart"/>
      <w:r w:rsidRPr="00C53980">
        <w:rPr>
          <w:sz w:val="24"/>
          <w:lang w:val="cs-CZ"/>
        </w:rPr>
        <w:t>27.4.2004</w:t>
      </w:r>
      <w:proofErr w:type="gramEnd"/>
      <w:r w:rsidRPr="00C53980">
        <w:rPr>
          <w:sz w:val="24"/>
          <w:lang w:val="cs-CZ"/>
        </w:rPr>
        <w:t>, s. 18.</w:t>
      </w:r>
    </w:p>
  </w:footnote>
  <w:footnote w:id="9">
    <w:p w:rsidR="006E67A0" w:rsidRPr="00C53980" w:rsidRDefault="006E67A0" w:rsidP="00C53980">
      <w:pPr>
        <w:pStyle w:val="FootnoteText"/>
        <w:ind w:left="567" w:hanging="567"/>
        <w:rPr>
          <w:sz w:val="24"/>
          <w:lang w:val="cs-CZ"/>
        </w:rPr>
      </w:pPr>
      <w:r w:rsidRPr="00C53980">
        <w:rPr>
          <w:rStyle w:val="FootnoteReference"/>
          <w:sz w:val="24"/>
          <w:lang w:val="cs-CZ"/>
        </w:rPr>
        <w:footnoteRef/>
      </w:r>
      <w:r w:rsidR="00C53980" w:rsidRPr="00C53980">
        <w:rPr>
          <w:sz w:val="24"/>
          <w:lang w:val="cs-CZ"/>
        </w:rPr>
        <w:t xml:space="preserve"> </w:t>
      </w:r>
      <w:r w:rsidR="00C53980" w:rsidRPr="00C53980">
        <w:rPr>
          <w:sz w:val="24"/>
          <w:lang w:val="cs-CZ"/>
        </w:rPr>
        <w:tab/>
      </w:r>
      <w:proofErr w:type="spellStart"/>
      <w:r w:rsidRPr="00C53980">
        <w:rPr>
          <w:sz w:val="24"/>
          <w:lang w:val="cs-CZ"/>
        </w:rPr>
        <w:t>Úř</w:t>
      </w:r>
      <w:proofErr w:type="spellEnd"/>
      <w:r w:rsidRPr="00C53980">
        <w:rPr>
          <w:sz w:val="24"/>
          <w:lang w:val="cs-CZ"/>
        </w:rPr>
        <w:t xml:space="preserve">. </w:t>
      </w:r>
      <w:proofErr w:type="spellStart"/>
      <w:proofErr w:type="gramStart"/>
      <w:r w:rsidRPr="00C53980">
        <w:rPr>
          <w:sz w:val="24"/>
          <w:lang w:val="cs-CZ"/>
        </w:rPr>
        <w:t>věst</w:t>
      </w:r>
      <w:proofErr w:type="spellEnd"/>
      <w:proofErr w:type="gramEnd"/>
      <w:r w:rsidRPr="00C53980">
        <w:rPr>
          <w:sz w:val="24"/>
          <w:lang w:val="cs-CZ"/>
        </w:rPr>
        <w:t xml:space="preserve">. C 80, </w:t>
      </w:r>
      <w:proofErr w:type="gramStart"/>
      <w:r w:rsidRPr="00C53980">
        <w:rPr>
          <w:sz w:val="24"/>
          <w:lang w:val="cs-CZ"/>
        </w:rPr>
        <w:t>18.2.2022</w:t>
      </w:r>
      <w:proofErr w:type="gramEnd"/>
      <w:r w:rsidRPr="00C53980">
        <w:rPr>
          <w:sz w:val="24"/>
          <w:lang w:val="cs-CZ"/>
        </w:rPr>
        <w:t>, s. 1.</w:t>
      </w:r>
    </w:p>
  </w:footnote>
  <w:footnote w:id="10">
    <w:p w:rsidR="006E67A0" w:rsidRPr="00C53980" w:rsidRDefault="006E67A0" w:rsidP="00C53980">
      <w:pPr>
        <w:pStyle w:val="FootnoteText"/>
        <w:ind w:left="567" w:hanging="567"/>
        <w:rPr>
          <w:sz w:val="24"/>
          <w:lang w:val="cs-CZ"/>
        </w:rPr>
      </w:pPr>
      <w:r w:rsidRPr="00C53980">
        <w:rPr>
          <w:rStyle w:val="FootnoteReference"/>
          <w:sz w:val="24"/>
          <w:lang w:val="cs-CZ"/>
        </w:rPr>
        <w:footnoteRef/>
      </w:r>
      <w:r w:rsidR="00C53980" w:rsidRPr="00C53980">
        <w:rPr>
          <w:sz w:val="24"/>
          <w:lang w:val="cs-CZ"/>
        </w:rPr>
        <w:t xml:space="preserve"> </w:t>
      </w:r>
      <w:r w:rsidR="00C53980" w:rsidRPr="00C53980">
        <w:rPr>
          <w:sz w:val="24"/>
          <w:lang w:val="cs-CZ"/>
        </w:rPr>
        <w:tab/>
      </w:r>
      <w:proofErr w:type="spellStart"/>
      <w:r w:rsidRPr="00C53980">
        <w:rPr>
          <w:sz w:val="24"/>
          <w:lang w:val="cs-CZ"/>
        </w:rPr>
        <w:t>Úř</w:t>
      </w:r>
      <w:proofErr w:type="spellEnd"/>
      <w:r w:rsidRPr="00C53980">
        <w:rPr>
          <w:sz w:val="24"/>
          <w:lang w:val="cs-CZ"/>
        </w:rPr>
        <w:t xml:space="preserve">. </w:t>
      </w:r>
      <w:proofErr w:type="spellStart"/>
      <w:proofErr w:type="gramStart"/>
      <w:r w:rsidRPr="00C53980">
        <w:rPr>
          <w:sz w:val="24"/>
          <w:lang w:val="cs-CZ"/>
        </w:rPr>
        <w:t>věst</w:t>
      </w:r>
      <w:proofErr w:type="spellEnd"/>
      <w:proofErr w:type="gramEnd"/>
      <w:r w:rsidRPr="00C53980">
        <w:rPr>
          <w:sz w:val="24"/>
          <w:lang w:val="cs-CZ"/>
        </w:rPr>
        <w:t xml:space="preserve">. C 36, </w:t>
      </w:r>
      <w:proofErr w:type="gramStart"/>
      <w:r w:rsidRPr="00C53980">
        <w:rPr>
          <w:sz w:val="24"/>
          <w:lang w:val="cs-CZ"/>
        </w:rPr>
        <w:t>31.1.2023</w:t>
      </w:r>
      <w:proofErr w:type="gramEnd"/>
      <w:r w:rsidRPr="00C53980">
        <w:rPr>
          <w:sz w:val="24"/>
          <w:lang w:val="cs-CZ"/>
        </w:rPr>
        <w:t>, s. 1.</w:t>
      </w:r>
    </w:p>
  </w:footnote>
  <w:footnote w:id="11">
    <w:p w:rsidR="006E67A0" w:rsidRPr="00C53980" w:rsidRDefault="006E67A0" w:rsidP="00C53980">
      <w:pPr>
        <w:pStyle w:val="FootnoteText"/>
        <w:ind w:left="567" w:hanging="567"/>
        <w:rPr>
          <w:sz w:val="24"/>
          <w:lang w:val="cs-CZ"/>
        </w:rPr>
      </w:pPr>
      <w:r w:rsidRPr="00C53980">
        <w:rPr>
          <w:rStyle w:val="FootnoteReference"/>
          <w:sz w:val="24"/>
          <w:lang w:val="cs-CZ"/>
        </w:rPr>
        <w:footnoteRef/>
      </w:r>
      <w:r w:rsidR="00C53980" w:rsidRPr="00C53980">
        <w:rPr>
          <w:sz w:val="24"/>
          <w:lang w:val="cs-CZ"/>
        </w:rPr>
        <w:t xml:space="preserve"> </w:t>
      </w:r>
      <w:r w:rsidR="00C53980" w:rsidRPr="00C53980">
        <w:rPr>
          <w:sz w:val="24"/>
          <w:lang w:val="cs-CZ"/>
        </w:rPr>
        <w:tab/>
      </w:r>
      <w:proofErr w:type="spellStart"/>
      <w:r w:rsidRPr="00C53980">
        <w:rPr>
          <w:sz w:val="24"/>
          <w:lang w:val="cs-CZ"/>
        </w:rPr>
        <w:t>Úř</w:t>
      </w:r>
      <w:proofErr w:type="spellEnd"/>
      <w:r w:rsidRPr="00C53980">
        <w:rPr>
          <w:sz w:val="24"/>
          <w:lang w:val="cs-CZ"/>
        </w:rPr>
        <w:t xml:space="preserve">. </w:t>
      </w:r>
      <w:proofErr w:type="spellStart"/>
      <w:proofErr w:type="gramStart"/>
      <w:r w:rsidRPr="00C53980">
        <w:rPr>
          <w:sz w:val="24"/>
          <w:lang w:val="cs-CZ"/>
        </w:rPr>
        <w:t>věst</w:t>
      </w:r>
      <w:proofErr w:type="spellEnd"/>
      <w:proofErr w:type="gramEnd"/>
      <w:r w:rsidRPr="00C53980">
        <w:rPr>
          <w:sz w:val="24"/>
          <w:lang w:val="cs-CZ"/>
        </w:rPr>
        <w:t xml:space="preserve">. L 330, </w:t>
      </w:r>
      <w:proofErr w:type="gramStart"/>
      <w:r w:rsidRPr="00C53980">
        <w:rPr>
          <w:sz w:val="24"/>
          <w:lang w:val="cs-CZ"/>
        </w:rPr>
        <w:t>23.12.2022</w:t>
      </w:r>
      <w:proofErr w:type="gramEnd"/>
      <w:r w:rsidRPr="00C53980">
        <w:rPr>
          <w:sz w:val="24"/>
          <w:lang w:val="cs-CZ"/>
        </w:rPr>
        <w:t>, s. 1.</w:t>
      </w:r>
    </w:p>
  </w:footnote>
  <w:footnote w:id="12">
    <w:p w:rsidR="006E67A0" w:rsidRPr="00C53980" w:rsidRDefault="006E67A0" w:rsidP="00C53980">
      <w:pPr>
        <w:pStyle w:val="FootnoteText"/>
        <w:ind w:left="567" w:hanging="567"/>
        <w:rPr>
          <w:sz w:val="24"/>
          <w:lang w:val="cs-CZ"/>
        </w:rPr>
      </w:pPr>
      <w:r w:rsidRPr="00C53980">
        <w:rPr>
          <w:rStyle w:val="FootnoteReference"/>
          <w:sz w:val="24"/>
          <w:lang w:val="cs-CZ"/>
        </w:rPr>
        <w:footnoteRef/>
      </w:r>
      <w:r w:rsidR="00C53980" w:rsidRPr="00C53980">
        <w:rPr>
          <w:sz w:val="24"/>
          <w:lang w:val="cs-CZ"/>
        </w:rPr>
        <w:t xml:space="preserve"> </w:t>
      </w:r>
      <w:r w:rsidR="00C53980" w:rsidRPr="00C53980">
        <w:rPr>
          <w:sz w:val="24"/>
          <w:lang w:val="cs-CZ"/>
        </w:rPr>
        <w:tab/>
      </w:r>
      <w:r w:rsidRPr="00C53980">
        <w:rPr>
          <w:sz w:val="24"/>
          <w:lang w:val="cs-CZ"/>
        </w:rPr>
        <w:t xml:space="preserve">Evropská komise, </w:t>
      </w:r>
      <w:hyperlink r:id="rId1" w:history="1">
        <w:r w:rsidRPr="00C53980">
          <w:rPr>
            <w:rStyle w:val="Hyperlink"/>
            <w:sz w:val="24"/>
            <w:lang w:val="cs-CZ"/>
          </w:rPr>
          <w:t>„Projev o stavu unie“</w:t>
        </w:r>
      </w:hyperlink>
      <w:r w:rsidRPr="00C53980">
        <w:rPr>
          <w:sz w:val="24"/>
          <w:lang w:val="cs-CZ"/>
        </w:rPr>
        <w:t>, 13. září 2023.</w:t>
      </w:r>
    </w:p>
  </w:footnote>
  <w:footnote w:id="13">
    <w:p w:rsidR="006E67A0" w:rsidRPr="00C53980" w:rsidRDefault="006E67A0" w:rsidP="00C53980">
      <w:pPr>
        <w:pStyle w:val="FootnoteText"/>
        <w:ind w:left="567" w:hanging="567"/>
        <w:rPr>
          <w:sz w:val="24"/>
          <w:lang w:val="cs-CZ"/>
        </w:rPr>
      </w:pPr>
      <w:r w:rsidRPr="00C53980">
        <w:rPr>
          <w:rStyle w:val="FootnoteReference"/>
          <w:sz w:val="24"/>
          <w:lang w:val="cs-CZ"/>
        </w:rPr>
        <w:footnoteRef/>
      </w:r>
      <w:r w:rsidR="00C53980" w:rsidRPr="00C53980">
        <w:rPr>
          <w:sz w:val="24"/>
          <w:lang w:val="cs-CZ"/>
        </w:rPr>
        <w:t xml:space="preserve"> </w:t>
      </w:r>
      <w:r w:rsidR="00C53980" w:rsidRPr="00C53980">
        <w:rPr>
          <w:sz w:val="24"/>
          <w:lang w:val="cs-CZ"/>
        </w:rPr>
        <w:tab/>
      </w:r>
      <w:proofErr w:type="spellStart"/>
      <w:r w:rsidRPr="00C53980">
        <w:rPr>
          <w:sz w:val="24"/>
          <w:lang w:val="cs-CZ"/>
        </w:rPr>
        <w:t>Úř</w:t>
      </w:r>
      <w:proofErr w:type="spellEnd"/>
      <w:r w:rsidRPr="00C53980">
        <w:rPr>
          <w:sz w:val="24"/>
          <w:lang w:val="cs-CZ"/>
        </w:rPr>
        <w:t xml:space="preserve">. </w:t>
      </w:r>
      <w:proofErr w:type="spellStart"/>
      <w:proofErr w:type="gramStart"/>
      <w:r w:rsidRPr="00C53980">
        <w:rPr>
          <w:sz w:val="24"/>
          <w:lang w:val="cs-CZ"/>
        </w:rPr>
        <w:t>věst</w:t>
      </w:r>
      <w:proofErr w:type="spellEnd"/>
      <w:proofErr w:type="gramEnd"/>
      <w:r w:rsidRPr="00C53980">
        <w:rPr>
          <w:sz w:val="24"/>
          <w:lang w:val="cs-CZ"/>
        </w:rPr>
        <w:t xml:space="preserve">. L 119, </w:t>
      </w:r>
      <w:proofErr w:type="gramStart"/>
      <w:r w:rsidRPr="00C53980">
        <w:rPr>
          <w:sz w:val="24"/>
          <w:lang w:val="cs-CZ"/>
        </w:rPr>
        <w:t>5.5.2023</w:t>
      </w:r>
      <w:proofErr w:type="gramEnd"/>
      <w:r w:rsidRPr="00C53980">
        <w:rPr>
          <w:sz w:val="24"/>
          <w:lang w:val="cs-CZ"/>
        </w:rPr>
        <w:t>, s. 22.</w:t>
      </w:r>
    </w:p>
  </w:footnote>
  <w:footnote w:id="14">
    <w:p w:rsidR="006E67A0" w:rsidRPr="00C53980" w:rsidRDefault="006E67A0" w:rsidP="00C53980">
      <w:pPr>
        <w:pStyle w:val="FootnoteText"/>
        <w:ind w:left="567" w:hanging="567"/>
        <w:rPr>
          <w:sz w:val="24"/>
          <w:lang w:val="cs-CZ"/>
        </w:rPr>
      </w:pPr>
      <w:r w:rsidRPr="00C53980">
        <w:rPr>
          <w:rStyle w:val="FootnoteReference"/>
          <w:sz w:val="24"/>
          <w:lang w:val="cs-CZ"/>
        </w:rPr>
        <w:footnoteRef/>
      </w:r>
      <w:r w:rsidR="00C53980" w:rsidRPr="00C53980">
        <w:rPr>
          <w:sz w:val="24"/>
          <w:lang w:val="cs-CZ"/>
        </w:rPr>
        <w:t xml:space="preserve"> </w:t>
      </w:r>
      <w:r w:rsidR="00C53980" w:rsidRPr="00C53980">
        <w:rPr>
          <w:sz w:val="24"/>
          <w:lang w:val="cs-CZ"/>
        </w:rPr>
        <w:tab/>
      </w:r>
      <w:proofErr w:type="spellStart"/>
      <w:r w:rsidRPr="00C53980">
        <w:rPr>
          <w:sz w:val="24"/>
          <w:lang w:val="cs-CZ"/>
        </w:rPr>
        <w:t>Úř</w:t>
      </w:r>
      <w:proofErr w:type="spellEnd"/>
      <w:r w:rsidRPr="00C53980">
        <w:rPr>
          <w:sz w:val="24"/>
          <w:lang w:val="cs-CZ"/>
        </w:rPr>
        <w:t xml:space="preserve">. </w:t>
      </w:r>
      <w:proofErr w:type="spellStart"/>
      <w:proofErr w:type="gramStart"/>
      <w:r w:rsidRPr="00C53980">
        <w:rPr>
          <w:sz w:val="24"/>
          <w:lang w:val="cs-CZ"/>
        </w:rPr>
        <w:t>věst</w:t>
      </w:r>
      <w:proofErr w:type="spellEnd"/>
      <w:proofErr w:type="gramEnd"/>
      <w:r w:rsidRPr="00C53980">
        <w:rPr>
          <w:sz w:val="24"/>
          <w:lang w:val="cs-CZ"/>
        </w:rPr>
        <w:t xml:space="preserve">. C 23, </w:t>
      </w:r>
      <w:proofErr w:type="gramStart"/>
      <w:r w:rsidRPr="00C53980">
        <w:rPr>
          <w:sz w:val="24"/>
          <w:lang w:val="cs-CZ"/>
        </w:rPr>
        <w:t>23.1.2023</w:t>
      </w:r>
      <w:proofErr w:type="gramEnd"/>
      <w:r w:rsidRPr="00C53980">
        <w:rPr>
          <w:sz w:val="24"/>
          <w:lang w:val="cs-CZ"/>
        </w:rPr>
        <w:t>, s. 1.</w:t>
      </w:r>
    </w:p>
  </w:footnote>
  <w:footnote w:id="15">
    <w:p w:rsidR="006E67A0" w:rsidRPr="00C53980" w:rsidRDefault="006E67A0" w:rsidP="00C53980">
      <w:pPr>
        <w:pStyle w:val="FootnoteText"/>
        <w:ind w:left="567" w:hanging="567"/>
        <w:rPr>
          <w:sz w:val="24"/>
          <w:lang w:val="cs-CZ"/>
        </w:rPr>
      </w:pPr>
      <w:r w:rsidRPr="00C53980">
        <w:rPr>
          <w:rStyle w:val="FootnoteReference"/>
          <w:sz w:val="24"/>
          <w:lang w:val="cs-CZ"/>
        </w:rPr>
        <w:footnoteRef/>
      </w:r>
      <w:r w:rsidR="00C53980" w:rsidRPr="00C53980">
        <w:rPr>
          <w:sz w:val="24"/>
          <w:lang w:val="cs-CZ"/>
        </w:rPr>
        <w:t xml:space="preserve"> </w:t>
      </w:r>
      <w:r w:rsidR="00C53980" w:rsidRPr="00C53980">
        <w:rPr>
          <w:sz w:val="24"/>
          <w:lang w:val="cs-CZ"/>
        </w:rPr>
        <w:tab/>
      </w:r>
      <w:r w:rsidRPr="00C53980">
        <w:rPr>
          <w:sz w:val="24"/>
          <w:lang w:val="cs-CZ"/>
        </w:rPr>
        <w:t xml:space="preserve">Rozsudek Soudního dvora (velkého senátu) ze dne 4. července 2023, </w:t>
      </w:r>
      <w:r w:rsidRPr="00C53980">
        <w:rPr>
          <w:i/>
          <w:iCs/>
          <w:sz w:val="24"/>
          <w:lang w:val="cs-CZ"/>
        </w:rPr>
        <w:t xml:space="preserve">Meta </w:t>
      </w:r>
      <w:proofErr w:type="spellStart"/>
      <w:r w:rsidRPr="00C53980">
        <w:rPr>
          <w:i/>
          <w:iCs/>
          <w:sz w:val="24"/>
          <w:lang w:val="cs-CZ"/>
        </w:rPr>
        <w:t>Platforms</w:t>
      </w:r>
      <w:proofErr w:type="spellEnd"/>
      <w:r w:rsidRPr="00C53980">
        <w:rPr>
          <w:i/>
          <w:iCs/>
          <w:sz w:val="24"/>
          <w:lang w:val="cs-CZ"/>
        </w:rPr>
        <w:t xml:space="preserve"> </w:t>
      </w:r>
      <w:proofErr w:type="spellStart"/>
      <w:r w:rsidRPr="00C53980">
        <w:rPr>
          <w:i/>
          <w:iCs/>
          <w:sz w:val="24"/>
          <w:lang w:val="cs-CZ"/>
        </w:rPr>
        <w:t>Inc</w:t>
      </w:r>
      <w:proofErr w:type="spellEnd"/>
      <w:r w:rsidRPr="00C53980">
        <w:rPr>
          <w:i/>
          <w:iCs/>
          <w:sz w:val="24"/>
          <w:lang w:val="cs-CZ"/>
        </w:rPr>
        <w:t xml:space="preserve"> a další v. </w:t>
      </w:r>
      <w:proofErr w:type="spellStart"/>
      <w:r w:rsidRPr="00C53980">
        <w:rPr>
          <w:i/>
          <w:iCs/>
          <w:sz w:val="24"/>
          <w:lang w:val="cs-CZ"/>
        </w:rPr>
        <w:t>Bundeskartellamt</w:t>
      </w:r>
      <w:proofErr w:type="spellEnd"/>
      <w:r w:rsidRPr="00C53980">
        <w:rPr>
          <w:sz w:val="24"/>
          <w:lang w:val="cs-CZ"/>
        </w:rPr>
        <w:t>, C-252/21, ECLI:EU:C:2023:537.</w:t>
      </w:r>
    </w:p>
  </w:footnote>
  <w:footnote w:id="16">
    <w:p w:rsidR="006E67A0" w:rsidRPr="00C53980" w:rsidRDefault="006E67A0" w:rsidP="00C53980">
      <w:pPr>
        <w:pStyle w:val="FootnoteText"/>
        <w:ind w:left="567" w:hanging="567"/>
        <w:rPr>
          <w:color w:val="0563C1" w:themeColor="hyperlink"/>
          <w:sz w:val="24"/>
          <w:u w:val="single"/>
          <w:lang w:val="cs-CZ"/>
        </w:rPr>
      </w:pPr>
      <w:r w:rsidRPr="00C53980">
        <w:rPr>
          <w:rStyle w:val="FootnoteReference"/>
          <w:sz w:val="24"/>
          <w:lang w:val="cs-CZ"/>
        </w:rPr>
        <w:footnoteRef/>
      </w:r>
      <w:r w:rsidR="00C53980" w:rsidRPr="00C53980">
        <w:rPr>
          <w:sz w:val="24"/>
          <w:lang w:val="cs-CZ"/>
        </w:rPr>
        <w:t xml:space="preserve"> </w:t>
      </w:r>
      <w:r w:rsidR="00C53980" w:rsidRPr="00C53980">
        <w:rPr>
          <w:sz w:val="24"/>
          <w:lang w:val="cs-CZ"/>
        </w:rPr>
        <w:tab/>
      </w:r>
      <w:hyperlink r:id="rId2" w:history="1">
        <w:r w:rsidRPr="00C53980">
          <w:rPr>
            <w:rStyle w:val="Hyperlink"/>
            <w:sz w:val="24"/>
            <w:lang w:val="cs-CZ"/>
          </w:rPr>
          <w:t>Kodex osvědčených postupů GŘ COMP pro transparentní, inkluzivní a rychlejší navrhování a posuzování významných projektů společného evropského zájmu</w:t>
        </w:r>
      </w:hyperlink>
      <w:r w:rsidRPr="00C53980">
        <w:rPr>
          <w:sz w:val="24"/>
          <w:lang w:val="cs-CZ"/>
        </w:rPr>
        <w:t>.</w:t>
      </w:r>
    </w:p>
  </w:footnote>
  <w:footnote w:id="17">
    <w:p w:rsidR="006E67A0" w:rsidRPr="00C53980" w:rsidRDefault="006E67A0" w:rsidP="00C53980">
      <w:pPr>
        <w:pStyle w:val="FootnoteText"/>
        <w:ind w:left="567" w:hanging="567"/>
        <w:rPr>
          <w:sz w:val="24"/>
          <w:lang w:val="cs-CZ"/>
        </w:rPr>
      </w:pPr>
      <w:r w:rsidRPr="00C53980">
        <w:rPr>
          <w:rStyle w:val="FootnoteReference"/>
          <w:sz w:val="24"/>
          <w:lang w:val="cs-CZ"/>
        </w:rPr>
        <w:footnoteRef/>
      </w:r>
      <w:r w:rsidR="00C53980" w:rsidRPr="00C53980">
        <w:rPr>
          <w:sz w:val="24"/>
          <w:lang w:val="cs-CZ"/>
        </w:rPr>
        <w:t xml:space="preserve"> </w:t>
      </w:r>
      <w:r w:rsidR="00C53980" w:rsidRPr="00C53980">
        <w:rPr>
          <w:sz w:val="24"/>
          <w:lang w:val="cs-CZ"/>
        </w:rPr>
        <w:tab/>
      </w:r>
      <w:proofErr w:type="spellStart"/>
      <w:r w:rsidRPr="00C53980">
        <w:rPr>
          <w:sz w:val="24"/>
          <w:lang w:val="cs-CZ"/>
        </w:rPr>
        <w:t>Úř</w:t>
      </w:r>
      <w:proofErr w:type="spellEnd"/>
      <w:r w:rsidRPr="00C53980">
        <w:rPr>
          <w:sz w:val="24"/>
          <w:lang w:val="cs-CZ"/>
        </w:rPr>
        <w:t xml:space="preserve">. </w:t>
      </w:r>
      <w:proofErr w:type="spellStart"/>
      <w:proofErr w:type="gramStart"/>
      <w:r w:rsidRPr="00C53980">
        <w:rPr>
          <w:sz w:val="24"/>
          <w:lang w:val="cs-CZ"/>
        </w:rPr>
        <w:t>věst</w:t>
      </w:r>
      <w:proofErr w:type="spellEnd"/>
      <w:proofErr w:type="gramEnd"/>
      <w:r w:rsidRPr="00C53980">
        <w:rPr>
          <w:sz w:val="24"/>
          <w:lang w:val="cs-CZ"/>
        </w:rPr>
        <w:t xml:space="preserve">. C 101, </w:t>
      </w:r>
      <w:proofErr w:type="gramStart"/>
      <w:r w:rsidRPr="00C53980">
        <w:rPr>
          <w:sz w:val="24"/>
          <w:lang w:val="cs-CZ"/>
        </w:rPr>
        <w:t>27.4.2004</w:t>
      </w:r>
      <w:proofErr w:type="gramEnd"/>
      <w:r w:rsidRPr="00C53980">
        <w:rPr>
          <w:sz w:val="24"/>
          <w:lang w:val="cs-CZ"/>
        </w:rPr>
        <w:t>, s. 78.</w:t>
      </w:r>
    </w:p>
  </w:footnote>
  <w:footnote w:id="18">
    <w:p w:rsidR="006E67A0" w:rsidRPr="00C53980" w:rsidRDefault="006E67A0" w:rsidP="00C53980">
      <w:pPr>
        <w:pStyle w:val="FootnoteText"/>
        <w:ind w:left="567" w:hanging="567"/>
        <w:rPr>
          <w:sz w:val="24"/>
          <w:lang w:val="cs-CZ"/>
        </w:rPr>
      </w:pPr>
      <w:r w:rsidRPr="00C53980">
        <w:rPr>
          <w:rStyle w:val="FootnoteReference"/>
          <w:sz w:val="24"/>
          <w:lang w:val="cs-CZ"/>
        </w:rPr>
        <w:footnoteRef/>
      </w:r>
      <w:r w:rsidR="00C53980" w:rsidRPr="00C53980">
        <w:rPr>
          <w:sz w:val="24"/>
          <w:lang w:val="cs-CZ"/>
        </w:rPr>
        <w:t xml:space="preserve"> </w:t>
      </w:r>
      <w:r w:rsidR="00C53980" w:rsidRPr="00C53980">
        <w:rPr>
          <w:sz w:val="24"/>
          <w:lang w:val="cs-CZ"/>
        </w:rPr>
        <w:tab/>
      </w:r>
      <w:proofErr w:type="spellStart"/>
      <w:r w:rsidRPr="00C53980">
        <w:rPr>
          <w:sz w:val="24"/>
          <w:lang w:val="cs-CZ"/>
        </w:rPr>
        <w:t>Úř</w:t>
      </w:r>
      <w:proofErr w:type="spellEnd"/>
      <w:r w:rsidRPr="00C53980">
        <w:rPr>
          <w:sz w:val="24"/>
          <w:lang w:val="cs-CZ"/>
        </w:rPr>
        <w:t xml:space="preserve">. </w:t>
      </w:r>
      <w:proofErr w:type="spellStart"/>
      <w:proofErr w:type="gramStart"/>
      <w:r w:rsidRPr="00C53980">
        <w:rPr>
          <w:sz w:val="24"/>
          <w:lang w:val="cs-CZ"/>
        </w:rPr>
        <w:t>věst</w:t>
      </w:r>
      <w:proofErr w:type="spellEnd"/>
      <w:proofErr w:type="gramEnd"/>
      <w:r w:rsidRPr="00C53980">
        <w:rPr>
          <w:sz w:val="24"/>
          <w:lang w:val="cs-CZ"/>
        </w:rPr>
        <w:t xml:space="preserve">. C 259, </w:t>
      </w:r>
      <w:proofErr w:type="gramStart"/>
      <w:r w:rsidRPr="00C53980">
        <w:rPr>
          <w:sz w:val="24"/>
          <w:lang w:val="cs-CZ"/>
        </w:rPr>
        <w:t>21.7.2023</w:t>
      </w:r>
      <w:proofErr w:type="gramEnd"/>
      <w:r w:rsidRPr="00C53980">
        <w:rPr>
          <w:sz w:val="24"/>
          <w:lang w:val="cs-CZ"/>
        </w:rPr>
        <w:t>, s. 1.</w:t>
      </w:r>
    </w:p>
  </w:footnote>
  <w:footnote w:id="19">
    <w:p w:rsidR="006E67A0" w:rsidRPr="00C53980" w:rsidRDefault="006E67A0" w:rsidP="00C53980">
      <w:pPr>
        <w:pStyle w:val="FootnoteText"/>
        <w:ind w:left="567" w:hanging="567"/>
        <w:rPr>
          <w:sz w:val="24"/>
          <w:lang w:val="cs-CZ"/>
        </w:rPr>
      </w:pPr>
      <w:r w:rsidRPr="00C53980">
        <w:rPr>
          <w:rStyle w:val="FootnoteReference"/>
          <w:sz w:val="24"/>
          <w:lang w:val="cs-CZ"/>
        </w:rPr>
        <w:footnoteRef/>
      </w:r>
      <w:r w:rsidR="00C53980" w:rsidRPr="00C53980">
        <w:rPr>
          <w:sz w:val="24"/>
          <w:lang w:val="cs-CZ"/>
        </w:rPr>
        <w:t xml:space="preserve"> </w:t>
      </w:r>
      <w:r w:rsidR="00C53980" w:rsidRPr="00C53980">
        <w:rPr>
          <w:sz w:val="24"/>
          <w:lang w:val="cs-CZ"/>
        </w:rPr>
        <w:tab/>
      </w:r>
      <w:r w:rsidRPr="00C53980">
        <w:rPr>
          <w:sz w:val="24"/>
          <w:lang w:val="cs-CZ"/>
        </w:rPr>
        <w:t xml:space="preserve">Evropský hospodářský a sociální výbor, </w:t>
      </w:r>
      <w:hyperlink r:id="rId3" w:history="1">
        <w:r w:rsidRPr="00C53980">
          <w:rPr>
            <w:rStyle w:val="Hyperlink"/>
            <w:sz w:val="24"/>
            <w:lang w:val="cs-CZ"/>
          </w:rPr>
          <w:t>„Zpráva o politice hospodářské soutěže za rok 2022“</w:t>
        </w:r>
      </w:hyperlink>
      <w:r w:rsidRPr="00C53980">
        <w:rPr>
          <w:sz w:val="24"/>
          <w:lang w:val="cs-CZ"/>
        </w:rPr>
        <w:t>, 25. října 2023.</w:t>
      </w:r>
    </w:p>
  </w:footnote>
  <w:footnote w:id="20">
    <w:p w:rsidR="006E67A0" w:rsidRPr="00C53980" w:rsidRDefault="006E67A0" w:rsidP="00C53980">
      <w:pPr>
        <w:pStyle w:val="FootnoteText"/>
        <w:ind w:left="567" w:hanging="567"/>
        <w:rPr>
          <w:sz w:val="24"/>
          <w:lang w:val="cs-CZ"/>
        </w:rPr>
      </w:pPr>
      <w:r w:rsidRPr="00C53980">
        <w:rPr>
          <w:rStyle w:val="FootnoteReference"/>
          <w:sz w:val="24"/>
          <w:lang w:val="cs-CZ"/>
        </w:rPr>
        <w:footnoteRef/>
      </w:r>
      <w:r w:rsidR="00C53980" w:rsidRPr="00C53980">
        <w:rPr>
          <w:sz w:val="24"/>
          <w:lang w:val="cs-CZ"/>
        </w:rPr>
        <w:t xml:space="preserve"> </w:t>
      </w:r>
      <w:r w:rsidR="00C53980" w:rsidRPr="00C53980">
        <w:rPr>
          <w:sz w:val="24"/>
          <w:lang w:val="cs-CZ"/>
        </w:rPr>
        <w:tab/>
      </w:r>
      <w:r w:rsidRPr="00C53980">
        <w:rPr>
          <w:sz w:val="24"/>
          <w:lang w:val="cs-CZ"/>
        </w:rPr>
        <w:t xml:space="preserve">OECD, </w:t>
      </w:r>
      <w:hyperlink r:id="rId4" w:history="1">
        <w:r w:rsidRPr="00C53980">
          <w:rPr>
            <w:rStyle w:val="Hyperlink"/>
            <w:sz w:val="24"/>
            <w:lang w:val="cs-CZ"/>
          </w:rPr>
          <w:t>„</w:t>
        </w:r>
        <w:proofErr w:type="spellStart"/>
        <w:r w:rsidRPr="00C53980">
          <w:rPr>
            <w:rStyle w:val="Hyperlink"/>
            <w:sz w:val="24"/>
            <w:lang w:val="cs-CZ"/>
          </w:rPr>
          <w:t>Competition</w:t>
        </w:r>
        <w:proofErr w:type="spellEnd"/>
        <w:r w:rsidRPr="00C53980">
          <w:rPr>
            <w:rStyle w:val="Hyperlink"/>
            <w:sz w:val="24"/>
            <w:lang w:val="cs-CZ"/>
          </w:rPr>
          <w:t xml:space="preserve"> and </w:t>
        </w:r>
        <w:proofErr w:type="spellStart"/>
        <w:r w:rsidRPr="00C53980">
          <w:rPr>
            <w:rStyle w:val="Hyperlink"/>
            <w:sz w:val="24"/>
            <w:lang w:val="cs-CZ"/>
          </w:rPr>
          <w:t>Inflation</w:t>
        </w:r>
        <w:proofErr w:type="spellEnd"/>
        <w:r w:rsidRPr="00C53980">
          <w:rPr>
            <w:rStyle w:val="Hyperlink"/>
            <w:sz w:val="24"/>
            <w:lang w:val="cs-CZ"/>
          </w:rPr>
          <w:t>:</w:t>
        </w:r>
      </w:hyperlink>
      <w:hyperlink r:id="rId5" w:history="1">
        <w:r w:rsidRPr="00C53980">
          <w:rPr>
            <w:rStyle w:val="Hyperlink"/>
            <w:sz w:val="24"/>
            <w:lang w:val="cs-CZ"/>
          </w:rPr>
          <w:t xml:space="preserve"> OECD </w:t>
        </w:r>
        <w:proofErr w:type="spellStart"/>
        <w:r w:rsidRPr="00C53980">
          <w:rPr>
            <w:rStyle w:val="Hyperlink"/>
            <w:sz w:val="24"/>
            <w:lang w:val="cs-CZ"/>
          </w:rPr>
          <w:t>Competition</w:t>
        </w:r>
        <w:proofErr w:type="spellEnd"/>
        <w:r w:rsidRPr="00C53980">
          <w:rPr>
            <w:rStyle w:val="Hyperlink"/>
            <w:sz w:val="24"/>
            <w:lang w:val="cs-CZ"/>
          </w:rPr>
          <w:t xml:space="preserve"> </w:t>
        </w:r>
        <w:proofErr w:type="spellStart"/>
        <w:r w:rsidRPr="00C53980">
          <w:rPr>
            <w:rStyle w:val="Hyperlink"/>
            <w:sz w:val="24"/>
            <w:lang w:val="cs-CZ"/>
          </w:rPr>
          <w:t>Policy</w:t>
        </w:r>
        <w:proofErr w:type="spellEnd"/>
        <w:r w:rsidRPr="00C53980">
          <w:rPr>
            <w:rStyle w:val="Hyperlink"/>
            <w:sz w:val="24"/>
            <w:lang w:val="cs-CZ"/>
          </w:rPr>
          <w:t xml:space="preserve"> </w:t>
        </w:r>
        <w:proofErr w:type="spellStart"/>
        <w:r w:rsidRPr="00C53980">
          <w:rPr>
            <w:rStyle w:val="Hyperlink"/>
            <w:sz w:val="24"/>
            <w:lang w:val="cs-CZ"/>
          </w:rPr>
          <w:t>Roundtable</w:t>
        </w:r>
        <w:proofErr w:type="spellEnd"/>
        <w:r w:rsidRPr="00C53980">
          <w:rPr>
            <w:rStyle w:val="Hyperlink"/>
            <w:sz w:val="24"/>
            <w:lang w:val="cs-CZ"/>
          </w:rPr>
          <w:t xml:space="preserve"> Background </w:t>
        </w:r>
        <w:proofErr w:type="spellStart"/>
        <w:r w:rsidRPr="00C53980">
          <w:rPr>
            <w:rStyle w:val="Hyperlink"/>
            <w:sz w:val="24"/>
            <w:lang w:val="cs-CZ"/>
          </w:rPr>
          <w:t>Note</w:t>
        </w:r>
        <w:proofErr w:type="spellEnd"/>
        <w:r w:rsidRPr="00C53980">
          <w:rPr>
            <w:rStyle w:val="Hyperlink"/>
            <w:sz w:val="24"/>
            <w:lang w:val="cs-CZ"/>
          </w:rPr>
          <w:t>“</w:t>
        </w:r>
      </w:hyperlink>
      <w:r w:rsidRPr="00C53980">
        <w:rPr>
          <w:sz w:val="24"/>
          <w:lang w:val="cs-CZ"/>
        </w:rPr>
        <w:t xml:space="preserve"> (Hospodářská soutěž a inflace: Stručné informace ze zasedání OECD u kulatého stolu), 2022.</w:t>
      </w:r>
    </w:p>
  </w:footnote>
  <w:footnote w:id="21">
    <w:p w:rsidR="006E67A0" w:rsidRPr="00C53980" w:rsidRDefault="006E67A0" w:rsidP="00C53980">
      <w:pPr>
        <w:pStyle w:val="FootnoteText"/>
        <w:ind w:left="567" w:hanging="567"/>
        <w:rPr>
          <w:sz w:val="24"/>
          <w:lang w:val="cs-CZ"/>
        </w:rPr>
      </w:pPr>
      <w:r w:rsidRPr="00C53980">
        <w:rPr>
          <w:rStyle w:val="FootnoteReference"/>
          <w:sz w:val="24"/>
          <w:lang w:val="cs-CZ"/>
        </w:rPr>
        <w:footnoteRef/>
      </w:r>
      <w:r w:rsidR="00C53980" w:rsidRPr="00C53980">
        <w:rPr>
          <w:sz w:val="24"/>
          <w:lang w:val="cs-CZ"/>
        </w:rPr>
        <w:t xml:space="preserve"> </w:t>
      </w:r>
      <w:r w:rsidR="00C53980" w:rsidRPr="00C53980">
        <w:rPr>
          <w:sz w:val="24"/>
          <w:lang w:val="cs-CZ"/>
        </w:rPr>
        <w:tab/>
      </w:r>
      <w:r w:rsidRPr="00C53980">
        <w:rPr>
          <w:sz w:val="24"/>
          <w:lang w:val="cs-CZ"/>
        </w:rPr>
        <w:t>Řecko, Německo.</w:t>
      </w:r>
    </w:p>
  </w:footnote>
  <w:footnote w:id="22">
    <w:p w:rsidR="006E67A0" w:rsidRPr="00C53980" w:rsidRDefault="006E67A0" w:rsidP="00C53980">
      <w:pPr>
        <w:pStyle w:val="FootnoteText"/>
        <w:ind w:left="567" w:hanging="567"/>
        <w:rPr>
          <w:sz w:val="24"/>
          <w:lang w:val="cs-CZ"/>
        </w:rPr>
      </w:pPr>
      <w:r w:rsidRPr="00C53980">
        <w:rPr>
          <w:rStyle w:val="FootnoteReference"/>
          <w:sz w:val="24"/>
          <w:lang w:val="cs-CZ"/>
        </w:rPr>
        <w:footnoteRef/>
      </w:r>
      <w:r w:rsidR="00C53980" w:rsidRPr="00C53980">
        <w:rPr>
          <w:sz w:val="24"/>
          <w:lang w:val="cs-CZ"/>
        </w:rPr>
        <w:t xml:space="preserve"> </w:t>
      </w:r>
      <w:r w:rsidR="00C53980" w:rsidRPr="00C53980">
        <w:rPr>
          <w:sz w:val="24"/>
          <w:lang w:val="cs-CZ"/>
        </w:rPr>
        <w:tab/>
      </w:r>
      <w:r w:rsidRPr="00C53980">
        <w:rPr>
          <w:sz w:val="24"/>
          <w:lang w:val="cs-CZ"/>
        </w:rPr>
        <w:t>Nařízení Evropského parlamentu a Rady (EU) 2016/1037 ze dne 8. června 2016 o ochraně před dovozem subvencovaných výrobků ze zemí, kt</w:t>
      </w:r>
      <w:r w:rsidR="00E70EEF">
        <w:rPr>
          <w:sz w:val="24"/>
          <w:lang w:val="cs-CZ"/>
        </w:rPr>
        <w:t>eré nejsou členy Evropské unie (</w:t>
      </w:r>
      <w:proofErr w:type="spellStart"/>
      <w:r w:rsidRPr="00C53980">
        <w:rPr>
          <w:sz w:val="24"/>
          <w:lang w:val="cs-CZ"/>
        </w:rPr>
        <w:t>Úř</w:t>
      </w:r>
      <w:proofErr w:type="spellEnd"/>
      <w:r w:rsidRPr="00C53980">
        <w:rPr>
          <w:sz w:val="24"/>
          <w:lang w:val="cs-CZ"/>
        </w:rPr>
        <w:t xml:space="preserve">. </w:t>
      </w:r>
      <w:proofErr w:type="spellStart"/>
      <w:proofErr w:type="gramStart"/>
      <w:r w:rsidRPr="00C53980">
        <w:rPr>
          <w:sz w:val="24"/>
          <w:lang w:val="cs-CZ"/>
        </w:rPr>
        <w:t>věst</w:t>
      </w:r>
      <w:proofErr w:type="spellEnd"/>
      <w:proofErr w:type="gramEnd"/>
      <w:r w:rsidRPr="00C53980">
        <w:rPr>
          <w:sz w:val="24"/>
          <w:lang w:val="cs-CZ"/>
        </w:rPr>
        <w:t xml:space="preserve">. L 176, </w:t>
      </w:r>
      <w:proofErr w:type="gramStart"/>
      <w:r w:rsidRPr="00C53980">
        <w:rPr>
          <w:sz w:val="24"/>
          <w:lang w:val="cs-CZ"/>
        </w:rPr>
        <w:t>30.6.2016</w:t>
      </w:r>
      <w:proofErr w:type="gramEnd"/>
      <w:r w:rsidRPr="00C53980">
        <w:rPr>
          <w:sz w:val="24"/>
          <w:lang w:val="cs-CZ"/>
        </w:rPr>
        <w:t>, s. 55</w:t>
      </w:r>
      <w:r w:rsidR="00E70EEF">
        <w:rPr>
          <w:sz w:val="24"/>
          <w:lang w:val="cs-CZ"/>
        </w:rPr>
        <w:t>)</w:t>
      </w:r>
      <w:r w:rsidRPr="00C53980">
        <w:rPr>
          <w:sz w:val="24"/>
          <w:lang w:val="cs-CZ"/>
        </w:rPr>
        <w:t>.</w:t>
      </w:r>
    </w:p>
  </w:footnote>
  <w:footnote w:id="23">
    <w:p w:rsidR="006E67A0" w:rsidRPr="00C53980" w:rsidRDefault="006E67A0" w:rsidP="00C53980">
      <w:pPr>
        <w:pStyle w:val="FootnoteText"/>
        <w:ind w:left="567" w:hanging="567"/>
        <w:rPr>
          <w:color w:val="0563C1" w:themeColor="hyperlink"/>
          <w:sz w:val="24"/>
          <w:u w:val="single"/>
          <w:lang w:val="cs-CZ"/>
        </w:rPr>
      </w:pPr>
      <w:r w:rsidRPr="00C53980">
        <w:rPr>
          <w:rStyle w:val="FootnoteReference"/>
          <w:sz w:val="24"/>
          <w:lang w:val="cs-CZ"/>
        </w:rPr>
        <w:footnoteRef/>
      </w:r>
      <w:r w:rsidR="00C53980" w:rsidRPr="00C53980">
        <w:rPr>
          <w:sz w:val="24"/>
          <w:lang w:val="cs-CZ"/>
        </w:rPr>
        <w:t xml:space="preserve"> </w:t>
      </w:r>
      <w:r w:rsidR="00C53980" w:rsidRPr="00C53980">
        <w:rPr>
          <w:sz w:val="24"/>
          <w:lang w:val="cs-CZ"/>
        </w:rPr>
        <w:tab/>
      </w:r>
      <w:r w:rsidRPr="00C53980">
        <w:rPr>
          <w:sz w:val="24"/>
          <w:lang w:val="cs-CZ"/>
        </w:rPr>
        <w:t>Evropský orgán pro cenné papíry a trhy, „</w:t>
      </w:r>
      <w:hyperlink r:id="rId6" w:history="1">
        <w:r w:rsidRPr="00C53980">
          <w:rPr>
            <w:rStyle w:val="Hyperlink"/>
            <w:sz w:val="24"/>
            <w:lang w:val="cs-CZ"/>
          </w:rPr>
          <w:t>Zpráva o výpočtu tržního podílu ratingových agentur</w:t>
        </w:r>
      </w:hyperlink>
      <w:r w:rsidRPr="00C53980">
        <w:rPr>
          <w:sz w:val="24"/>
          <w:lang w:val="cs-CZ"/>
        </w:rPr>
        <w:t>“, 15. prosince 2022.</w:t>
      </w:r>
    </w:p>
  </w:footnote>
  <w:footnote w:id="24">
    <w:p w:rsidR="006E67A0" w:rsidRPr="00C53980" w:rsidRDefault="006E67A0" w:rsidP="00C53980">
      <w:pPr>
        <w:pStyle w:val="FootnoteText"/>
        <w:ind w:left="567" w:hanging="567"/>
        <w:rPr>
          <w:sz w:val="24"/>
          <w:lang w:val="cs-CZ"/>
        </w:rPr>
      </w:pPr>
      <w:r w:rsidRPr="00C53980">
        <w:rPr>
          <w:rStyle w:val="FootnoteReference"/>
          <w:sz w:val="24"/>
          <w:lang w:val="cs-CZ"/>
        </w:rPr>
        <w:footnoteRef/>
      </w:r>
      <w:r w:rsidR="00C53980" w:rsidRPr="00C53980">
        <w:rPr>
          <w:sz w:val="24"/>
          <w:lang w:val="cs-CZ"/>
        </w:rPr>
        <w:t xml:space="preserve"> </w:t>
      </w:r>
      <w:r w:rsidR="00C53980" w:rsidRPr="00C53980">
        <w:rPr>
          <w:sz w:val="24"/>
          <w:lang w:val="cs-CZ"/>
        </w:rPr>
        <w:tab/>
      </w:r>
      <w:r w:rsidRPr="00C53980">
        <w:rPr>
          <w:sz w:val="24"/>
          <w:lang w:val="cs-CZ"/>
        </w:rPr>
        <w:t xml:space="preserve">Evropská komise, </w:t>
      </w:r>
      <w:hyperlink r:id="rId7" w:history="1">
        <w:r w:rsidRPr="00C53980">
          <w:rPr>
            <w:rStyle w:val="Hyperlink"/>
            <w:sz w:val="24"/>
            <w:lang w:val="cs-CZ"/>
          </w:rPr>
          <w:t>„</w:t>
        </w:r>
        <w:proofErr w:type="spellStart"/>
        <w:r w:rsidRPr="00C53980">
          <w:rPr>
            <w:rStyle w:val="Hyperlink"/>
            <w:sz w:val="24"/>
            <w:lang w:val="cs-CZ"/>
          </w:rPr>
          <w:t>Booking</w:t>
        </w:r>
        <w:proofErr w:type="spellEnd"/>
        <w:r w:rsidRPr="00C53980">
          <w:rPr>
            <w:rStyle w:val="Hyperlink"/>
            <w:sz w:val="24"/>
            <w:lang w:val="cs-CZ"/>
          </w:rPr>
          <w:t xml:space="preserve"> </w:t>
        </w:r>
        <w:proofErr w:type="spellStart"/>
        <w:r w:rsidRPr="00C53980">
          <w:rPr>
            <w:rStyle w:val="Hyperlink"/>
            <w:sz w:val="24"/>
            <w:lang w:val="cs-CZ"/>
          </w:rPr>
          <w:t>Holdings</w:t>
        </w:r>
        <w:proofErr w:type="spellEnd"/>
        <w:r w:rsidRPr="00C53980">
          <w:rPr>
            <w:rStyle w:val="Hyperlink"/>
            <w:sz w:val="24"/>
            <w:lang w:val="cs-CZ"/>
          </w:rPr>
          <w:t>/</w:t>
        </w:r>
        <w:proofErr w:type="spellStart"/>
        <w:r w:rsidRPr="00C53980">
          <w:rPr>
            <w:rStyle w:val="Hyperlink"/>
            <w:sz w:val="24"/>
            <w:lang w:val="cs-CZ"/>
          </w:rPr>
          <w:t>Etraveli</w:t>
        </w:r>
        <w:proofErr w:type="spellEnd"/>
        <w:r w:rsidRPr="00C53980">
          <w:rPr>
            <w:rStyle w:val="Hyperlink"/>
            <w:sz w:val="24"/>
            <w:lang w:val="cs-CZ"/>
          </w:rPr>
          <w:t xml:space="preserve"> Group“</w:t>
        </w:r>
      </w:hyperlink>
      <w:r w:rsidRPr="00C53980">
        <w:rPr>
          <w:sz w:val="24"/>
          <w:lang w:val="cs-CZ"/>
        </w:rPr>
        <w:t>, rozhodnutí ze dne 25. září 2023.</w:t>
      </w:r>
    </w:p>
  </w:footnote>
  <w:footnote w:id="25">
    <w:p w:rsidR="006E67A0" w:rsidRPr="00C53980" w:rsidRDefault="006E67A0" w:rsidP="00C53980">
      <w:pPr>
        <w:pStyle w:val="FootnoteText"/>
        <w:ind w:left="567" w:hanging="567"/>
        <w:rPr>
          <w:sz w:val="24"/>
          <w:lang w:val="cs-CZ"/>
        </w:rPr>
      </w:pPr>
      <w:r w:rsidRPr="00C53980">
        <w:rPr>
          <w:rStyle w:val="FootnoteReference"/>
          <w:sz w:val="24"/>
          <w:lang w:val="cs-CZ"/>
        </w:rPr>
        <w:footnoteRef/>
      </w:r>
      <w:r w:rsidR="00C53980" w:rsidRPr="00C53980">
        <w:rPr>
          <w:sz w:val="24"/>
          <w:lang w:val="cs-CZ"/>
        </w:rPr>
        <w:t xml:space="preserve"> </w:t>
      </w:r>
      <w:r w:rsidR="00C53980" w:rsidRPr="00C53980">
        <w:rPr>
          <w:sz w:val="24"/>
          <w:lang w:val="cs-CZ"/>
        </w:rPr>
        <w:tab/>
      </w:r>
      <w:r w:rsidRPr="00C53980">
        <w:rPr>
          <w:sz w:val="24"/>
          <w:lang w:val="cs-CZ"/>
        </w:rPr>
        <w:t>Evropská komise, „</w:t>
      </w:r>
      <w:hyperlink r:id="rId8" w:history="1">
        <w:r w:rsidRPr="00C53980">
          <w:rPr>
            <w:rStyle w:val="Hyperlink"/>
            <w:sz w:val="24"/>
            <w:lang w:val="cs-CZ"/>
          </w:rPr>
          <w:t>Antimonopolní šetření:</w:t>
        </w:r>
      </w:hyperlink>
      <w:hyperlink r:id="rId9" w:history="1">
        <w:r w:rsidRPr="00C53980">
          <w:rPr>
            <w:rStyle w:val="Hyperlink"/>
            <w:sz w:val="24"/>
            <w:lang w:val="cs-CZ"/>
          </w:rPr>
          <w:t xml:space="preserve"> Komise zahájila vyšetřování možného protisoutěžního jednání společnosti Microsoft v souvislosti s aplikací </w:t>
        </w:r>
        <w:proofErr w:type="spellStart"/>
        <w:r w:rsidRPr="00C53980">
          <w:rPr>
            <w:rStyle w:val="Hyperlink"/>
            <w:sz w:val="24"/>
            <w:lang w:val="cs-CZ"/>
          </w:rPr>
          <w:t>Teams</w:t>
        </w:r>
        <w:proofErr w:type="spellEnd"/>
      </w:hyperlink>
      <w:r w:rsidRPr="00C53980">
        <w:rPr>
          <w:sz w:val="24"/>
          <w:lang w:val="cs-CZ"/>
        </w:rPr>
        <w:t>“, 27. července 2023.</w:t>
      </w:r>
    </w:p>
  </w:footnote>
  <w:footnote w:id="26">
    <w:p w:rsidR="006E67A0" w:rsidRPr="00C53980" w:rsidRDefault="006E67A0" w:rsidP="00C53980">
      <w:pPr>
        <w:pStyle w:val="FootnoteText"/>
        <w:ind w:left="567" w:hanging="567"/>
        <w:rPr>
          <w:sz w:val="24"/>
          <w:lang w:val="cs-CZ"/>
        </w:rPr>
      </w:pPr>
      <w:r w:rsidRPr="00C53980">
        <w:rPr>
          <w:rStyle w:val="FootnoteReference"/>
          <w:sz w:val="24"/>
          <w:lang w:val="cs-CZ"/>
        </w:rPr>
        <w:footnoteRef/>
      </w:r>
      <w:r w:rsidR="00C53980" w:rsidRPr="00C53980">
        <w:rPr>
          <w:sz w:val="24"/>
          <w:lang w:val="cs-CZ"/>
        </w:rPr>
        <w:t xml:space="preserve"> </w:t>
      </w:r>
      <w:r w:rsidR="00C53980" w:rsidRPr="00C53980">
        <w:rPr>
          <w:sz w:val="24"/>
          <w:lang w:val="cs-CZ"/>
        </w:rPr>
        <w:tab/>
      </w:r>
      <w:hyperlink r:id="rId10" w:history="1">
        <w:r w:rsidRPr="00C53980">
          <w:rPr>
            <w:rStyle w:val="Hyperlink"/>
            <w:sz w:val="24"/>
            <w:lang w:val="cs-CZ"/>
          </w:rPr>
          <w:t>Viz oficiální rozhodnutí</w:t>
        </w:r>
      </w:hyperlink>
      <w:r w:rsidRPr="00C53980">
        <w:rPr>
          <w:sz w:val="24"/>
          <w:lang w:val="cs-CZ"/>
        </w:rPr>
        <w:t xml:space="preserve"> DMA. 100044, 100040, 100035, 100027, 100026, 100025, 100024, 100020, 100018, 100017, 100016, 100013, 100011.</w:t>
      </w:r>
    </w:p>
  </w:footnote>
  <w:footnote w:id="27">
    <w:p w:rsidR="006E67A0" w:rsidRPr="00C53980" w:rsidRDefault="006E67A0" w:rsidP="00C53980">
      <w:pPr>
        <w:pStyle w:val="FootnoteText"/>
        <w:ind w:left="567" w:hanging="567"/>
        <w:rPr>
          <w:sz w:val="24"/>
          <w:lang w:val="cs-CZ"/>
        </w:rPr>
      </w:pPr>
      <w:r w:rsidRPr="00C53980">
        <w:rPr>
          <w:rStyle w:val="FootnoteReference"/>
          <w:sz w:val="24"/>
          <w:lang w:val="cs-CZ"/>
        </w:rPr>
        <w:footnoteRef/>
      </w:r>
      <w:r w:rsidR="00C53980" w:rsidRPr="00C53980">
        <w:rPr>
          <w:sz w:val="24"/>
          <w:lang w:val="cs-CZ"/>
        </w:rPr>
        <w:t xml:space="preserve"> </w:t>
      </w:r>
      <w:r w:rsidR="00C53980" w:rsidRPr="00C53980">
        <w:rPr>
          <w:sz w:val="24"/>
          <w:lang w:val="cs-CZ"/>
        </w:rPr>
        <w:tab/>
      </w:r>
      <w:r w:rsidRPr="00C53980">
        <w:rPr>
          <w:sz w:val="24"/>
          <w:lang w:val="cs-CZ"/>
        </w:rPr>
        <w:t>Evropská komise, „Studie o dopadu nedávného vývoje digitální reklamy na soukromí, vydavatele a inzerenty“, s. 263–264.</w:t>
      </w:r>
    </w:p>
  </w:footnote>
  <w:footnote w:id="28">
    <w:p w:rsidR="006E67A0" w:rsidRPr="00C53980" w:rsidRDefault="006E67A0" w:rsidP="00C53980">
      <w:pPr>
        <w:pStyle w:val="FootnoteText"/>
        <w:ind w:left="567" w:hanging="567"/>
        <w:rPr>
          <w:sz w:val="24"/>
          <w:lang w:val="cs-CZ"/>
        </w:rPr>
      </w:pPr>
      <w:r w:rsidRPr="00C53980">
        <w:rPr>
          <w:rStyle w:val="FootnoteReference"/>
          <w:sz w:val="24"/>
          <w:lang w:val="cs-CZ"/>
        </w:rPr>
        <w:footnoteRef/>
      </w:r>
      <w:r w:rsidR="00C53980" w:rsidRPr="00C53980">
        <w:rPr>
          <w:sz w:val="24"/>
          <w:lang w:val="cs-CZ"/>
        </w:rPr>
        <w:t xml:space="preserve"> </w:t>
      </w:r>
      <w:r w:rsidR="00C53980" w:rsidRPr="00C53980">
        <w:rPr>
          <w:sz w:val="24"/>
          <w:lang w:val="cs-CZ"/>
        </w:rPr>
        <w:tab/>
      </w:r>
      <w:r w:rsidRPr="00C53980">
        <w:rPr>
          <w:sz w:val="24"/>
          <w:lang w:val="cs-CZ"/>
        </w:rPr>
        <w:t>Nařízení Evropského parlamentu a Rady (EU) 2022/2065 ze dne 19. října 2022 o jednotném trhu digitálních služeb</w:t>
      </w:r>
      <w:r w:rsidR="00E70EEF">
        <w:rPr>
          <w:sz w:val="24"/>
          <w:lang w:val="cs-CZ"/>
        </w:rPr>
        <w:t xml:space="preserve"> a o změně směrnice 2000/31/ES (</w:t>
      </w:r>
      <w:proofErr w:type="spellStart"/>
      <w:r w:rsidRPr="00C53980">
        <w:rPr>
          <w:sz w:val="24"/>
          <w:lang w:val="cs-CZ"/>
        </w:rPr>
        <w:t>Úř</w:t>
      </w:r>
      <w:proofErr w:type="spellEnd"/>
      <w:r w:rsidRPr="00C53980">
        <w:rPr>
          <w:sz w:val="24"/>
          <w:lang w:val="cs-CZ"/>
        </w:rPr>
        <w:t>. </w:t>
      </w:r>
      <w:proofErr w:type="spellStart"/>
      <w:proofErr w:type="gramStart"/>
      <w:r w:rsidRPr="00C53980">
        <w:rPr>
          <w:sz w:val="24"/>
          <w:lang w:val="cs-CZ"/>
        </w:rPr>
        <w:t>věst</w:t>
      </w:r>
      <w:proofErr w:type="spellEnd"/>
      <w:proofErr w:type="gramEnd"/>
      <w:r w:rsidRPr="00C53980">
        <w:rPr>
          <w:sz w:val="24"/>
          <w:lang w:val="cs-CZ"/>
        </w:rPr>
        <w:t xml:space="preserve">. L 277, </w:t>
      </w:r>
      <w:proofErr w:type="gramStart"/>
      <w:r w:rsidRPr="00C53980">
        <w:rPr>
          <w:sz w:val="24"/>
          <w:lang w:val="cs-CZ"/>
        </w:rPr>
        <w:t>27.10.2022</w:t>
      </w:r>
      <w:proofErr w:type="gramEnd"/>
      <w:r w:rsidRPr="00C53980">
        <w:rPr>
          <w:sz w:val="24"/>
          <w:lang w:val="cs-CZ"/>
        </w:rPr>
        <w:t>, s. 1</w:t>
      </w:r>
      <w:r w:rsidR="00E70EEF">
        <w:rPr>
          <w:sz w:val="24"/>
          <w:lang w:val="cs-CZ"/>
        </w:rPr>
        <w:t>)</w:t>
      </w:r>
      <w:r w:rsidRPr="00C53980">
        <w:rPr>
          <w:sz w:val="24"/>
          <w:lang w:val="cs-CZ"/>
        </w:rPr>
        <w:t>.</w:t>
      </w:r>
    </w:p>
  </w:footnote>
  <w:footnote w:id="29">
    <w:p w:rsidR="006E67A0" w:rsidRPr="00C53980" w:rsidRDefault="006E67A0" w:rsidP="00C53980">
      <w:pPr>
        <w:pStyle w:val="FootnoteText"/>
        <w:ind w:left="567" w:hanging="567"/>
        <w:rPr>
          <w:sz w:val="24"/>
          <w:lang w:val="cs-CZ"/>
        </w:rPr>
      </w:pPr>
      <w:r w:rsidRPr="00C53980">
        <w:rPr>
          <w:rStyle w:val="FootnoteReference"/>
          <w:sz w:val="24"/>
          <w:lang w:val="cs-CZ"/>
        </w:rPr>
        <w:footnoteRef/>
      </w:r>
      <w:r w:rsidR="00C53980" w:rsidRPr="00C53980">
        <w:rPr>
          <w:sz w:val="24"/>
          <w:lang w:val="cs-CZ"/>
        </w:rPr>
        <w:t xml:space="preserve"> </w:t>
      </w:r>
      <w:r w:rsidR="00C53980" w:rsidRPr="00C53980">
        <w:rPr>
          <w:sz w:val="24"/>
          <w:lang w:val="cs-CZ"/>
        </w:rPr>
        <w:tab/>
      </w:r>
      <w:r w:rsidRPr="00C53980">
        <w:rPr>
          <w:sz w:val="24"/>
          <w:lang w:val="cs-CZ"/>
        </w:rPr>
        <w:t>Rozhodnutí DMA. 100015; DMA. 100028 a DMA. 100034.</w:t>
      </w:r>
    </w:p>
  </w:footnote>
  <w:footnote w:id="30">
    <w:p w:rsidR="006E67A0" w:rsidRPr="00C53980" w:rsidRDefault="006E67A0" w:rsidP="00C53980">
      <w:pPr>
        <w:pStyle w:val="FootnoteText"/>
        <w:ind w:left="567" w:hanging="567"/>
        <w:rPr>
          <w:sz w:val="24"/>
          <w:lang w:val="cs-CZ"/>
        </w:rPr>
      </w:pPr>
      <w:r w:rsidRPr="00C53980">
        <w:rPr>
          <w:rStyle w:val="FootnoteReference"/>
          <w:sz w:val="24"/>
          <w:lang w:val="cs-CZ"/>
        </w:rPr>
        <w:footnoteRef/>
      </w:r>
      <w:r w:rsidR="00C53980" w:rsidRPr="00C53980">
        <w:rPr>
          <w:sz w:val="24"/>
          <w:lang w:val="cs-CZ"/>
        </w:rPr>
        <w:t xml:space="preserve"> </w:t>
      </w:r>
      <w:r w:rsidR="00C53980" w:rsidRPr="00C53980">
        <w:rPr>
          <w:sz w:val="24"/>
          <w:lang w:val="cs-CZ"/>
        </w:rPr>
        <w:tab/>
      </w:r>
      <w:r w:rsidRPr="00C53980">
        <w:rPr>
          <w:sz w:val="24"/>
          <w:lang w:val="cs-CZ"/>
        </w:rPr>
        <w:t>Rozhodnutí DMA. 100047 a DMA. 100022.</w:t>
      </w:r>
    </w:p>
  </w:footnote>
  <w:footnote w:id="31">
    <w:p w:rsidR="006E67A0" w:rsidRPr="00C53980" w:rsidRDefault="006E67A0" w:rsidP="00C53980">
      <w:pPr>
        <w:pStyle w:val="FootnoteText"/>
        <w:ind w:left="567" w:hanging="567"/>
        <w:rPr>
          <w:sz w:val="24"/>
          <w:lang w:val="cs-CZ"/>
        </w:rPr>
      </w:pPr>
      <w:r w:rsidRPr="00C53980">
        <w:rPr>
          <w:rStyle w:val="FootnoteReference"/>
          <w:sz w:val="24"/>
          <w:lang w:val="cs-CZ"/>
        </w:rPr>
        <w:footnoteRef/>
      </w:r>
      <w:r w:rsidR="00C53980" w:rsidRPr="00C53980">
        <w:rPr>
          <w:sz w:val="24"/>
          <w:lang w:val="cs-CZ"/>
        </w:rPr>
        <w:t xml:space="preserve"> </w:t>
      </w:r>
      <w:r w:rsidR="00C53980" w:rsidRPr="00C53980">
        <w:rPr>
          <w:sz w:val="24"/>
          <w:lang w:val="cs-CZ"/>
        </w:rPr>
        <w:tab/>
      </w:r>
      <w:r w:rsidRPr="00C53980">
        <w:rPr>
          <w:sz w:val="24"/>
          <w:lang w:val="cs-CZ"/>
        </w:rPr>
        <w:t>Nařízení Evropského parlamentu a Rady (EU) 2016/679 ze dne 27. dubna 2016 o ochraně fyzických osob v souvislosti se zpracováním osobních údajů a o volném pohybu těchto údajů a o zrušení směrnice 95/46/ES (obecné naří</w:t>
      </w:r>
      <w:r w:rsidR="00E70EEF">
        <w:rPr>
          <w:sz w:val="24"/>
          <w:lang w:val="cs-CZ"/>
        </w:rPr>
        <w:t>zení o ochraně osobních údajů) (</w:t>
      </w:r>
      <w:proofErr w:type="spellStart"/>
      <w:r w:rsidRPr="00C53980">
        <w:rPr>
          <w:sz w:val="24"/>
          <w:lang w:val="cs-CZ"/>
        </w:rPr>
        <w:t>Úř</w:t>
      </w:r>
      <w:proofErr w:type="spellEnd"/>
      <w:r w:rsidRPr="00C53980">
        <w:rPr>
          <w:sz w:val="24"/>
          <w:lang w:val="cs-CZ"/>
        </w:rPr>
        <w:t>. </w:t>
      </w:r>
      <w:proofErr w:type="spellStart"/>
      <w:proofErr w:type="gramStart"/>
      <w:r w:rsidRPr="00C53980">
        <w:rPr>
          <w:sz w:val="24"/>
          <w:lang w:val="cs-CZ"/>
        </w:rPr>
        <w:t>věst</w:t>
      </w:r>
      <w:proofErr w:type="spellEnd"/>
      <w:proofErr w:type="gramEnd"/>
      <w:r w:rsidRPr="00C53980">
        <w:rPr>
          <w:sz w:val="24"/>
          <w:lang w:val="cs-CZ"/>
        </w:rPr>
        <w:t xml:space="preserve">. L 119, </w:t>
      </w:r>
      <w:proofErr w:type="gramStart"/>
      <w:r w:rsidRPr="00C53980">
        <w:rPr>
          <w:sz w:val="24"/>
          <w:lang w:val="cs-CZ"/>
        </w:rPr>
        <w:t>4.5.2016</w:t>
      </w:r>
      <w:proofErr w:type="gramEnd"/>
      <w:r w:rsidRPr="00C53980">
        <w:rPr>
          <w:sz w:val="24"/>
          <w:lang w:val="cs-CZ"/>
        </w:rPr>
        <w:t>, s. 1</w:t>
      </w:r>
      <w:r w:rsidR="00E70EEF">
        <w:rPr>
          <w:sz w:val="24"/>
          <w:lang w:val="cs-CZ"/>
        </w:rPr>
        <w:t>)</w:t>
      </w:r>
      <w:r w:rsidRPr="00C53980">
        <w:rPr>
          <w:sz w:val="24"/>
          <w:lang w:val="cs-CZ"/>
        </w:rPr>
        <w:t>.</w:t>
      </w:r>
    </w:p>
  </w:footnote>
  <w:footnote w:id="32">
    <w:p w:rsidR="006E67A0" w:rsidRPr="00C53980" w:rsidRDefault="006E67A0" w:rsidP="00C53980">
      <w:pPr>
        <w:pStyle w:val="FootnoteText"/>
        <w:ind w:left="567" w:hanging="567"/>
        <w:rPr>
          <w:sz w:val="24"/>
          <w:lang w:val="cs-CZ"/>
        </w:rPr>
      </w:pPr>
      <w:r w:rsidRPr="00C53980">
        <w:rPr>
          <w:rStyle w:val="FootnoteReference"/>
          <w:sz w:val="24"/>
          <w:lang w:val="cs-CZ"/>
        </w:rPr>
        <w:footnoteRef/>
      </w:r>
      <w:r w:rsidR="00C53980" w:rsidRPr="00C53980">
        <w:rPr>
          <w:sz w:val="24"/>
          <w:lang w:val="cs-CZ"/>
        </w:rPr>
        <w:t xml:space="preserve"> </w:t>
      </w:r>
      <w:r w:rsidR="00C53980" w:rsidRPr="00C53980">
        <w:rPr>
          <w:sz w:val="24"/>
          <w:lang w:val="cs-CZ"/>
        </w:rPr>
        <w:tab/>
      </w:r>
      <w:r w:rsidRPr="00C53980">
        <w:rPr>
          <w:sz w:val="24"/>
          <w:lang w:val="cs-CZ"/>
        </w:rPr>
        <w:t>Summit skupiny G7 v Hirošimě, „</w:t>
      </w:r>
      <w:proofErr w:type="spellStart"/>
      <w:r w:rsidRPr="00C53980">
        <w:fldChar w:fldCharType="begin"/>
      </w:r>
      <w:r w:rsidRPr="00C53980">
        <w:rPr>
          <w:sz w:val="24"/>
          <w:lang w:val="cs-CZ"/>
        </w:rPr>
        <w:instrText xml:space="preserve"> HYPERLINK "https://www.jftc.go.jp/en/pressreleases/yearly-2023/November/231108G7_result2EN.pdf" </w:instrText>
      </w:r>
      <w:r w:rsidRPr="00C53980">
        <w:fldChar w:fldCharType="separate"/>
      </w:r>
      <w:r w:rsidRPr="00C53980">
        <w:rPr>
          <w:rStyle w:val="Hyperlink"/>
          <w:sz w:val="24"/>
          <w:lang w:val="cs-CZ"/>
        </w:rPr>
        <w:t>Compendium</w:t>
      </w:r>
      <w:proofErr w:type="spellEnd"/>
      <w:r w:rsidRPr="00C53980">
        <w:rPr>
          <w:rStyle w:val="Hyperlink"/>
          <w:sz w:val="24"/>
          <w:lang w:val="cs-CZ"/>
        </w:rPr>
        <w:t xml:space="preserve"> </w:t>
      </w:r>
      <w:proofErr w:type="spellStart"/>
      <w:r w:rsidRPr="00C53980">
        <w:rPr>
          <w:rStyle w:val="Hyperlink"/>
          <w:sz w:val="24"/>
          <w:lang w:val="cs-CZ"/>
        </w:rPr>
        <w:t>of</w:t>
      </w:r>
      <w:proofErr w:type="spellEnd"/>
      <w:r w:rsidRPr="00C53980">
        <w:rPr>
          <w:rStyle w:val="Hyperlink"/>
          <w:sz w:val="24"/>
          <w:lang w:val="cs-CZ"/>
        </w:rPr>
        <w:t xml:space="preserve"> </w:t>
      </w:r>
      <w:proofErr w:type="spellStart"/>
      <w:r w:rsidRPr="00C53980">
        <w:rPr>
          <w:rStyle w:val="Hyperlink"/>
          <w:sz w:val="24"/>
          <w:lang w:val="cs-CZ"/>
        </w:rPr>
        <w:t>approaches</w:t>
      </w:r>
      <w:proofErr w:type="spellEnd"/>
      <w:r w:rsidRPr="00C53980">
        <w:rPr>
          <w:rStyle w:val="Hyperlink"/>
          <w:sz w:val="24"/>
          <w:lang w:val="cs-CZ"/>
        </w:rPr>
        <w:t xml:space="preserve"> to </w:t>
      </w:r>
      <w:proofErr w:type="spellStart"/>
      <w:r w:rsidRPr="00C53980">
        <w:rPr>
          <w:rStyle w:val="Hyperlink"/>
          <w:sz w:val="24"/>
          <w:lang w:val="cs-CZ"/>
        </w:rPr>
        <w:t>improving</w:t>
      </w:r>
      <w:proofErr w:type="spellEnd"/>
      <w:r w:rsidRPr="00C53980">
        <w:rPr>
          <w:rStyle w:val="Hyperlink"/>
          <w:sz w:val="24"/>
          <w:lang w:val="cs-CZ"/>
        </w:rPr>
        <w:t xml:space="preserve"> </w:t>
      </w:r>
      <w:proofErr w:type="spellStart"/>
      <w:r w:rsidRPr="00C53980">
        <w:rPr>
          <w:rStyle w:val="Hyperlink"/>
          <w:sz w:val="24"/>
          <w:lang w:val="cs-CZ"/>
        </w:rPr>
        <w:t>competition</w:t>
      </w:r>
      <w:proofErr w:type="spellEnd"/>
      <w:r w:rsidRPr="00C53980">
        <w:rPr>
          <w:rStyle w:val="Hyperlink"/>
          <w:sz w:val="24"/>
          <w:lang w:val="cs-CZ"/>
        </w:rPr>
        <w:t xml:space="preserve"> in </w:t>
      </w:r>
      <w:proofErr w:type="spellStart"/>
      <w:r w:rsidRPr="00C53980">
        <w:rPr>
          <w:rStyle w:val="Hyperlink"/>
          <w:sz w:val="24"/>
          <w:lang w:val="cs-CZ"/>
        </w:rPr>
        <w:t>digital</w:t>
      </w:r>
      <w:proofErr w:type="spellEnd"/>
      <w:r w:rsidRPr="00C53980">
        <w:rPr>
          <w:rStyle w:val="Hyperlink"/>
          <w:sz w:val="24"/>
          <w:lang w:val="cs-CZ"/>
        </w:rPr>
        <w:t xml:space="preserve"> </w:t>
      </w:r>
      <w:proofErr w:type="spellStart"/>
      <w:r w:rsidRPr="00C53980">
        <w:rPr>
          <w:rStyle w:val="Hyperlink"/>
          <w:sz w:val="24"/>
          <w:lang w:val="cs-CZ"/>
        </w:rPr>
        <w:t>markets</w:t>
      </w:r>
      <w:proofErr w:type="spellEnd"/>
      <w:r w:rsidRPr="00C53980">
        <w:rPr>
          <w:rStyle w:val="Hyperlink"/>
          <w:sz w:val="24"/>
          <w:lang w:val="cs-CZ"/>
        </w:rPr>
        <w:fldChar w:fldCharType="end"/>
      </w:r>
      <w:r w:rsidRPr="00C53980">
        <w:rPr>
          <w:sz w:val="24"/>
          <w:lang w:val="cs-CZ"/>
        </w:rPr>
        <w:t>“ (Souhrn přístupů ke zlepšení hospodářské soutěže na digitálních trzích), 8. listopadu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398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398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398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7/2023"/>
    <w:docVar w:name="dvlangue" w:val="CS"/>
    <w:docVar w:name="dvnumam" w:val="0"/>
    <w:docVar w:name="dvpe" w:val="753.544"/>
    <w:docVar w:name="dvrapporteur" w:val="Zpravodajka: "/>
    <w:docVar w:name="dvtitre" w:val="Usnesení Evropského parlamentu ze dne.... 2024 o politice v oblasti hospodářské soutěže – výroční zpráva za rok 2023(2023/2077(INI))"/>
  </w:docVars>
  <w:rsids>
    <w:rsidRoot w:val="001D2182"/>
    <w:rsid w:val="00002272"/>
    <w:rsid w:val="00064002"/>
    <w:rsid w:val="000677B9"/>
    <w:rsid w:val="000831BA"/>
    <w:rsid w:val="00083E7C"/>
    <w:rsid w:val="000A42CC"/>
    <w:rsid w:val="000E7DD9"/>
    <w:rsid w:val="0010095E"/>
    <w:rsid w:val="00125B37"/>
    <w:rsid w:val="00187494"/>
    <w:rsid w:val="001D2182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1EC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E67A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3980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0B6D"/>
    <w:rsid w:val="00E365E1"/>
    <w:rsid w:val="00E70EE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BA2D75-1C8E-4357-A4E5-26809176B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E67A0"/>
    <w:pPr>
      <w:spacing w:after="240"/>
      <w:ind w:left="567" w:hanging="567"/>
    </w:pPr>
  </w:style>
  <w:style w:type="paragraph" w:customStyle="1" w:styleId="EPComma">
    <w:name w:val="EPComma"/>
    <w:basedOn w:val="Normal"/>
    <w:rsid w:val="006E67A0"/>
    <w:pPr>
      <w:spacing w:before="480" w:after="240"/>
    </w:pPr>
  </w:style>
  <w:style w:type="character" w:styleId="Hyperlink">
    <w:name w:val="Hyperlink"/>
    <w:basedOn w:val="DefaultParagraphFont"/>
    <w:rsid w:val="006E67A0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6E67A0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c.europa.eu/commission/presscorner/detail/en/ip_23_3991" TargetMode="External"/><Relationship Id="rId3" Type="http://schemas.openxmlformats.org/officeDocument/2006/relationships/hyperlink" Target="https://www.eesc.europa.eu/en/our-work/opinions-information-reports/opinions/report-competition-policy-2022" TargetMode="External"/><Relationship Id="rId7" Type="http://schemas.openxmlformats.org/officeDocument/2006/relationships/hyperlink" Target="file:///\\ipolbrusncf01\userdocs$\vunguroiu\Documents\DocEP\TEMP\&#8216;Booking%20Holdings\Etraveli%20Group&#8217;" TargetMode="External"/><Relationship Id="rId2" Type="http://schemas.openxmlformats.org/officeDocument/2006/relationships/hyperlink" Target="https://competition-policy.ec.europa.eu/system/files/2023-05/IPCEIs_DG_COMP_code_of_good_practices.pdf" TargetMode="External"/><Relationship Id="rId1" Type="http://schemas.openxmlformats.org/officeDocument/2006/relationships/hyperlink" Target="https://state-of-the-union.ec.europa.eu/index_cs" TargetMode="External"/><Relationship Id="rId6" Type="http://schemas.openxmlformats.org/officeDocument/2006/relationships/hyperlink" Target="https://www.esma.europa.eu/sites/default/files/library/esma80-416-1564_report_on_cra_market_share_calculation_2022.pdf" TargetMode="External"/><Relationship Id="rId5" Type="http://schemas.openxmlformats.org/officeDocument/2006/relationships/hyperlink" Target="https://www.oecd.org/daf/competition/competition-and-inflation-2022.pdf" TargetMode="External"/><Relationship Id="rId10" Type="http://schemas.openxmlformats.org/officeDocument/2006/relationships/hyperlink" Target="https://digital-markets-act-cases.ec.europa.eu/search" TargetMode="External"/><Relationship Id="rId4" Type="http://schemas.openxmlformats.org/officeDocument/2006/relationships/hyperlink" Target="https://www.oecd.org/daf/competition/competition-and-inflation-2022.pdf" TargetMode="External"/><Relationship Id="rId9" Type="http://schemas.openxmlformats.org/officeDocument/2006/relationships/hyperlink" Target="https://ec.europa.eu/commission/presscorner/detail/en/ip_23_39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82FFD5-90CB-4EE4-809C-1B5C60C79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4871</Words>
  <Characters>29347</Characters>
  <Application>Microsoft Office Word</Application>
  <DocSecurity>0</DocSecurity>
  <Lines>1275</Lines>
  <Paragraphs>438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2024-01-16T13:02:00Z</dcterms:created>
  <dcterms:modified xsi:type="dcterms:W3CDTF">2024-01-16T13:02:00Z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A9-0427/2023</vt:lpwstr>
  </property>
  <property fmtid="{D5CDD505-2E9C-101B-9397-08002B2CF9AE}" pid="4" name="&lt;Type&gt;">
    <vt:lpwstr>RR</vt:lpwstr>
  </property>
</Properties>
</file>