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0942" w:rsidTr="0010095E">
        <w:trPr>
          <w:trHeight w:hRule="exact" w:val="1418"/>
        </w:trPr>
        <w:tc>
          <w:tcPr>
            <w:tcW w:w="6804" w:type="dxa"/>
            <w:shd w:val="clear" w:color="auto" w:fill="auto"/>
            <w:vAlign w:val="center"/>
          </w:tcPr>
          <w:p w:rsidR="00751A4A" w:rsidRPr="00070942" w:rsidRDefault="00EA152F" w:rsidP="0010095E">
            <w:pPr>
              <w:pStyle w:val="EPName"/>
            </w:pPr>
            <w:bookmarkStart w:id="0" w:name="_GoBack"/>
            <w:bookmarkEnd w:id="0"/>
            <w:r w:rsidRPr="00070942">
              <w:t>Europa-Parlamentet</w:t>
            </w:r>
          </w:p>
          <w:p w:rsidR="00751A4A" w:rsidRPr="00070942" w:rsidRDefault="00817416" w:rsidP="00756632">
            <w:pPr>
              <w:pStyle w:val="EPTerm"/>
              <w:rPr>
                <w:rStyle w:val="HideTWBExt"/>
                <w:noProof w:val="0"/>
                <w:vanish w:val="0"/>
                <w:color w:val="auto"/>
              </w:rPr>
            </w:pPr>
            <w:r w:rsidRPr="00070942">
              <w:t>2019-2024</w:t>
            </w:r>
          </w:p>
        </w:tc>
        <w:tc>
          <w:tcPr>
            <w:tcW w:w="2268" w:type="dxa"/>
            <w:shd w:val="clear" w:color="auto" w:fill="auto"/>
          </w:tcPr>
          <w:p w:rsidR="00751A4A" w:rsidRPr="00070942" w:rsidRDefault="00187494" w:rsidP="0010095E">
            <w:pPr>
              <w:pStyle w:val="EPLogo"/>
            </w:pPr>
            <w:r w:rsidRPr="00070942">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0942" w:rsidRDefault="00D058B8" w:rsidP="004C5D52">
      <w:pPr>
        <w:pStyle w:val="LineTop"/>
      </w:pPr>
    </w:p>
    <w:p w:rsidR="00680577" w:rsidRPr="00070942" w:rsidRDefault="00EA152F" w:rsidP="00680577">
      <w:pPr>
        <w:pStyle w:val="EPBodyTA1"/>
      </w:pPr>
      <w:r w:rsidRPr="00070942">
        <w:t>VEDTAGNE TEKSTER</w:t>
      </w:r>
    </w:p>
    <w:p w:rsidR="00D058B8" w:rsidRPr="00070942" w:rsidRDefault="00D058B8" w:rsidP="00D058B8">
      <w:pPr>
        <w:pStyle w:val="LineBottom"/>
      </w:pPr>
    </w:p>
    <w:p w:rsidR="00EA152F" w:rsidRPr="00070942" w:rsidRDefault="00EA152F" w:rsidP="00EA152F">
      <w:pPr>
        <w:pStyle w:val="ATHeading1"/>
      </w:pPr>
      <w:bookmarkStart w:id="1" w:name="TANumber"/>
      <w:r w:rsidRPr="00070942">
        <w:t>P9_</w:t>
      </w:r>
      <w:proofErr w:type="gramStart"/>
      <w:r w:rsidRPr="00070942">
        <w:t>TA(</w:t>
      </w:r>
      <w:proofErr w:type="gramEnd"/>
      <w:r w:rsidRPr="00070942">
        <w:t>2024)00</w:t>
      </w:r>
      <w:bookmarkEnd w:id="1"/>
      <w:r w:rsidR="00CE229F">
        <w:t>11</w:t>
      </w:r>
    </w:p>
    <w:p w:rsidR="00EA152F" w:rsidRPr="00070942" w:rsidRDefault="00314EC2" w:rsidP="00EA152F">
      <w:pPr>
        <w:pStyle w:val="ATHeading2"/>
      </w:pPr>
      <w:r w:rsidRPr="00314EC2">
        <w:t>Konkurrencepolitik – årlig betænkning 2023</w:t>
      </w:r>
    </w:p>
    <w:p w:rsidR="00EA152F" w:rsidRPr="00070942" w:rsidRDefault="00EA152F" w:rsidP="00EA152F">
      <w:pPr>
        <w:rPr>
          <w:i/>
          <w:vanish/>
        </w:rPr>
      </w:pPr>
      <w:r w:rsidRPr="00070942">
        <w:rPr>
          <w:i/>
        </w:rPr>
        <w:fldChar w:fldCharType="begin"/>
      </w:r>
      <w:r w:rsidRPr="00070942">
        <w:rPr>
          <w:i/>
        </w:rPr>
        <w:instrText xml:space="preserve"> TC"(</w:instrText>
      </w:r>
      <w:bookmarkStart w:id="2" w:name="DocNumber"/>
      <w:r w:rsidRPr="00070942">
        <w:rPr>
          <w:i/>
        </w:rPr>
        <w:instrText>A9-0427/2023</w:instrText>
      </w:r>
      <w:bookmarkEnd w:id="2"/>
      <w:r w:rsidRPr="00070942">
        <w:rPr>
          <w:i/>
        </w:rPr>
        <w:instrText xml:space="preserve"> - Ordfører: Stéphanie Yon Courtin)"\l3 \n&gt; \* MERGEFORMAT </w:instrText>
      </w:r>
      <w:r w:rsidRPr="00070942">
        <w:rPr>
          <w:i/>
        </w:rPr>
        <w:fldChar w:fldCharType="end"/>
      </w:r>
    </w:p>
    <w:p w:rsidR="00EA152F" w:rsidRPr="00070942" w:rsidRDefault="00EA152F" w:rsidP="00EA152F">
      <w:pPr>
        <w:rPr>
          <w:vanish/>
        </w:rPr>
      </w:pPr>
      <w:bookmarkStart w:id="3" w:name="Commission"/>
      <w:r w:rsidRPr="00070942">
        <w:rPr>
          <w:vanish/>
        </w:rPr>
        <w:t>Økonomi- og Valutaudvalget</w:t>
      </w:r>
      <w:bookmarkEnd w:id="3"/>
    </w:p>
    <w:p w:rsidR="00EA152F" w:rsidRPr="00070942" w:rsidRDefault="00EA152F" w:rsidP="00EA152F">
      <w:pPr>
        <w:rPr>
          <w:vanish/>
        </w:rPr>
      </w:pPr>
      <w:bookmarkStart w:id="4" w:name="PE"/>
      <w:r w:rsidRPr="00070942">
        <w:rPr>
          <w:vanish/>
        </w:rPr>
        <w:t>PE753.544</w:t>
      </w:r>
      <w:bookmarkEnd w:id="4"/>
    </w:p>
    <w:p w:rsidR="00EA152F" w:rsidRPr="00070942" w:rsidRDefault="00EA152F" w:rsidP="00EA152F">
      <w:pPr>
        <w:pStyle w:val="ATHeading3"/>
      </w:pPr>
      <w:bookmarkStart w:id="5" w:name="Sujet"/>
      <w:r w:rsidRPr="00070942">
        <w:t xml:space="preserve">Europa-Parlamentets beslutning af </w:t>
      </w:r>
      <w:r w:rsidR="00774F62">
        <w:t>16</w:t>
      </w:r>
      <w:r w:rsidRPr="00070942">
        <w:t>.</w:t>
      </w:r>
      <w:r w:rsidR="00912064">
        <w:t xml:space="preserve"> januar</w:t>
      </w:r>
      <w:r w:rsidRPr="00070942">
        <w:t xml:space="preserve"> 2024 om konkurrencepolitik – årlig beretning 2023</w:t>
      </w:r>
      <w:bookmarkEnd w:id="5"/>
      <w:r w:rsidRPr="00070942">
        <w:t xml:space="preserve"> </w:t>
      </w:r>
      <w:bookmarkStart w:id="6" w:name="References"/>
      <w:r w:rsidRPr="00070942">
        <w:t>(2023/2077(INI))</w:t>
      </w:r>
      <w:bookmarkEnd w:id="6"/>
    </w:p>
    <w:p w:rsidR="008C3800" w:rsidRPr="00070942" w:rsidRDefault="008C3800" w:rsidP="008C3800">
      <w:pPr>
        <w:pStyle w:val="EPComma"/>
      </w:pPr>
      <w:bookmarkStart w:id="7" w:name="TextBodyBegin"/>
      <w:bookmarkEnd w:id="7"/>
      <w:r w:rsidRPr="00070942">
        <w:rPr>
          <w:i/>
        </w:rPr>
        <w:t>Europa-Parlamentet</w:t>
      </w:r>
      <w:r w:rsidRPr="00070942">
        <w:t>,</w:t>
      </w:r>
    </w:p>
    <w:p w:rsidR="008C3800" w:rsidRPr="00070942" w:rsidRDefault="008C3800" w:rsidP="008C3800">
      <w:pPr>
        <w:pStyle w:val="NormalHanging12a"/>
      </w:pPr>
      <w:r w:rsidRPr="00070942">
        <w:t>–</w:t>
      </w:r>
      <w:r w:rsidRPr="00070942">
        <w:tab/>
        <w:t>der henviser til traktaten om Den Europæiske Unions funktionsmåde, særlig artikel 101-109,</w:t>
      </w:r>
    </w:p>
    <w:p w:rsidR="008C3800" w:rsidRPr="00070942" w:rsidRDefault="008C3800" w:rsidP="008C3800">
      <w:pPr>
        <w:pStyle w:val="NormalHanging12a"/>
      </w:pPr>
      <w:r w:rsidRPr="00070942">
        <w:t>–</w:t>
      </w:r>
      <w:r w:rsidRPr="00070942">
        <w:tab/>
        <w:t>der henviser til de relevante regler, retningslinjer, beslutninger, offentlige høringer, meddelelser og arbejdsdokumenter om konkurrence fra Kommissionen,</w:t>
      </w:r>
    </w:p>
    <w:p w:rsidR="008C3800" w:rsidRPr="00070942" w:rsidRDefault="008C3800" w:rsidP="008C3800">
      <w:pPr>
        <w:pStyle w:val="NormalHanging12a"/>
      </w:pPr>
      <w:r w:rsidRPr="00070942">
        <w:t>–</w:t>
      </w:r>
      <w:r w:rsidRPr="00070942">
        <w:tab/>
        <w:t>der henviser til Kommissionens rapport af 4. april 2023 med titlen "Beretning om konkurrencepolitikken 2022" (</w:t>
      </w:r>
      <w:proofErr w:type="gramStart"/>
      <w:r w:rsidRPr="00070942">
        <w:t>COM(</w:t>
      </w:r>
      <w:proofErr w:type="gramEnd"/>
      <w:r w:rsidRPr="00070942">
        <w:t>2023)0184) og det ledsagende arbejdsdokument fra Kommissionen (SWD(2023)0076),</w:t>
      </w:r>
    </w:p>
    <w:p w:rsidR="008C3800" w:rsidRPr="00070942" w:rsidRDefault="008C3800" w:rsidP="008C3800">
      <w:pPr>
        <w:pStyle w:val="NormalHanging12a"/>
      </w:pPr>
      <w:r w:rsidRPr="00070942">
        <w:t>–</w:t>
      </w:r>
      <w:r w:rsidRPr="00070942">
        <w:tab/>
        <w:t>der henviser til sin beslutning af 13. juni 2023 om konkurrencepolitik – årlig beretning 2022</w:t>
      </w:r>
      <w:r w:rsidRPr="00070942">
        <w:rPr>
          <w:rStyle w:val="FootnoteReference"/>
        </w:rPr>
        <w:footnoteReference w:id="1"/>
      </w:r>
      <w:r w:rsidRPr="00070942">
        <w:t>,</w:t>
      </w:r>
    </w:p>
    <w:p w:rsidR="008C3800" w:rsidRPr="00070942" w:rsidRDefault="008C3800" w:rsidP="008C3800">
      <w:pPr>
        <w:pStyle w:val="NormalHanging12a"/>
      </w:pPr>
      <w:r w:rsidRPr="00070942">
        <w:t>–</w:t>
      </w:r>
      <w:r w:rsidRPr="00070942">
        <w:tab/>
        <w:t>der henviser til Kommissionens meddelelse af 11. december 2019 med titlen "Den europæiske grønne aftale" (</w:t>
      </w:r>
      <w:proofErr w:type="gramStart"/>
      <w:r w:rsidRPr="00070942">
        <w:t>COM(</w:t>
      </w:r>
      <w:proofErr w:type="gramEnd"/>
      <w:r w:rsidRPr="00070942">
        <w:t>2019)0640),</w:t>
      </w:r>
    </w:p>
    <w:p w:rsidR="008C3800" w:rsidRPr="00070942" w:rsidRDefault="008C3800" w:rsidP="008C3800">
      <w:pPr>
        <w:pStyle w:val="NormalHanging12a"/>
      </w:pPr>
      <w:r w:rsidRPr="00070942">
        <w:t>–</w:t>
      </w:r>
      <w:r w:rsidRPr="00070942">
        <w:tab/>
        <w:t>der henviser til Kommissionens reviderede retningslinjer for statsstøtte til fremme af risikofinansieringsinvesteringer offentliggjort den 6. december 2021,</w:t>
      </w:r>
    </w:p>
    <w:p w:rsidR="008C3800" w:rsidRPr="00070942" w:rsidRDefault="008C3800" w:rsidP="008C3800">
      <w:pPr>
        <w:pStyle w:val="NormalHanging12a"/>
      </w:pPr>
      <w:r w:rsidRPr="00070942">
        <w:t>–</w:t>
      </w:r>
      <w:r w:rsidRPr="00070942">
        <w:tab/>
        <w:t>der henviser til Den Europæiske Unions Domstols dom af 13. juli 2022 i sag T-227/21</w:t>
      </w:r>
      <w:r w:rsidRPr="00070942">
        <w:rPr>
          <w:rStyle w:val="FootnoteReference"/>
        </w:rPr>
        <w:footnoteReference w:id="2"/>
      </w:r>
      <w:r w:rsidRPr="00070942">
        <w:t>,</w:t>
      </w:r>
    </w:p>
    <w:p w:rsidR="008C3800" w:rsidRPr="00070942" w:rsidRDefault="008C3800" w:rsidP="008C3800">
      <w:pPr>
        <w:pStyle w:val="NormalHanging12a"/>
      </w:pPr>
      <w:r w:rsidRPr="00070942">
        <w:t>–</w:t>
      </w:r>
      <w:r w:rsidRPr="00070942">
        <w:tab/>
        <w:t>der henviser til Kommissionens meddelelse af 24. marts 2022 med titlen "Midlertidige kriserammebestemmelser for statsstøtteforanstaltninger til støtte for økonomien efter Ruslands angreb på Ukraine"</w:t>
      </w:r>
      <w:r w:rsidRPr="00070942">
        <w:rPr>
          <w:rStyle w:val="FootnoteReference"/>
        </w:rPr>
        <w:footnoteReference w:id="3"/>
      </w:r>
      <w:r w:rsidRPr="00070942">
        <w:t>,</w:t>
      </w:r>
    </w:p>
    <w:p w:rsidR="008C3800" w:rsidRPr="00070942" w:rsidRDefault="008C3800" w:rsidP="008C3800">
      <w:pPr>
        <w:pStyle w:val="NormalHanging12a"/>
      </w:pPr>
      <w:r w:rsidRPr="00070942">
        <w:lastRenderedPageBreak/>
        <w:t>–</w:t>
      </w:r>
      <w:r w:rsidRPr="00070942">
        <w:tab/>
        <w:t>der henviser til Rådets forordning (EF) nr. 139/2004 af 20. januar 2004 om kontrol med fusioner og virksomhedsovertagelser ("EF-fusionsforordningen")</w:t>
      </w:r>
      <w:r w:rsidRPr="00070942">
        <w:rPr>
          <w:rStyle w:val="FootnoteReference"/>
        </w:rPr>
        <w:footnoteReference w:id="4"/>
      </w:r>
      <w:r w:rsidRPr="00070942">
        <w:t>,</w:t>
      </w:r>
    </w:p>
    <w:p w:rsidR="008C3800" w:rsidRPr="00070942" w:rsidRDefault="008C3800" w:rsidP="008C3800">
      <w:pPr>
        <w:pStyle w:val="NormalHanging12a"/>
      </w:pPr>
      <w:r w:rsidRPr="00070942">
        <w:t>–</w:t>
      </w:r>
      <w:r w:rsidRPr="00070942">
        <w:tab/>
        <w:t>der henviser til Europa-Parlamentets og Rådets forordning (EU) 2022/1925 af 14. september 2022 om åbne og fair markeder i den digitale sektor og om ændring af direktiv (EU) 2019/1937 og (EU) 2020/1828 (forordningen om digitale markeder)</w:t>
      </w:r>
      <w:r w:rsidRPr="00070942">
        <w:rPr>
          <w:rStyle w:val="FootnoteReference"/>
        </w:rPr>
        <w:footnoteReference w:id="5"/>
      </w:r>
      <w:r w:rsidRPr="00070942">
        <w:t>,</w:t>
      </w:r>
    </w:p>
    <w:p w:rsidR="008C3800" w:rsidRPr="00070942" w:rsidRDefault="008C3800" w:rsidP="008C3800">
      <w:pPr>
        <w:pStyle w:val="NormalHanging12a"/>
      </w:pPr>
      <w:r w:rsidRPr="00070942">
        <w:t>–</w:t>
      </w:r>
      <w:r w:rsidRPr="00070942">
        <w:tab/>
        <w:t>der henviser til Europa-Parlamentets og Rådets direktiv (EU) 2019/1 af 11. december 2018 om styrkelse af de nationale konkurrencemyndigheders forudsætninger for at håndhæve konkurrencereglerne effektivt og sikring af et velfungerende indre marked</w:t>
      </w:r>
      <w:r w:rsidRPr="00070942">
        <w:rPr>
          <w:rStyle w:val="FootnoteReference"/>
        </w:rPr>
        <w:footnoteReference w:id="6"/>
      </w:r>
      <w:r w:rsidRPr="00070942">
        <w:t>,</w:t>
      </w:r>
    </w:p>
    <w:p w:rsidR="008C3800" w:rsidRPr="00070942" w:rsidRDefault="008C3800" w:rsidP="008C3800">
      <w:pPr>
        <w:pStyle w:val="NormalHanging12a"/>
      </w:pPr>
      <w:r w:rsidRPr="00070942">
        <w:t>–</w:t>
      </w:r>
      <w:r w:rsidRPr="00070942">
        <w:tab/>
        <w:t>der henviser til Rådets forordning (EF) nr. 1/2003 af 16. december 2002 om gennemførelse af konkurrencereglerne i traktatens artikel 81 og 82</w:t>
      </w:r>
      <w:r w:rsidRPr="00070942">
        <w:rPr>
          <w:rStyle w:val="FootnoteReference"/>
        </w:rPr>
        <w:footnoteReference w:id="7"/>
      </w:r>
      <w:r w:rsidRPr="00070942">
        <w:t>,</w:t>
      </w:r>
    </w:p>
    <w:p w:rsidR="008C3800" w:rsidRPr="00070942" w:rsidRDefault="008C3800" w:rsidP="008C3800">
      <w:pPr>
        <w:pStyle w:val="NormalHanging12a"/>
      </w:pPr>
      <w:r w:rsidRPr="00070942">
        <w:t>–</w:t>
      </w:r>
      <w:r w:rsidRPr="00070942">
        <w:tab/>
        <w:t>der henviser til Kommissionens forordning (EF) nr. 773/2004 af 7. april 2004 om Kommissionens gennemførelse af procedurer i henhold til EF-traktatens artikel 81 og 82</w:t>
      </w:r>
      <w:r w:rsidRPr="00070942">
        <w:rPr>
          <w:rStyle w:val="FootnoteReference"/>
        </w:rPr>
        <w:footnoteReference w:id="8"/>
      </w:r>
      <w:r w:rsidRPr="00070942">
        <w:t>,</w:t>
      </w:r>
    </w:p>
    <w:p w:rsidR="008C3800" w:rsidRPr="00070942" w:rsidRDefault="008C3800" w:rsidP="008C3800">
      <w:pPr>
        <w:pStyle w:val="NormalHanging12a"/>
      </w:pPr>
      <w:r w:rsidRPr="00070942">
        <w:t>–</w:t>
      </w:r>
      <w:r w:rsidRPr="00070942">
        <w:tab/>
        <w:t>der henviser til Kommissionens meddelelse af 18. februar 2022 med titlen "Retningslinjer for statsstøtte til klima, miljøbeskyttelse og energi 2022"</w:t>
      </w:r>
      <w:r w:rsidRPr="00070942">
        <w:rPr>
          <w:rStyle w:val="FootnoteReference"/>
        </w:rPr>
        <w:footnoteReference w:id="9"/>
      </w:r>
      <w:r w:rsidRPr="00070942">
        <w:t>,</w:t>
      </w:r>
    </w:p>
    <w:p w:rsidR="008C3800" w:rsidRPr="00070942" w:rsidRDefault="008C3800" w:rsidP="008C3800">
      <w:pPr>
        <w:pStyle w:val="NormalHanging12a"/>
      </w:pPr>
      <w:r w:rsidRPr="00070942">
        <w:t>–</w:t>
      </w:r>
      <w:r w:rsidRPr="00070942">
        <w:tab/>
        <w:t>der henviser til Kommissionens meddelelse af 31. januar 2023 med titlen "Retningslinjer for statsstøtte til bredbåndsnet"</w:t>
      </w:r>
      <w:r w:rsidRPr="00070942">
        <w:rPr>
          <w:rStyle w:val="FootnoteReference"/>
        </w:rPr>
        <w:footnoteReference w:id="10"/>
      </w:r>
      <w:r w:rsidRPr="00070942">
        <w:t>,</w:t>
      </w:r>
    </w:p>
    <w:p w:rsidR="008C3800" w:rsidRPr="00070942" w:rsidRDefault="008C3800" w:rsidP="008C3800">
      <w:pPr>
        <w:pStyle w:val="NormalHanging12a"/>
      </w:pPr>
      <w:r w:rsidRPr="00070942">
        <w:t>–</w:t>
      </w:r>
      <w:r w:rsidRPr="00070942">
        <w:tab/>
        <w:t>der henviser til udkast til Kommissionens meddelelse om afgrænsning af det relevante marked i forbindelse med Unionens konkurrenceret,</w:t>
      </w:r>
    </w:p>
    <w:p w:rsidR="008C3800" w:rsidRPr="00070942" w:rsidRDefault="008C3800" w:rsidP="008C3800">
      <w:pPr>
        <w:pStyle w:val="NormalHanging12a"/>
      </w:pPr>
      <w:r w:rsidRPr="00070942">
        <w:t>–</w:t>
      </w:r>
      <w:r w:rsidRPr="00070942">
        <w:tab/>
        <w:t xml:space="preserve">der henviser til arbejdsdokumentet fra Kommissionens tjenestegrene af 1. december 2022 med titlen "Evaluation of the State </w:t>
      </w:r>
      <w:proofErr w:type="spellStart"/>
      <w:r w:rsidRPr="00070942">
        <w:t>subsidy</w:t>
      </w:r>
      <w:proofErr w:type="spellEnd"/>
      <w:r w:rsidRPr="00070942">
        <w:t xml:space="preserve"> </w:t>
      </w:r>
      <w:proofErr w:type="spellStart"/>
      <w:r w:rsidRPr="00070942">
        <w:t>rules</w:t>
      </w:r>
      <w:proofErr w:type="spellEnd"/>
      <w:r w:rsidRPr="00070942">
        <w:t xml:space="preserve"> for </w:t>
      </w:r>
      <w:proofErr w:type="spellStart"/>
      <w:r w:rsidRPr="00070942">
        <w:t>health</w:t>
      </w:r>
      <w:proofErr w:type="spellEnd"/>
      <w:r w:rsidRPr="00070942">
        <w:t xml:space="preserve"> and social services of general </w:t>
      </w:r>
      <w:proofErr w:type="spellStart"/>
      <w:r w:rsidRPr="00070942">
        <w:t>economic</w:t>
      </w:r>
      <w:proofErr w:type="spellEnd"/>
      <w:r w:rsidRPr="00070942">
        <w:t xml:space="preserve"> </w:t>
      </w:r>
      <w:proofErr w:type="spellStart"/>
      <w:r w:rsidRPr="00070942">
        <w:t>interest</w:t>
      </w:r>
      <w:proofErr w:type="spellEnd"/>
      <w:r w:rsidRPr="00070942">
        <w:t xml:space="preserve"> ('</w:t>
      </w:r>
      <w:proofErr w:type="spellStart"/>
      <w:r w:rsidRPr="00070942">
        <w:t>SGEIs</w:t>
      </w:r>
      <w:proofErr w:type="spellEnd"/>
      <w:r w:rsidRPr="00070942">
        <w:t xml:space="preserve">') and of the SGEI de minimis </w:t>
      </w:r>
      <w:proofErr w:type="spellStart"/>
      <w:r w:rsidRPr="00070942">
        <w:t>Regulation</w:t>
      </w:r>
      <w:proofErr w:type="spellEnd"/>
      <w:r w:rsidRPr="00070942">
        <w:t>" (Evaluering af statsstøtteregler for sundhedstjenester og sociale tjenester af almindelig økonomisk interesse og af de-minimis-forordningen om tjenesteydelser af almen økonomisk interesse) (</w:t>
      </w:r>
      <w:proofErr w:type="gramStart"/>
      <w:r w:rsidRPr="00070942">
        <w:t>SWD(</w:t>
      </w:r>
      <w:proofErr w:type="gramEnd"/>
      <w:r w:rsidRPr="00070942">
        <w:t>2022)0388),</w:t>
      </w:r>
    </w:p>
    <w:p w:rsidR="008C3800" w:rsidRPr="00070942" w:rsidRDefault="008C3800" w:rsidP="008C3800">
      <w:pPr>
        <w:pStyle w:val="NormalHanging12a"/>
      </w:pPr>
      <w:r w:rsidRPr="00070942">
        <w:t>–</w:t>
      </w:r>
      <w:r w:rsidRPr="00070942">
        <w:tab/>
        <w:t>der henviser til ikrafttrædelsen den 1. september 2023 af den pakke af foranstaltninger, der blev vedtaget den 20. april 2023, og som har til formål at forenkle og strømline procedurerne for revision af visse fusioner, der ikke giver anledning til konkurrenceproblemer (</w:t>
      </w:r>
      <w:proofErr w:type="gramStart"/>
      <w:r w:rsidRPr="00070942">
        <w:t>C(</w:t>
      </w:r>
      <w:proofErr w:type="gramEnd"/>
      <w:r w:rsidRPr="00070942">
        <w:t>2023)2400, C(2023)2401, C(2023)2402),</w:t>
      </w:r>
    </w:p>
    <w:p w:rsidR="008C3800" w:rsidRPr="00070942" w:rsidRDefault="008C3800" w:rsidP="008C3800">
      <w:pPr>
        <w:pStyle w:val="NormalHanging12a"/>
      </w:pPr>
      <w:r w:rsidRPr="00070942">
        <w:t>–</w:t>
      </w:r>
      <w:r w:rsidRPr="00070942">
        <w:tab/>
        <w:t>der henviser til Europa-Parlamentets og Rådets forordning (EU) 2022/2560 af 14. december 2022 om udenlandske subsidier, der fordrejer det indre marked</w:t>
      </w:r>
      <w:r w:rsidRPr="00070942">
        <w:rPr>
          <w:rStyle w:val="FootnoteReference"/>
        </w:rPr>
        <w:footnoteReference w:id="11"/>
      </w:r>
      <w:r w:rsidRPr="00070942">
        <w:t>,</w:t>
      </w:r>
    </w:p>
    <w:p w:rsidR="008C3800" w:rsidRPr="00070942" w:rsidRDefault="008C3800" w:rsidP="008C3800">
      <w:pPr>
        <w:pStyle w:val="NormalHanging12a"/>
      </w:pPr>
      <w:r w:rsidRPr="00070942">
        <w:lastRenderedPageBreak/>
        <w:t>–</w:t>
      </w:r>
      <w:r w:rsidRPr="00070942">
        <w:tab/>
        <w:t xml:space="preserve">der henviser til talen om Unionens tilstand fra 2023 afholdt af formanden for Kommissionen, Ursula von der </w:t>
      </w:r>
      <w:proofErr w:type="spellStart"/>
      <w:r w:rsidRPr="00070942">
        <w:t>Leyen</w:t>
      </w:r>
      <w:proofErr w:type="spellEnd"/>
      <w:r w:rsidRPr="00070942">
        <w:rPr>
          <w:rStyle w:val="FootnoteReference"/>
        </w:rPr>
        <w:footnoteReference w:id="12"/>
      </w:r>
      <w:r w:rsidRPr="00070942">
        <w:t>,</w:t>
      </w:r>
    </w:p>
    <w:p w:rsidR="008C3800" w:rsidRPr="00070942" w:rsidRDefault="008C3800" w:rsidP="008C3800">
      <w:pPr>
        <w:pStyle w:val="NormalHanging12a"/>
      </w:pPr>
      <w:r w:rsidRPr="00070942">
        <w:t>–</w:t>
      </w:r>
      <w:r w:rsidRPr="00070942">
        <w:tab/>
        <w:t>der henviser til Kommissionens afgørelse af 6. september 2023 om udpegelse af gatekeepere i henhold til forordningen om digitale markeder,</w:t>
      </w:r>
    </w:p>
    <w:p w:rsidR="008C3800" w:rsidRPr="00070942" w:rsidRDefault="008C3800" w:rsidP="008C3800">
      <w:pPr>
        <w:pStyle w:val="NormalHanging12a"/>
      </w:pPr>
      <w:r w:rsidRPr="00070942">
        <w:t>–</w:t>
      </w:r>
      <w:r w:rsidRPr="00070942">
        <w:tab/>
        <w:t>der henviser til Kommissionens gennemførelsesforordning (EU) 2023/914 af 20. april 2023 om gennemførelse af Rådets forordning (EF) nr. 139/2004 om kontrol med fusioner og virksomhedsovertagelser og om ophævelse af Kommissionens forordning (EF) nr. 802/2004</w:t>
      </w:r>
      <w:r w:rsidRPr="00070942">
        <w:rPr>
          <w:rStyle w:val="FootnoteReference"/>
        </w:rPr>
        <w:footnoteReference w:id="13"/>
      </w:r>
      <w:r w:rsidRPr="00070942">
        <w:t>,</w:t>
      </w:r>
    </w:p>
    <w:p w:rsidR="008C3800" w:rsidRPr="00070942" w:rsidRDefault="008C3800" w:rsidP="008C3800">
      <w:pPr>
        <w:pStyle w:val="NormalHanging12a"/>
      </w:pPr>
      <w:r w:rsidRPr="00070942">
        <w:t>–</w:t>
      </w:r>
      <w:r w:rsidRPr="00070942">
        <w:tab/>
        <w:t>der henviser til den fælles europæiske erklæring om digitale rettigheder og principper for det digitale årti af 23. januar 2023 fra Europa-Parlamentet, Rådet og Kommissionen</w:t>
      </w:r>
      <w:r w:rsidRPr="00070942">
        <w:rPr>
          <w:rStyle w:val="FootnoteReference"/>
        </w:rPr>
        <w:footnoteReference w:id="14"/>
      </w:r>
      <w:r w:rsidRPr="00070942">
        <w:t>,</w:t>
      </w:r>
    </w:p>
    <w:p w:rsidR="008C3800" w:rsidRPr="00070942" w:rsidRDefault="008C3800" w:rsidP="008C3800">
      <w:pPr>
        <w:pStyle w:val="NormalHanging12a"/>
      </w:pPr>
      <w:r w:rsidRPr="00070942">
        <w:t>–</w:t>
      </w:r>
      <w:r w:rsidRPr="00070942">
        <w:tab/>
        <w:t>der henviser til Domstolens dom af 4. juli 2023 i sag C-252/21</w:t>
      </w:r>
      <w:r w:rsidRPr="00070942">
        <w:rPr>
          <w:rStyle w:val="FootnoteReference"/>
        </w:rPr>
        <w:footnoteReference w:id="15"/>
      </w:r>
      <w:r w:rsidRPr="00070942">
        <w:t>,</w:t>
      </w:r>
    </w:p>
    <w:p w:rsidR="008C3800" w:rsidRPr="00070942" w:rsidRDefault="008C3800" w:rsidP="008C3800">
      <w:pPr>
        <w:pStyle w:val="NormalHanging12a"/>
      </w:pPr>
      <w:r w:rsidRPr="00070942">
        <w:t>–</w:t>
      </w:r>
      <w:r w:rsidRPr="00070942">
        <w:tab/>
        <w:t xml:space="preserve">der henviser til dokumentet "DG COMP Code of </w:t>
      </w:r>
      <w:proofErr w:type="spellStart"/>
      <w:r w:rsidRPr="00070942">
        <w:t>good</w:t>
      </w:r>
      <w:proofErr w:type="spellEnd"/>
      <w:r w:rsidRPr="00070942">
        <w:t xml:space="preserve"> </w:t>
      </w:r>
      <w:proofErr w:type="spellStart"/>
      <w:r w:rsidRPr="00070942">
        <w:t>practices</w:t>
      </w:r>
      <w:proofErr w:type="spellEnd"/>
      <w:r w:rsidRPr="00070942">
        <w:t xml:space="preserve"> for a transparent, </w:t>
      </w:r>
      <w:proofErr w:type="spellStart"/>
      <w:r w:rsidRPr="00070942">
        <w:t>inclusive</w:t>
      </w:r>
      <w:proofErr w:type="spellEnd"/>
      <w:r w:rsidRPr="00070942">
        <w:t xml:space="preserve">, faster design and </w:t>
      </w:r>
      <w:proofErr w:type="spellStart"/>
      <w:r w:rsidRPr="00070942">
        <w:t>assessment</w:t>
      </w:r>
      <w:proofErr w:type="spellEnd"/>
      <w:r w:rsidRPr="00070942">
        <w:t xml:space="preserve"> of </w:t>
      </w:r>
      <w:proofErr w:type="spellStart"/>
      <w:r w:rsidRPr="00070942">
        <w:t>IPCEIs</w:t>
      </w:r>
      <w:proofErr w:type="spellEnd"/>
      <w:r w:rsidRPr="00070942">
        <w:t xml:space="preserve">" (GD </w:t>
      </w:r>
      <w:proofErr w:type="spellStart"/>
      <w:r w:rsidRPr="00070942">
        <w:t>COMP·En</w:t>
      </w:r>
      <w:proofErr w:type="spellEnd"/>
      <w:r w:rsidRPr="00070942">
        <w:t xml:space="preserve"> kode for god praksis for en gennemsigtig, inklusiv og hurtigere udformning af vigtige projekter af fælleseuropæisk interesse) af 17. maj 2023</w:t>
      </w:r>
      <w:r w:rsidRPr="00070942">
        <w:rPr>
          <w:rStyle w:val="FootnoteReference"/>
        </w:rPr>
        <w:footnoteReference w:id="16"/>
      </w:r>
      <w:r w:rsidRPr="00070942">
        <w:t>,</w:t>
      </w:r>
    </w:p>
    <w:p w:rsidR="008C3800" w:rsidRPr="00070942" w:rsidRDefault="008C3800" w:rsidP="008C3800">
      <w:pPr>
        <w:pStyle w:val="NormalHanging12a"/>
      </w:pPr>
      <w:r w:rsidRPr="00070942">
        <w:t>–</w:t>
      </w:r>
      <w:r w:rsidRPr="00070942">
        <w:tab/>
        <w:t xml:space="preserve">der henviser til rapporten fra Den Europæiske Værdipapir- og Markedstilsynsmyndighed (ESMA), "Report on CRA Market </w:t>
      </w:r>
      <w:proofErr w:type="spellStart"/>
      <w:r w:rsidRPr="00070942">
        <w:t>Share</w:t>
      </w:r>
      <w:proofErr w:type="spellEnd"/>
      <w:r w:rsidRPr="00070942">
        <w:t xml:space="preserve"> </w:t>
      </w:r>
      <w:proofErr w:type="spellStart"/>
      <w:r w:rsidRPr="00070942">
        <w:t>Calculation</w:t>
      </w:r>
      <w:proofErr w:type="spellEnd"/>
      <w:r w:rsidRPr="00070942">
        <w:t>" (Rapport om beregningen af kreditvurderingsbureauers markedsandel) af 15. december 2022,</w:t>
      </w:r>
    </w:p>
    <w:p w:rsidR="008C3800" w:rsidRPr="00070942" w:rsidRDefault="008C3800" w:rsidP="008C3800">
      <w:pPr>
        <w:pStyle w:val="NormalHanging12a"/>
      </w:pPr>
      <w:r w:rsidRPr="00070942">
        <w:t>–</w:t>
      </w:r>
      <w:r w:rsidRPr="00070942">
        <w:tab/>
        <w:t>der henviser til Kommissionens meddelelse af 27. april 2004 om uformel vejledning i relation til nye spørgsmål vedrørende EF-traktatens artikel 81 og 82, som opstår i individuelle sager (vejledningsskrivelser)</w:t>
      </w:r>
      <w:r w:rsidRPr="00070942">
        <w:rPr>
          <w:rStyle w:val="FootnoteReference"/>
        </w:rPr>
        <w:footnoteReference w:id="17"/>
      </w:r>
      <w:r w:rsidRPr="00070942">
        <w:t>,</w:t>
      </w:r>
    </w:p>
    <w:p w:rsidR="008C3800" w:rsidRPr="00070942" w:rsidRDefault="008C3800" w:rsidP="008C3800">
      <w:pPr>
        <w:pStyle w:val="NormalHanging12a"/>
      </w:pPr>
      <w:r w:rsidRPr="00070942">
        <w:t>–</w:t>
      </w:r>
      <w:r w:rsidRPr="00070942">
        <w:tab/>
        <w:t>der henviser til Kommissionens meddelelse af 21. juli 2023 med titlen "Retningslinjer for anvendelsen af artikel 101 i traktaten om Den Europæiske Unions funktionsmåde på horisontale samarbejdsaftaler"</w:t>
      </w:r>
      <w:r w:rsidRPr="00070942">
        <w:rPr>
          <w:rStyle w:val="FootnoteReference"/>
        </w:rPr>
        <w:footnoteReference w:id="18"/>
      </w:r>
      <w:r w:rsidRPr="00070942">
        <w:t>,</w:t>
      </w:r>
    </w:p>
    <w:p w:rsidR="008C3800" w:rsidRPr="00070942" w:rsidRDefault="008C3800" w:rsidP="008C3800">
      <w:pPr>
        <w:pStyle w:val="NormalHanging12a"/>
      </w:pPr>
      <w:r w:rsidRPr="00070942">
        <w:t>–</w:t>
      </w:r>
      <w:r w:rsidRPr="00070942">
        <w:tab/>
        <w:t xml:space="preserve">der henviser til Kommissionens afgørelse af 25. september 2023, som forbyder forslaget om, at </w:t>
      </w:r>
      <w:proofErr w:type="spellStart"/>
      <w:r w:rsidRPr="00070942">
        <w:t>Flugo</w:t>
      </w:r>
      <w:proofErr w:type="spellEnd"/>
      <w:r w:rsidRPr="00070942">
        <w:t xml:space="preserve"> Group Holdings AB ("</w:t>
      </w:r>
      <w:proofErr w:type="spellStart"/>
      <w:r w:rsidRPr="00070942">
        <w:t>eTraveli</w:t>
      </w:r>
      <w:proofErr w:type="spellEnd"/>
      <w:r w:rsidRPr="00070942">
        <w:t>") overtages af Booking Holdings ("Booking"),</w:t>
      </w:r>
    </w:p>
    <w:p w:rsidR="008C3800" w:rsidRPr="00070942" w:rsidRDefault="008C3800" w:rsidP="008C3800">
      <w:pPr>
        <w:pStyle w:val="NormalHanging12a"/>
      </w:pPr>
      <w:r w:rsidRPr="00070942">
        <w:lastRenderedPageBreak/>
        <w:t>–</w:t>
      </w:r>
      <w:r w:rsidRPr="00070942">
        <w:tab/>
        <w:t>der henviser til udtalelse fra Det Europæiske Økonomiske og Sociale Udvalg</w:t>
      </w:r>
      <w:r w:rsidRPr="00070942">
        <w:rPr>
          <w:rStyle w:val="FootnoteReference"/>
        </w:rPr>
        <w:footnoteReference w:id="19"/>
      </w:r>
      <w:r w:rsidRPr="00070942">
        <w:t>,</w:t>
      </w:r>
    </w:p>
    <w:p w:rsidR="008C3800" w:rsidRPr="00070942" w:rsidRDefault="008C3800" w:rsidP="008C3800">
      <w:pPr>
        <w:pStyle w:val="NormalHanging12a"/>
      </w:pPr>
      <w:r w:rsidRPr="00070942">
        <w:t>–</w:t>
      </w:r>
      <w:r w:rsidRPr="00070942">
        <w:tab/>
        <w:t>der henviser til forretningsordenens artikel 54,</w:t>
      </w:r>
    </w:p>
    <w:p w:rsidR="008C3800" w:rsidRPr="00070942" w:rsidRDefault="008C3800" w:rsidP="008C3800">
      <w:pPr>
        <w:pStyle w:val="NormalHanging12a"/>
      </w:pPr>
      <w:r w:rsidRPr="00070942">
        <w:t>–</w:t>
      </w:r>
      <w:r w:rsidRPr="00070942">
        <w:tab/>
        <w:t>der henviser til betænkning fra Økonomi- og Valutaudvalget (A9-0427/2023),</w:t>
      </w:r>
    </w:p>
    <w:p w:rsidR="008C3800" w:rsidRPr="00070942" w:rsidRDefault="008C3800" w:rsidP="008C3800">
      <w:pPr>
        <w:pStyle w:val="NormalHanging12a"/>
      </w:pPr>
      <w:r w:rsidRPr="00070942">
        <w:t>A.</w:t>
      </w:r>
      <w:r w:rsidRPr="00070942">
        <w:tab/>
        <w:t>der henviser til, at EU's konkurrencepolitik spiller en vigtig rolle med hensyn til at skabe rimelige betingelser for at drive forretning i det indre marked for at beskytte markederne mod fusioner og uberettiget akkumulering af markedsstyrke og for at fremme innovation og vækst for virksomhederne – især små og mellemstore virksomheder (</w:t>
      </w:r>
      <w:proofErr w:type="spellStart"/>
      <w:r w:rsidRPr="00070942">
        <w:t>SMV'er</w:t>
      </w:r>
      <w:proofErr w:type="spellEnd"/>
      <w:r w:rsidRPr="00070942">
        <w:t>) – inden for det indre marked og dermed fremme forbrugernes velfærd og give forbrugerne og virksomhederne større valgmuligheder;</w:t>
      </w:r>
    </w:p>
    <w:p w:rsidR="008C3800" w:rsidRPr="00070942" w:rsidRDefault="008C3800" w:rsidP="008C3800">
      <w:pPr>
        <w:pStyle w:val="NormalHanging12a"/>
      </w:pPr>
      <w:r w:rsidRPr="00070942">
        <w:t>B.</w:t>
      </w:r>
      <w:r w:rsidRPr="00070942">
        <w:tab/>
        <w:t>der henviser til, at det er nødvendigt med et frugtbart samspil mellem konkurrencepolitikken og andre sektorpolitikker; der henviser til, at konkurrencepolitikken kan bidrage til at styrke det indre markeds modstandsdygtighed, integritet og konkurrenceevne samt til at nå målsætningerne i den europæiske grønne pagt og målene for det digitale kompas som nedfældet i artikel 3 i traktaten om Den Europæiske Union (TEU);</w:t>
      </w:r>
    </w:p>
    <w:p w:rsidR="008C3800" w:rsidRPr="00070942" w:rsidRDefault="008C3800" w:rsidP="008C3800">
      <w:pPr>
        <w:pStyle w:val="NormalHanging12a"/>
      </w:pPr>
      <w:r w:rsidRPr="00070942">
        <w:t>C.</w:t>
      </w:r>
      <w:r w:rsidRPr="00070942">
        <w:tab/>
        <w:t>der henviser til, at international udveksling og internationalt samarbejde er afgørende for at opnå lige konkurrencevilkår på globalt plan og tackle udfordringerne i forbindelse med de sideløbende digitale og grønne omstillinger på en koordineret måde;</w:t>
      </w:r>
    </w:p>
    <w:p w:rsidR="008C3800" w:rsidRPr="00070942" w:rsidRDefault="008C3800" w:rsidP="008C3800">
      <w:pPr>
        <w:pStyle w:val="NormalHanging12a"/>
      </w:pPr>
      <w:r w:rsidRPr="00070942">
        <w:t>D.</w:t>
      </w:r>
      <w:r w:rsidRPr="00070942">
        <w:tab/>
        <w:t>der henviser til, at de globale geopolitiske omstændigheder desuden kræver ansvarlige løsninger på området for konkurrencepolitik; der henviser til, at EU bør gøre brug af alle de politiske og lovgivningsmæssige værktøjer, som den har til rådighed, for at forsvare det indre markeds integritet, modstandsdygtighed og konkurrenceevne i lyset af de udfordringer, der opstår på grund af det voksende antal konflikter i hele verden, handelsspændinger blandt konkurrerende lande, klimaændringskrisen og presset fra inflationen og den lave økonomiske vækst; der henviser til, at der er behov for at reducere EU's skadelige afhængighed af lande uden for EU og globale magter på områder som energi, lægemidler, teknologi eller råstoffer;</w:t>
      </w:r>
    </w:p>
    <w:p w:rsidR="008C3800" w:rsidRPr="00070942" w:rsidRDefault="008C3800" w:rsidP="008C3800">
      <w:pPr>
        <w:pStyle w:val="NormalHanging12a"/>
      </w:pPr>
      <w:r w:rsidRPr="00070942">
        <w:t>E.</w:t>
      </w:r>
      <w:r w:rsidRPr="00070942">
        <w:tab/>
        <w:t>der henviser til, at Kommissionen og de nationale konkurrencemyndigheder skal forholde sig uvildige og objektive for at opretholde EU's konkurrencepolitiks troværdighed;</w:t>
      </w:r>
    </w:p>
    <w:p w:rsidR="008C3800" w:rsidRPr="00070942" w:rsidRDefault="008C3800" w:rsidP="008C3800">
      <w:pPr>
        <w:pStyle w:val="NormalHanging12a"/>
      </w:pPr>
      <w:r w:rsidRPr="00070942">
        <w:t>F.</w:t>
      </w:r>
      <w:r w:rsidRPr="00070942">
        <w:tab/>
        <w:t>der henviser til, at den globale styrke og betydningen af EU's indre marked skyldes dets interne konkurrenceevne og lige konkurrencevilkår;</w:t>
      </w:r>
    </w:p>
    <w:p w:rsidR="008C3800" w:rsidRPr="00070942" w:rsidRDefault="008C3800" w:rsidP="008C3800">
      <w:pPr>
        <w:pStyle w:val="NormalHanging12a"/>
        <w:ind w:left="0" w:firstLine="0"/>
        <w:rPr>
          <w:b/>
          <w:i/>
        </w:rPr>
      </w:pPr>
      <w:r w:rsidRPr="00070942">
        <w:rPr>
          <w:b/>
          <w:i/>
        </w:rPr>
        <w:t>Konkurrencens rolle og den politiske reaktion på krigen i Ukraine, USA's lov om inflationsreduktion og de fortsatte udfordringer som følge af covid-19-pandemien</w:t>
      </w:r>
    </w:p>
    <w:p w:rsidR="008C3800" w:rsidRPr="00070942" w:rsidRDefault="008C3800" w:rsidP="008C3800">
      <w:pPr>
        <w:pStyle w:val="NormalHanging12a"/>
      </w:pPr>
      <w:r w:rsidRPr="00070942">
        <w:t>1.</w:t>
      </w:r>
      <w:r w:rsidRPr="00070942">
        <w:tab/>
        <w:t xml:space="preserve">opfordrer Kommissionen til at sikre det indre markeds integritet; minder om, at reaktionen på USA's lov om inflationsreduktion ikke alene skal være baseret på brugen af statsstøtte, men også på at skabe et mere gunstigt miljø for at drive virksomhed og en ny konkurrenceramme, der sikrer hurtighed og fleksibilitet for virksomheder, der investerer og konkurrerer retfærdigt i Europa, samtidig med at EU's klimamål </w:t>
      </w:r>
      <w:r w:rsidRPr="00070942">
        <w:lastRenderedPageBreak/>
        <w:t>overholdes;</w:t>
      </w:r>
    </w:p>
    <w:p w:rsidR="008C3800" w:rsidRPr="00070942" w:rsidRDefault="008C3800" w:rsidP="008C3800">
      <w:pPr>
        <w:pStyle w:val="NormalHanging12a"/>
      </w:pPr>
      <w:r w:rsidRPr="00070942">
        <w:t>2.</w:t>
      </w:r>
      <w:r w:rsidRPr="00070942">
        <w:tab/>
        <w:t xml:space="preserve">noterer sig de midlertidige krise- og omstillingsrammebestemmelser samt ajourføringen af statsstøttereglerne, der giver mulighed for investeringer i den grønne og den digitale omstilling; noterer sig vedtagelsen og indarbejdelsen i 2023 af "matchningsklausulen"; opfordrer Kommissionen til omhyggeligt at undgå at skabe betingelserne for et </w:t>
      </w:r>
      <w:proofErr w:type="spellStart"/>
      <w:r w:rsidRPr="00070942">
        <w:t>subsidiekapløb</w:t>
      </w:r>
      <w:proofErr w:type="spellEnd"/>
      <w:r w:rsidRPr="00070942">
        <w:t xml:space="preserve"> og til at bruge de værktøjer, den har til rådighed, til at forhindre og modvirke illoyal </w:t>
      </w:r>
      <w:proofErr w:type="spellStart"/>
      <w:r w:rsidRPr="00070942">
        <w:t>subsidiekonkurrence</w:t>
      </w:r>
      <w:proofErr w:type="spellEnd"/>
      <w:r w:rsidRPr="00070942">
        <w:t>; understreger, at eventuel yderligere statsstøtte skal være målrettet og midlertidig af natur; fastholder, at statsstøtte bør harmonere med EU's politiske målsætninger som fastlagt i bl.a. den grønne pagt og den europæiske søjle for sociale rettigheder; opfordrer Kommissionen til at undersøge den manglende harmonisering af tilbagebetalingsmekanismerne i medlemsstaterne;</w:t>
      </w:r>
    </w:p>
    <w:p w:rsidR="008C3800" w:rsidRPr="00070942" w:rsidRDefault="008C3800" w:rsidP="008C3800">
      <w:pPr>
        <w:pStyle w:val="NormalHanging12a"/>
      </w:pPr>
      <w:r w:rsidRPr="00070942">
        <w:t>3.</w:t>
      </w:r>
      <w:r w:rsidRPr="00070942">
        <w:tab/>
        <w:t>opfordrer Kommissionen til at sikre, at alle midlertidige statsstøtteinstrumenter er tilstrækkeligt målrettede for at undgå fragmentering af det indre marked;</w:t>
      </w:r>
    </w:p>
    <w:p w:rsidR="008C3800" w:rsidRPr="00070942" w:rsidRDefault="008C3800" w:rsidP="008C3800">
      <w:pPr>
        <w:pStyle w:val="NormalHanging12a"/>
      </w:pPr>
      <w:r w:rsidRPr="00070942">
        <w:t>4.</w:t>
      </w:r>
      <w:r w:rsidRPr="00070942">
        <w:tab/>
        <w:t>understreger, at der vil være behov for yderligere offentlige og private investeringer for at imødegå nye udfordringer; understreger, at der på EU's budget skal afsættes tilstrækkelige midler til at overvinde fremtidens udfordringer, herunder fragmenteringen af det indre marked, støtte EU's industristrategi, mindske vores kritiske afhængighed og sikre vores åbne strategiske autonomi; påpeger, at disse udfordringer ikke alene kan overvindes i kraft af offentlige udgifter;</w:t>
      </w:r>
    </w:p>
    <w:p w:rsidR="008C3800" w:rsidRPr="00070942" w:rsidRDefault="008C3800" w:rsidP="008C3800">
      <w:pPr>
        <w:pStyle w:val="NormalHanging12a"/>
      </w:pPr>
      <w:r w:rsidRPr="00070942">
        <w:t>5.</w:t>
      </w:r>
      <w:r w:rsidRPr="00070942">
        <w:tab/>
        <w:t>minder om, at en fragmenteret tilgang til statsstøtte kan skabe ulige vilkår på EU's indre marked, eftersom ikke alle medlemsstater har det samme finanspolitiske råderum til at yde støtte; opfordrer derfor til, at overvågningen af potentielle fordrejende virkninger og enhver fleksibilitet i den offentlige støtte udelukkende anvendes på støtte, der ydes på EU-plan;</w:t>
      </w:r>
    </w:p>
    <w:p w:rsidR="008C3800" w:rsidRPr="00070942" w:rsidRDefault="008C3800" w:rsidP="008C3800">
      <w:pPr>
        <w:pStyle w:val="NormalHanging12a"/>
      </w:pPr>
      <w:r w:rsidRPr="00070942">
        <w:t>6.</w:t>
      </w:r>
      <w:r w:rsidRPr="00070942">
        <w:tab/>
        <w:t>opfordrer Kommissionen til at undersøge, hvordan inflationen påvirker konkurrencen ved at skabe incitamenter for virksomhederne til at samarbejde med konkurrenterne om at koordinere priserne</w:t>
      </w:r>
      <w:r w:rsidRPr="00070942">
        <w:rPr>
          <w:rStyle w:val="FootnoteReference"/>
        </w:rPr>
        <w:footnoteReference w:id="20"/>
      </w:r>
      <w:r w:rsidRPr="00070942">
        <w:t xml:space="preserve"> samt konsekvenserne for markederne og forbrugernes velfærd; fremhæver behovet for at forbedre dataene om overskud for effektivt at håndtere potentielle konsekvenser, da undersøgelser fra Den Europæiske Centralbank og Den Internationale Valutafond tyder på, at virksomhedernes overskud har været vigtige midlertidige drivkræfter for inflationen; opfordrer Kommissionen til sammen med de nationale konkurrencemyndigheder nøje at overvåge konsekvenserne af konkurrencebegrænsende adfærd og dens rolle i inflationsudviklingen; gentager, at Kommissionen skal gøre brug af alle tilgængelige værktøjer i konkurrenceretten for at afhjælpe leveomkostningskrisen;</w:t>
      </w:r>
    </w:p>
    <w:p w:rsidR="008C3800" w:rsidRPr="00070942" w:rsidRDefault="008C3800" w:rsidP="008C3800">
      <w:pPr>
        <w:pStyle w:val="NormalHanging12a"/>
      </w:pPr>
      <w:r w:rsidRPr="00070942">
        <w:t>7.</w:t>
      </w:r>
      <w:r w:rsidRPr="00070942">
        <w:tab/>
        <w:t>glæder sig over konkurrencemyndighedernes initiativer i flere medlemsstater</w:t>
      </w:r>
      <w:r w:rsidRPr="00070942">
        <w:rPr>
          <w:rStyle w:val="FootnoteReference"/>
        </w:rPr>
        <w:footnoteReference w:id="21"/>
      </w:r>
      <w:r w:rsidRPr="00070942">
        <w:t xml:space="preserve"> til at indføre nye markedsundersøgelsesbeføjelser, så længe de ikke fører til fragmentering af det indre marked; opfordrer Kommissionen til at indføre et lignende markedsundersøgelsesværktøj for at undgå håndhævelseshuller, hvor praksis forekommer på tværs af nationale grænser inden for EU, og til at vedtage sektordækkende </w:t>
      </w:r>
      <w:proofErr w:type="spellStart"/>
      <w:r w:rsidRPr="00070942">
        <w:t>retsmidler</w:t>
      </w:r>
      <w:proofErr w:type="spellEnd"/>
      <w:r w:rsidRPr="00070942">
        <w:t xml:space="preserve">, når det er nødvendigt for effektivt at imødegå </w:t>
      </w:r>
      <w:r w:rsidRPr="00070942">
        <w:lastRenderedPageBreak/>
        <w:t>konkurrencebegrænsende adfærd; minder om Kommissionens initiativ vedrørende et "nyt konkurrenceværktøj", som havde til formål at udfylde huller mellem EU's konkurrenceregler og værktøjer til brug ved indgreb til afhjælpning af strukturelle konkurrenceproblemer på tværs af markeder; bemærker, at Kommissionen med det nye konkurrenceværktøj ville kunne undersøge konkurrencespørgsmål på tværs af hele sektorer; opfordrer Kommissionen til at genoverveje det "nye konkurrenceværktøj";</w:t>
      </w:r>
    </w:p>
    <w:p w:rsidR="008C3800" w:rsidRPr="00070942" w:rsidRDefault="008C3800" w:rsidP="008C3800">
      <w:pPr>
        <w:pStyle w:val="NormalHanging12a"/>
      </w:pPr>
      <w:r w:rsidRPr="00070942">
        <w:t>8.</w:t>
      </w:r>
      <w:r w:rsidRPr="00070942">
        <w:tab/>
        <w:t xml:space="preserve">understreger betydningen af de vigtige projekter af fælleseuropæisk interesse for finansieringen af store tværnationale projekter og opfyldelsen af EU's strategiske prioriteter; noterer sig de specifikke kriterier for vigtige projekter af fælleseuropæisk interesse i forbindelse med analysen af, hvorvidt statsstøtte er forenelig med det indre marked; beklager, at de langvarige og komplekse procedurer, der er nødvendige, ofte er for besværlige for </w:t>
      </w:r>
      <w:proofErr w:type="spellStart"/>
      <w:r w:rsidRPr="00070942">
        <w:t>SMV'er</w:t>
      </w:r>
      <w:proofErr w:type="spellEnd"/>
      <w:r w:rsidRPr="00070942">
        <w:t>; opfordrer Kommissionen og medlemsstaterne til at sikre, at alle meddelelser er afsluttet senest inden for seks måneder; understreger, at vigtige projekter af fælleseuropæisk interesse bør have en reel europæisk merværdi;</w:t>
      </w:r>
    </w:p>
    <w:p w:rsidR="008C3800" w:rsidRPr="00070942" w:rsidRDefault="008C3800" w:rsidP="008C3800">
      <w:pPr>
        <w:pStyle w:val="NormalHanging12a"/>
      </w:pPr>
      <w:r w:rsidRPr="00070942">
        <w:t>9.</w:t>
      </w:r>
      <w:r w:rsidRPr="00070942">
        <w:tab/>
        <w:t>opfordrer Kommissionen til at vurdere, hvordan EU's konkurrenceprincipper har påvirket leveringen af tjenesteydelser af almen økonomisk interesse, også i lyset af covid-19-krisen og de øgede leveomkostninger; opfordrer Kommissionen til at vurdere situationen med hensyn til sociale tjenesteydelser af almen interesse og en undtagelse for tjenesteydelser af almen økonomisk interesse med hensyn til prisoverkommelige boliger;</w:t>
      </w:r>
    </w:p>
    <w:p w:rsidR="008C3800" w:rsidRPr="00070942" w:rsidRDefault="008C3800" w:rsidP="008C3800">
      <w:pPr>
        <w:pStyle w:val="NormalHanging12a"/>
      </w:pPr>
      <w:r w:rsidRPr="00070942">
        <w:t>10.</w:t>
      </w:r>
      <w:r w:rsidRPr="00070942">
        <w:tab/>
        <w:t>glæder sig over Kommissionens "Retningslinjer for anvendelsen af EU's konkurrencelovgivning på kollektive aftaler", der præciserer, at EU's konkurrencelovgivning ikke forhindrer selvstændige erhvervsdrivende i at indgå kollektive forhandlinger; minder om, at selvstændige ofte har begrænset eller ingen adgang til kollektive forhandlinger, hvilket kan føre til usikre arbejdsvilkår;</w:t>
      </w:r>
    </w:p>
    <w:p w:rsidR="008C3800" w:rsidRPr="00070942" w:rsidRDefault="008C3800" w:rsidP="008C3800">
      <w:pPr>
        <w:pStyle w:val="NormalHanging12a"/>
      </w:pPr>
      <w:r w:rsidRPr="00070942">
        <w:t>11.</w:t>
      </w:r>
      <w:r w:rsidRPr="00070942">
        <w:tab/>
        <w:t>minder om den integrerede forbindelse mellem konkurrencepolitikken og det indre marked, som fremgår klart af selve teksten til artikel 101 og 102 i TEUF om EU's konkurrencepolitik; glæder sig over, at Kommissionen både i sit lovgivningsmæssige og politiske arbejde har anerkendt behovet for at integrere konkurrencepolitikken i de mål for det indre marked, der danner rammen for den;</w:t>
      </w:r>
    </w:p>
    <w:p w:rsidR="008C3800" w:rsidRPr="00070942" w:rsidRDefault="008C3800" w:rsidP="008C3800">
      <w:pPr>
        <w:pStyle w:val="NormalHanging12a"/>
      </w:pPr>
      <w:r w:rsidRPr="00070942">
        <w:t>12.</w:t>
      </w:r>
      <w:r w:rsidRPr="00070942">
        <w:tab/>
        <w:t xml:space="preserve">påpeger behovet for effektivt at imødegå markedsforvridninger og markedssvigt og øge konkurrencen ved at fjerne eksisterende uberettigede lovgivningsmæssige hindringer og reducere unødvendige administrative byrder for at lette nye konkurrenters adgang til markedet; </w:t>
      </w:r>
    </w:p>
    <w:p w:rsidR="008C3800" w:rsidRPr="00070942" w:rsidRDefault="008C3800" w:rsidP="008C3800">
      <w:pPr>
        <w:pStyle w:val="NormalHanging12a"/>
      </w:pPr>
      <w:r w:rsidRPr="00070942">
        <w:t>13.</w:t>
      </w:r>
      <w:r w:rsidRPr="00070942">
        <w:rPr>
          <w:b/>
        </w:rPr>
        <w:tab/>
      </w:r>
      <w:r w:rsidRPr="00070942">
        <w:t>understreger relevansen af Domstolens domme i sagerne C-555/21 (</w:t>
      </w:r>
      <w:proofErr w:type="spellStart"/>
      <w:r w:rsidRPr="00070942">
        <w:t>UniCredit</w:t>
      </w:r>
      <w:proofErr w:type="spellEnd"/>
      <w:r w:rsidRPr="00070942">
        <w:t xml:space="preserve"> Bank </w:t>
      </w:r>
      <w:proofErr w:type="spellStart"/>
      <w:r w:rsidRPr="00070942">
        <w:t>Austria</w:t>
      </w:r>
      <w:proofErr w:type="spellEnd"/>
      <w:r w:rsidRPr="00070942">
        <w:t>) og C-383/18 (</w:t>
      </w:r>
      <w:proofErr w:type="spellStart"/>
      <w:r w:rsidRPr="00070942">
        <w:t>Lexitor</w:t>
      </w:r>
      <w:proofErr w:type="spellEnd"/>
      <w:r w:rsidRPr="00070942">
        <w:t xml:space="preserve"> </w:t>
      </w:r>
      <w:proofErr w:type="spellStart"/>
      <w:r w:rsidRPr="00070942">
        <w:t>sp</w:t>
      </w:r>
      <w:proofErr w:type="spellEnd"/>
      <w:r w:rsidRPr="00070942">
        <w:t xml:space="preserve">. z </w:t>
      </w:r>
      <w:proofErr w:type="spellStart"/>
      <w:r w:rsidRPr="00070942">
        <w:t>o.o</w:t>
      </w:r>
      <w:proofErr w:type="spellEnd"/>
      <w:r w:rsidRPr="00070942">
        <w:t>.) med hensyn til at sikre lige vilkår på forbrugerkreditmarkedet og undgå konkurrenceforvridning;</w:t>
      </w:r>
    </w:p>
    <w:p w:rsidR="008C3800" w:rsidRPr="00070942" w:rsidRDefault="008C3800" w:rsidP="008C3800">
      <w:pPr>
        <w:pStyle w:val="NormalHanging12a"/>
        <w:rPr>
          <w:b/>
          <w:i/>
        </w:rPr>
      </w:pPr>
      <w:r w:rsidRPr="00070942">
        <w:rPr>
          <w:b/>
          <w:i/>
        </w:rPr>
        <w:t>Håndhævelse af konkurrencepolitikken og globale tendenser</w:t>
      </w:r>
    </w:p>
    <w:p w:rsidR="008C3800" w:rsidRPr="00070942" w:rsidRDefault="008C3800" w:rsidP="008C3800">
      <w:pPr>
        <w:pStyle w:val="NormalHanging12a"/>
      </w:pPr>
      <w:r w:rsidRPr="00070942">
        <w:t>14.</w:t>
      </w:r>
      <w:r w:rsidRPr="00070942">
        <w:tab/>
        <w:t xml:space="preserve">glæder sig over Kommissionens meddelelse om, at den vil iværksætte en </w:t>
      </w:r>
      <w:proofErr w:type="spellStart"/>
      <w:r w:rsidRPr="00070942">
        <w:t>antisubsidieundersøgelse</w:t>
      </w:r>
      <w:proofErr w:type="spellEnd"/>
      <w:r w:rsidRPr="00070942">
        <w:t xml:space="preserve"> af kinesiske elektriske køretøjer i henhold til forordning (EU) 2016/1037 om beskyttelse mod subsidieret indførsel fra lande, der ikke er medlemmer </w:t>
      </w:r>
      <w:r w:rsidRPr="00070942">
        <w:lastRenderedPageBreak/>
        <w:t>af Den Europæiske Union</w:t>
      </w:r>
      <w:r w:rsidRPr="00070942">
        <w:rPr>
          <w:rStyle w:val="FootnoteReference"/>
        </w:rPr>
        <w:footnoteReference w:id="22"/>
      </w:r>
      <w:r w:rsidRPr="00070942">
        <w:t>; understreger betydningen af en effektiv gennemførelse af EU-instrumenter om udenlandske subsidier, herunder forordning (EU) 2022/2560 om udenlandske subsidier, for at sikre afbødning af potentielt forvridende virkninger på det indre marked; henleder opmærksomheden på manglen på ressourcer med kun otte fuldtidsbeskæftigede i Kommissionen;</w:t>
      </w:r>
    </w:p>
    <w:p w:rsidR="008C3800" w:rsidRPr="00070942" w:rsidRDefault="008C3800" w:rsidP="008C3800">
      <w:pPr>
        <w:pStyle w:val="NormalHanging12a"/>
      </w:pPr>
      <w:r w:rsidRPr="00070942">
        <w:t>15.</w:t>
      </w:r>
      <w:r w:rsidRPr="00070942">
        <w:tab/>
        <w:t>opfordrer Kommissionen til at modernisere reglerne for offentlige indkøb for at håndtere nye prioriteter og operationelle udfordringer med henblik på at bidrage til at fremme en grønnere industri og europæiske standarder;</w:t>
      </w:r>
    </w:p>
    <w:p w:rsidR="008C3800" w:rsidRPr="00070942" w:rsidRDefault="008C3800" w:rsidP="008C3800">
      <w:pPr>
        <w:pStyle w:val="NormalHanging12a"/>
      </w:pPr>
      <w:r w:rsidRPr="00070942">
        <w:t>16.</w:t>
      </w:r>
      <w:r w:rsidRPr="00070942">
        <w:tab/>
        <w:t>understreger, at EU's konkurrenceregler bør bidrage til at nå EU's mål som fastsat i artikel 3 i TEU; understreger, at en "rimelig pris" på et produkt ikke er den lavest mulige pris for forbrugeren, men derimod en pris, der gør det muligt at give alle parter i forsyningskæden en rimelig betaling, uden at det indebærer negative eksterne virkninger; understreger, at håndhævelsen af konkurrencepolitikken til gavn for forbrugerne ikke kun bør omfatte overvejelser om prisniveauer, men også om bæredygtighed og konsekvenser for borgernes privatliv;</w:t>
      </w:r>
    </w:p>
    <w:p w:rsidR="008C3800" w:rsidRPr="00070942" w:rsidRDefault="008C3800" w:rsidP="008C3800">
      <w:pPr>
        <w:pStyle w:val="NormalHanging12a"/>
      </w:pPr>
      <w:r w:rsidRPr="00070942">
        <w:t>17.</w:t>
      </w:r>
      <w:r w:rsidRPr="00070942">
        <w:tab/>
        <w:t xml:space="preserve">understreger den centrale rolle, som Det Europæiske Konkurrencenetværk spiller som et forum, der fremmer samarbejde blandt europæiske konkurrencemyndigheder; opfordrer Kommissionen til at stræbe efter fortsat konstruktiv dialog og samarbejde på internationalt plan; understreger behovet for at øge samarbejdet mellem </w:t>
      </w:r>
      <w:proofErr w:type="spellStart"/>
      <w:r w:rsidRPr="00070942">
        <w:t>antitrustmyndigheder</w:t>
      </w:r>
      <w:proofErr w:type="spellEnd"/>
      <w:r w:rsidRPr="00070942">
        <w:t xml:space="preserve"> og andre sektorspecifikke tilsynsmyndigheder, såsom dem, der beskæftiger sig med databeskyttelse, for både at føre tilsyn med virksomheders misbrug af data og forhindre virksomheder i at anvende forbrugerdata til at opnå en urimelig konkurrencefordel; påskønner den relevante rolle, som nationale konkurrencemyndigheder spiller med hensyn til at håndhæve bestemmelserne i forordningen om digitale markeder, og sætter pris på de nationale lovgivningsinitiativer, der gennemføres for at bekæmpe konkurrenceforvridende adfærd hos store onlineplatforme i den digitale sektor; understreger i denne henseende betydningen af samordnede og ensartede foranstaltninger, der ikke underminerer anvendelsen af forordningen om digitale markeder på den ene side og nationale konkurrenceregler i den digitale sektor på den anden side som foreskrevet i artikel 1, stk. 6, i forordningen om digitale markeder;</w:t>
      </w:r>
    </w:p>
    <w:p w:rsidR="008C3800" w:rsidRPr="00070942" w:rsidRDefault="008C3800" w:rsidP="008C3800">
      <w:pPr>
        <w:pStyle w:val="NormalHanging12a"/>
      </w:pPr>
      <w:r w:rsidRPr="00070942">
        <w:t>18.</w:t>
      </w:r>
      <w:r w:rsidRPr="00070942">
        <w:tab/>
        <w:t>påpeger, at i en globaliseret verden er internationalt samarbejde afgørende for at sikre effektiv håndhævelse af konkurrencereglerne; understreger, at særlige samarbejdsaftaler med lande uden for EU vedrørende konkurrencepolitik kan bidrage meningsfuldt til politikkens effektivitet; opfordrer Kommissionen til at udvikle konkurrencepolitikkens indflydelse i verden, bl.a. ved at styrke samarbejdet med landene uden for EU via andengenerationssamarbejdsaftaler, der muliggør en mere effektiv informationsudveksling mellem konkurrencemyndighederne;</w:t>
      </w:r>
    </w:p>
    <w:p w:rsidR="008C3800" w:rsidRPr="00070942" w:rsidRDefault="008C3800" w:rsidP="008C3800">
      <w:pPr>
        <w:pStyle w:val="NormalHanging12a"/>
      </w:pPr>
      <w:r w:rsidRPr="00070942">
        <w:t>19.</w:t>
      </w:r>
      <w:r w:rsidRPr="00070942">
        <w:tab/>
        <w:t xml:space="preserve">opfordrer Kommissionen til i højere grad at gøre brug af supplerende dokumentationsværktøjer, der sikrer bl.a. viden om adfærd og finansielle analyser, og anvende forskere, som beskæftiger sig med data, computervidenskab og kunstig </w:t>
      </w:r>
      <w:r w:rsidRPr="00070942">
        <w:lastRenderedPageBreak/>
        <w:t>intelligens, og adfærdsøkonomer i håndhævelsen af konkurrencelovgivningen;</w:t>
      </w:r>
    </w:p>
    <w:p w:rsidR="008C3800" w:rsidRPr="00070942" w:rsidRDefault="008C3800" w:rsidP="008C3800">
      <w:pPr>
        <w:pStyle w:val="NormalHanging12a"/>
      </w:pPr>
      <w:r w:rsidRPr="00070942">
        <w:t>20.</w:t>
      </w:r>
      <w:r w:rsidRPr="00070942">
        <w:tab/>
        <w:t>bemærker den fortsatte høje grad af markedskoncentration for kreditvurderingsbureauer, da de tre største kreditvurderingsbureauer har en markedsandel på over 90 %</w:t>
      </w:r>
      <w:r w:rsidRPr="00070942">
        <w:rPr>
          <w:rStyle w:val="FootnoteReference"/>
        </w:rPr>
        <w:footnoteReference w:id="23"/>
      </w:r>
      <w:r w:rsidRPr="00070942">
        <w:t>; gentager behovet for at øge konkurrencen på dette marked for at sikre upartiskhed og tillid;</w:t>
      </w:r>
    </w:p>
    <w:p w:rsidR="008C3800" w:rsidRPr="00070942" w:rsidRDefault="008C3800" w:rsidP="008C3800">
      <w:pPr>
        <w:pStyle w:val="NormalHanging12a"/>
      </w:pPr>
      <w:r w:rsidRPr="00070942">
        <w:t>21.</w:t>
      </w:r>
      <w:r w:rsidRPr="00070942">
        <w:tab/>
        <w:t>beklager Ernst &amp; Youngs beslutning om at stoppe adskillelsesprocessen for sine revisions- og rådgivningsvirksomheder; noterer sig, at kombinationen af revisions- og rådgivningsvirksomhed kan føre til interessekonflikter og øge hvert af de fire store selskabers markedsdominans; opfordrer Kommissionen til at undersøge kombinationen af revisions- og rådgivningsvirksomhed samt om muligt fremføre foranstaltninger til at undgå interessekonflikter og markedsdominans;</w:t>
      </w:r>
    </w:p>
    <w:p w:rsidR="008C3800" w:rsidRPr="00070942" w:rsidRDefault="008C3800" w:rsidP="008C3800">
      <w:pPr>
        <w:pStyle w:val="NormalHanging12a"/>
        <w:rPr>
          <w:b/>
          <w:i/>
        </w:rPr>
      </w:pPr>
      <w:r w:rsidRPr="00070942">
        <w:rPr>
          <w:b/>
          <w:i/>
        </w:rPr>
        <w:t>Fusionskontrol</w:t>
      </w:r>
    </w:p>
    <w:p w:rsidR="008C3800" w:rsidRPr="00070942" w:rsidRDefault="008C3800" w:rsidP="008C3800">
      <w:pPr>
        <w:pStyle w:val="NormalHanging12a"/>
      </w:pPr>
      <w:r w:rsidRPr="00070942">
        <w:t>22.</w:t>
      </w:r>
      <w:r w:rsidRPr="00070942">
        <w:tab/>
        <w:t>bemærker, at dominerende aktørers erhvervelse af nystartede virksomheder kan medføre svind i innovationen og i sidste ende i konkurrencen; understreger nødvendigheden af, at Kommissionen holder et vågent øje med fænomenet "dræberopkøb" i den digitale sektor, som skal indberettes i henhold til forordningen om digitale markeder, og træffer afgørende foranstaltninger i henhold til artikel 22 i EF-fusionsforordningen, når det er relevant;</w:t>
      </w:r>
    </w:p>
    <w:p w:rsidR="008C3800" w:rsidRPr="00070942" w:rsidRDefault="008C3800" w:rsidP="008C3800">
      <w:pPr>
        <w:pStyle w:val="NormalHanging12a"/>
      </w:pPr>
      <w:r w:rsidRPr="00070942">
        <w:t>23.</w:t>
      </w:r>
      <w:r w:rsidRPr="00070942">
        <w:tab/>
        <w:t>glæder sig over Kommissionens nylige afgørelser om fusionssager</w:t>
      </w:r>
      <w:r w:rsidRPr="00070942">
        <w:rPr>
          <w:rStyle w:val="FootnoteReference"/>
        </w:rPr>
        <w:footnoteReference w:id="24"/>
      </w:r>
      <w:r w:rsidRPr="00070942">
        <w:t xml:space="preserve">; understreger betydningen af strukturelle foranstaltninger i afgørelser om fusioner; bemærker, at de største og mest indflydelsesrige onlineplatforme påvirker den daglige drift af titusinder af </w:t>
      </w:r>
      <w:proofErr w:type="spellStart"/>
      <w:r w:rsidRPr="00070942">
        <w:t>SMV'er</w:t>
      </w:r>
      <w:proofErr w:type="spellEnd"/>
      <w:r w:rsidRPr="00070942">
        <w:t>; understreger, at en overtagelse ikke kan føre til en styrkelse af en virksomheds dominerende stilling på hotelmarkedet ved at give den mulighed for at krydssælge sine forskellige tjenester;</w:t>
      </w:r>
    </w:p>
    <w:p w:rsidR="008C3800" w:rsidRPr="00070942" w:rsidRDefault="008C3800" w:rsidP="008C3800">
      <w:pPr>
        <w:pStyle w:val="NormalHanging12a"/>
      </w:pPr>
      <w:r w:rsidRPr="00070942">
        <w:t>24.</w:t>
      </w:r>
      <w:r w:rsidRPr="00070942">
        <w:tab/>
        <w:t>glæder sig over Kommissionens initiativ til at revidere sin meddelelse om definitionen af "relevant marked" og ser frem til resultaterne af den offentlige høring; understreger behovet for at anlægge en mere dynamisk tilgang, som rækker ud over den traditionelle, navnlig for så vidt angår nye fremspirende markeder som f.eks. i den digitale sektor, og tage hensyn til en mere langsigtet vision, der omfatter den globale dimension og den potentielle fremtidige konkurrence; beklager dybt, at Kommissionen tidligere i en række tilfælde anlagde et for snævert perspektiv ved afgrænsningen af det relevante marked og dermed har frataget europæiske virksomheder muligheden for at konkurrere effektivt i en globaliseret verden; bakker op om, at Kommissionen i højere grad tager hensyn til den potentielle skade for konkurrencen, når den vurderer fusioner, hvor udvidelse til tilstødende markeder vil medføre en yderligere styrkelse af markedsdominansen på det overtagende selskabs centrale marked;</w:t>
      </w:r>
    </w:p>
    <w:p w:rsidR="008C3800" w:rsidRPr="00070942" w:rsidRDefault="008C3800" w:rsidP="008C3800">
      <w:pPr>
        <w:pStyle w:val="NormalHanging12a"/>
      </w:pPr>
      <w:r w:rsidRPr="00070942">
        <w:t>25.</w:t>
      </w:r>
      <w:r w:rsidRPr="00070942">
        <w:tab/>
        <w:t>er bekymret over den omfattende koncentration i visse dele af fødevareforsyningskæden til skade for både forbrugerne, landbrugerne, miljøet og biodiversiteten;</w:t>
      </w:r>
    </w:p>
    <w:p w:rsidR="008C3800" w:rsidRPr="00070942" w:rsidRDefault="008C3800" w:rsidP="008C3800">
      <w:pPr>
        <w:pStyle w:val="NormalHanging12a"/>
      </w:pPr>
      <w:r w:rsidRPr="00070942">
        <w:t>26.</w:t>
      </w:r>
      <w:r w:rsidRPr="00070942">
        <w:tab/>
        <w:t xml:space="preserve">minder om, at medlemsstaterne i henhold til EF-fusionsforordningen kan træffe passende foranstaltninger til at beskytte spørgsmål af offentlig interesse, såsom </w:t>
      </w:r>
      <w:r w:rsidRPr="00070942">
        <w:lastRenderedPageBreak/>
        <w:t>klimabeskyttelse, bæredygtighed og retsstatsprincippet, og anmoder om, at Kommissionen får samme mulighed, når den undersøger fusionens indvirkning på det indre marked;</w:t>
      </w:r>
    </w:p>
    <w:p w:rsidR="008C3800" w:rsidRPr="00070942" w:rsidRDefault="008C3800" w:rsidP="008C3800">
      <w:pPr>
        <w:pStyle w:val="NormalHanging12a"/>
        <w:rPr>
          <w:b/>
          <w:i/>
        </w:rPr>
      </w:pPr>
      <w:r w:rsidRPr="00070942">
        <w:rPr>
          <w:b/>
          <w:i/>
        </w:rPr>
        <w:t>Antitrust og karteller</w:t>
      </w:r>
    </w:p>
    <w:p w:rsidR="008C3800" w:rsidRPr="00070942" w:rsidRDefault="008C3800" w:rsidP="008C3800">
      <w:pPr>
        <w:pStyle w:val="NormalHanging12a"/>
      </w:pPr>
      <w:r w:rsidRPr="00070942">
        <w:t>27.</w:t>
      </w:r>
      <w:r w:rsidRPr="00070942">
        <w:tab/>
        <w:t>opfordrer Kommissionen til at gøre bedre brug af midlertidige foranstaltninger for at standse enhver praksis, der vil være til alvorlig skade for konkurrencen, navnlig i forbindelse med dynamiske og hurtigt voksende markeder såsom digitale markeder;</w:t>
      </w:r>
    </w:p>
    <w:p w:rsidR="008C3800" w:rsidRPr="00070942" w:rsidRDefault="008C3800" w:rsidP="008C3800">
      <w:pPr>
        <w:pStyle w:val="NormalHanging12a"/>
      </w:pPr>
      <w:r w:rsidRPr="00070942">
        <w:t>28.</w:t>
      </w:r>
      <w:r w:rsidRPr="00070942">
        <w:tab/>
        <w:t>glæder sig over den nye tilgang i de seneste kartelsager, hvor Kommissionen for første gang og på visse betingelser indfører strukturelle foranstaltninger for at standse konkurrencebegrænsende adfærd, navnlig når den pågældende konkurrencebegrænsende praksis er blevet gentaget i andre dele af markedet af samme virksomhed i årenes løb; opfordrer i denne forbindelse Kommissionen til at fortsætte i denne retning med henblik på en effektiv efterfølgende håndhævelse af kartel- og monopolreglerne;</w:t>
      </w:r>
    </w:p>
    <w:p w:rsidR="008C3800" w:rsidRPr="00070942" w:rsidRDefault="008C3800" w:rsidP="008C3800">
      <w:pPr>
        <w:pStyle w:val="NormalHanging12a"/>
      </w:pPr>
      <w:r w:rsidRPr="00070942">
        <w:t>29.</w:t>
      </w:r>
      <w:r w:rsidRPr="00070942">
        <w:tab/>
        <w:t xml:space="preserve">opfordrer Kommissionen til at fremskynde kartelprocedurerne, fastsætte passende tidsfrister for procedurerne og sikre en effektiv opfølgning på afgørelser for at undgå langvarige procedurer, såsom i tilfældet med </w:t>
      </w:r>
      <w:proofErr w:type="spellStart"/>
      <w:r w:rsidRPr="00070942">
        <w:t>Spotify</w:t>
      </w:r>
      <w:proofErr w:type="spellEnd"/>
      <w:r w:rsidRPr="00070942">
        <w:t xml:space="preserve">, der indgav en klage over Apple i 2019, og hvor der på trods af, at Kommissionen har udstedt en klagepunktsmeddelelse, ikke er truffet konkrete foranstaltninger til at tackle Apples begrænsninger, hvilket forhindrer </w:t>
      </w:r>
      <w:proofErr w:type="spellStart"/>
      <w:r w:rsidRPr="00070942">
        <w:t>appudviklere</w:t>
      </w:r>
      <w:proofErr w:type="spellEnd"/>
      <w:r w:rsidRPr="00070942">
        <w:t xml:space="preserve"> i frit at kommunikere med deres egne brugere;</w:t>
      </w:r>
    </w:p>
    <w:p w:rsidR="008C3800" w:rsidRPr="00070942" w:rsidRDefault="008C3800" w:rsidP="008C3800">
      <w:pPr>
        <w:pStyle w:val="NormalHanging12a"/>
      </w:pPr>
      <w:r w:rsidRPr="00070942">
        <w:t>30.</w:t>
      </w:r>
      <w:r w:rsidRPr="00070942">
        <w:tab/>
        <w:t>glæder sig over lanceringen af initiativet om retningslinjerne for ekskluderende misbrug af dominans, som vil blive udarbejdet i 2024 og vedtaget i 2025, og Kommissionens tilsagn om en energisk, effektiv og hurtig anvendelse af artikel 102 i TEUF på området ekskluderende misbrug; opfordrer Kommissionen til konkret at bekræfte den effektbaserede håndhævelse af kartel- og monopolreglerne og navnlig relevansen af den økonomiske dokumentation i relevante tilfælde; opfordrer til, at der tages hensyn til forbrugernes sårbarhed ved vurderingen af udnyttende misbrug såsom urimelige priser og urimelige vilkår;</w:t>
      </w:r>
    </w:p>
    <w:p w:rsidR="008C3800" w:rsidRPr="00070942" w:rsidRDefault="008C3800" w:rsidP="008C3800">
      <w:pPr>
        <w:pStyle w:val="NormalHanging12a"/>
      </w:pPr>
      <w:r w:rsidRPr="00070942">
        <w:t>31.</w:t>
      </w:r>
      <w:r w:rsidRPr="00070942">
        <w:tab/>
        <w:t>bemærker åbningen af en formel undersøgelse af mulig konkurrencebegrænsende praksis fra en gatekeeper ved at binde eller samle en kommunikations- og samarbejdsplatform til sin egen dominerende og populære software</w:t>
      </w:r>
      <w:r w:rsidRPr="00070942">
        <w:rPr>
          <w:rStyle w:val="FootnoteReference"/>
        </w:rPr>
        <w:footnoteReference w:id="25"/>
      </w:r>
      <w:r w:rsidRPr="00070942">
        <w:t xml:space="preserve">; opfordrer Kommissionen til nøje at vurdere de koncessioner, som udbydes ensidigt af gatekeeperen, med de involverede virksomheder, for at sikre, at de imødekommer markedsaktørernes bekymringer med hensyn til nye og eksisterende brugere samt spørgsmål om </w:t>
      </w:r>
      <w:proofErr w:type="spellStart"/>
      <w:r w:rsidRPr="00070942">
        <w:t>interoperabilitet</w:t>
      </w:r>
      <w:proofErr w:type="spellEnd"/>
      <w:r w:rsidRPr="00070942">
        <w:t xml:space="preserve"> og prissætning;</w:t>
      </w:r>
    </w:p>
    <w:p w:rsidR="008C3800" w:rsidRPr="00070942" w:rsidRDefault="008C3800" w:rsidP="008C3800">
      <w:pPr>
        <w:pStyle w:val="NormalHanging12a"/>
      </w:pPr>
      <w:r w:rsidRPr="00070942">
        <w:t>32.</w:t>
      </w:r>
      <w:r w:rsidRPr="00070942">
        <w:tab/>
        <w:t xml:space="preserve">insisterer på effektive </w:t>
      </w:r>
      <w:proofErr w:type="spellStart"/>
      <w:r w:rsidRPr="00070942">
        <w:t>retsmidler</w:t>
      </w:r>
      <w:proofErr w:type="spellEnd"/>
      <w:r w:rsidRPr="00070942">
        <w:t xml:space="preserve">, der kan kræve større koordinering mellem de håndhævende myndigheder og yderligere dialog med tredjeparter, samt passende håndhævelse; minder om, at virksomheder, der er blevet udpeget som gatekeepere, har været omfattet af tidligere kartelafgørelser, hvilket ikke har ført til effektive adfærdsændringer, navnlig med hensyn til selvbegunstigelse på digitale markeder; opfordrer Kommissionen til at udnytte strukturelle foranstaltninger bedre som en sidste </w:t>
      </w:r>
      <w:r w:rsidRPr="00070942">
        <w:lastRenderedPageBreak/>
        <w:t>udvej; gentager sin opfordring til Kommissionen om at fjerne adfærdsmæssige foranstaltningers forrang i EU-retten;</w:t>
      </w:r>
    </w:p>
    <w:p w:rsidR="008C3800" w:rsidRPr="00070942" w:rsidRDefault="008C3800" w:rsidP="008C3800">
      <w:pPr>
        <w:pStyle w:val="NormalHanging12a"/>
      </w:pPr>
      <w:r w:rsidRPr="00070942">
        <w:t>33.</w:t>
      </w:r>
      <w:r w:rsidRPr="00070942">
        <w:tab/>
        <w:t xml:space="preserve">gentager sin opfordring til Kommissionen om at gøre noget ved den konkurrencebegrænsende virkning af territoriale forsyningsbegrænsninger med henblik på at sikre et fuldt fungerende indre marked og realisere dets potentielle fordele for forbrugerne; </w:t>
      </w:r>
    </w:p>
    <w:p w:rsidR="008C3800" w:rsidRPr="00070942" w:rsidRDefault="008C3800" w:rsidP="008C3800">
      <w:pPr>
        <w:pStyle w:val="NormalHanging12a"/>
      </w:pPr>
      <w:r w:rsidRPr="00070942">
        <w:t xml:space="preserve">34. </w:t>
      </w:r>
      <w:r w:rsidRPr="00070942">
        <w:tab/>
        <w:t xml:space="preserve">gentager sin opfordring til Kommissionen om fortsat aktivt at overvåge og fjerne uberettiget geoblokering og andre restriktioner for grænseoverskridende onlinesalg med en tilgang, der er til gavn for forbrugerne, og som giver forbrugerne adgang til et større udvalg af produkter og tjenester i hele EU; </w:t>
      </w:r>
    </w:p>
    <w:p w:rsidR="008C3800" w:rsidRPr="00070942" w:rsidRDefault="008C3800" w:rsidP="008C3800">
      <w:pPr>
        <w:pStyle w:val="NormalHanging12a"/>
        <w:rPr>
          <w:b/>
          <w:i/>
        </w:rPr>
      </w:pPr>
      <w:r w:rsidRPr="00070942">
        <w:rPr>
          <w:b/>
          <w:i/>
        </w:rPr>
        <w:t>Konkurrencepolitik i den digitale tidsalder</w:t>
      </w:r>
    </w:p>
    <w:p w:rsidR="008C3800" w:rsidRPr="00070942" w:rsidRDefault="008C3800" w:rsidP="008C3800">
      <w:pPr>
        <w:pStyle w:val="NormalHanging12a"/>
      </w:pPr>
      <w:r w:rsidRPr="00070942">
        <w:t>35.</w:t>
      </w:r>
      <w:r w:rsidRPr="00070942">
        <w:tab/>
        <w:t xml:space="preserve">glæder sig over udpegelsen af seks gatekeepere – </w:t>
      </w:r>
      <w:proofErr w:type="spellStart"/>
      <w:r w:rsidRPr="00070942">
        <w:t>Alphabet</w:t>
      </w:r>
      <w:proofErr w:type="spellEnd"/>
      <w:r w:rsidRPr="00070942">
        <w:t xml:space="preserve">, Amazon, Apple, </w:t>
      </w:r>
      <w:proofErr w:type="spellStart"/>
      <w:r w:rsidRPr="00070942">
        <w:t>ByteDance</w:t>
      </w:r>
      <w:proofErr w:type="spellEnd"/>
      <w:r w:rsidRPr="00070942">
        <w:t>, Meta og Microsoft</w:t>
      </w:r>
      <w:r w:rsidRPr="00070942">
        <w:rPr>
          <w:rStyle w:val="FootnoteReference"/>
        </w:rPr>
        <w:footnoteReference w:id="26"/>
      </w:r>
      <w:r w:rsidRPr="00070942">
        <w:t xml:space="preserve"> – for 22 centrale platformstjenester i henhold til retsakten om digitale markeder, de fire markedsundersøgelser med henblik på afkræftelse samt den første markedsundersøgelse i henhold til artikel 3, stk. 8, i retsakten om digitale markeder; opfordrer Kommissionen til straks at vedtage delegerede retsakter for at udvide bestemmelserne om anvendelse eller udspecificere bestemmelserne om gennemførelse af forpligtelserne i artikel 5, 6, 7 og 12 i forordningen om digitale markeder; opfordrer Kommissionen til før den 6. marts 2024 omhyggeligt at vurdere, om gatekeepere efterlever forpligtelserne i forordningen om digitale markeder, og til at indhente feedback fra tredjeparter om, hvorvidt de løsninger til sikring af overholdelse, som gatekeepere tilbyder, fører til mere retfærdige og konkurrenceprægede digitale markeder; opfordrer Kommissionen til at sikre, at gatekeepernes foranstaltninger med fokus på sikkerhed og integritet på deres platforme, som kan påvirke overholdelsen af forordningen om digitale markeder, kontrolleres af uafhængige tredjeparter og ikke alene er baseret på gatekeepernes egen vurdering;</w:t>
      </w:r>
    </w:p>
    <w:p w:rsidR="008C3800" w:rsidRPr="00070942" w:rsidRDefault="008C3800" w:rsidP="008C3800">
      <w:pPr>
        <w:pStyle w:val="NormalHanging12a"/>
      </w:pPr>
      <w:r w:rsidRPr="00070942">
        <w:t>36.</w:t>
      </w:r>
      <w:r w:rsidRPr="00070942">
        <w:tab/>
        <w:t>påpeger, at det i Kommissionens undersøgelse, "</w:t>
      </w:r>
      <w:proofErr w:type="spellStart"/>
      <w:r w:rsidRPr="00070942">
        <w:t>Study</w:t>
      </w:r>
      <w:proofErr w:type="spellEnd"/>
      <w:r w:rsidRPr="00070942">
        <w:t xml:space="preserve"> on the </w:t>
      </w:r>
      <w:proofErr w:type="spellStart"/>
      <w:r w:rsidRPr="00070942">
        <w:t>impact</w:t>
      </w:r>
      <w:proofErr w:type="spellEnd"/>
      <w:r w:rsidRPr="00070942">
        <w:t xml:space="preserve"> of recent </w:t>
      </w:r>
      <w:proofErr w:type="spellStart"/>
      <w:r w:rsidRPr="00070942">
        <w:t>developments</w:t>
      </w:r>
      <w:proofErr w:type="spellEnd"/>
      <w:r w:rsidRPr="00070942">
        <w:t xml:space="preserve"> in digital </w:t>
      </w:r>
      <w:proofErr w:type="spellStart"/>
      <w:r w:rsidRPr="00070942">
        <w:t>advertising</w:t>
      </w:r>
      <w:proofErr w:type="spellEnd"/>
      <w:r w:rsidRPr="00070942">
        <w:t xml:space="preserve"> on </w:t>
      </w:r>
      <w:proofErr w:type="spellStart"/>
      <w:r w:rsidRPr="00070942">
        <w:t>privacy</w:t>
      </w:r>
      <w:proofErr w:type="spellEnd"/>
      <w:r w:rsidRPr="00070942">
        <w:t xml:space="preserve">, </w:t>
      </w:r>
      <w:proofErr w:type="spellStart"/>
      <w:r w:rsidRPr="00070942">
        <w:t>publishers</w:t>
      </w:r>
      <w:proofErr w:type="spellEnd"/>
      <w:r w:rsidRPr="00070942">
        <w:t xml:space="preserve"> and </w:t>
      </w:r>
      <w:proofErr w:type="spellStart"/>
      <w:r w:rsidRPr="00070942">
        <w:t>advertisers</w:t>
      </w:r>
      <w:proofErr w:type="spellEnd"/>
      <w:r w:rsidRPr="00070942">
        <w:t>" (indvirkningen fra den seneste udvikling inden for digital annoncering på borgernes privatliv, udgivere og annoncører) konkluderes, at omfattende indsamling og behandling af personoplysninger til annonceringsformål og uigennemsigtigheden på markedet for digital annoncering kan være en drivkraft for annoncesvindel</w:t>
      </w:r>
      <w:r w:rsidRPr="00070942">
        <w:rPr>
          <w:rStyle w:val="FootnoteReference"/>
        </w:rPr>
        <w:footnoteReference w:id="27"/>
      </w:r>
      <w:r w:rsidRPr="00070942">
        <w:t xml:space="preserve">; opfordrer Kommissionen til i overensstemmelse med undersøgelsens henstillinger yderligere at analysere lovgivningsmæssige muligheder for fremtidige politiske indgreb, herunder indførelse af strukturelle </w:t>
      </w:r>
      <w:proofErr w:type="spellStart"/>
      <w:r w:rsidRPr="00070942">
        <w:t>retsmidler</w:t>
      </w:r>
      <w:proofErr w:type="spellEnd"/>
      <w:r w:rsidRPr="00070942">
        <w:t>, for at imødegå konkurrencebegrænsende adfærd ved at supplere forordningen om digitale markeder og forordningen om digitale tjenester</w:t>
      </w:r>
      <w:r w:rsidRPr="00070942">
        <w:rPr>
          <w:rStyle w:val="FootnoteReference"/>
        </w:rPr>
        <w:footnoteReference w:id="28"/>
      </w:r>
      <w:r w:rsidRPr="00070942">
        <w:t xml:space="preserve"> i denne henseende;</w:t>
      </w:r>
    </w:p>
    <w:p w:rsidR="008C3800" w:rsidRPr="00070942" w:rsidRDefault="008C3800" w:rsidP="008C3800">
      <w:pPr>
        <w:pStyle w:val="NormalHanging12a"/>
      </w:pPr>
      <w:r w:rsidRPr="00070942">
        <w:lastRenderedPageBreak/>
        <w:t>37.</w:t>
      </w:r>
      <w:r w:rsidRPr="00070942">
        <w:tab/>
        <w:t xml:space="preserve">bemærker markedsundersøgelserne af Microsofts </w:t>
      </w:r>
      <w:proofErr w:type="spellStart"/>
      <w:r w:rsidRPr="00070942">
        <w:t>Edge</w:t>
      </w:r>
      <w:proofErr w:type="spellEnd"/>
      <w:r w:rsidRPr="00070942">
        <w:t xml:space="preserve"> og Bing</w:t>
      </w:r>
      <w:r w:rsidRPr="00070942">
        <w:rPr>
          <w:rStyle w:val="FootnoteReference"/>
        </w:rPr>
        <w:footnoteReference w:id="29"/>
      </w:r>
      <w:r w:rsidRPr="00070942">
        <w:t xml:space="preserve"> og Apples </w:t>
      </w:r>
      <w:proofErr w:type="spellStart"/>
      <w:r w:rsidRPr="00070942">
        <w:t>iOS</w:t>
      </w:r>
      <w:proofErr w:type="spellEnd"/>
      <w:r w:rsidRPr="00070942">
        <w:t xml:space="preserve"> og </w:t>
      </w:r>
      <w:proofErr w:type="spellStart"/>
      <w:r w:rsidRPr="00070942">
        <w:t>iMessage</w:t>
      </w:r>
      <w:proofErr w:type="spellEnd"/>
      <w:r w:rsidRPr="00070942">
        <w:rPr>
          <w:rStyle w:val="FootnoteReference"/>
        </w:rPr>
        <w:footnoteReference w:id="30"/>
      </w:r>
      <w:r w:rsidRPr="00070942">
        <w:t xml:space="preserve"> for at vurdere deres rolle som gateways og deres befæstede positioner på markedet, i henhold til afgørelsen om at udpege Apple og Microsoft som gatekeepere i henhold til forordningen om digitale markeder; fremhæver, at </w:t>
      </w:r>
      <w:proofErr w:type="spellStart"/>
      <w:r w:rsidRPr="00070942">
        <w:t>iMessage</w:t>
      </w:r>
      <w:proofErr w:type="spellEnd"/>
      <w:r w:rsidRPr="00070942">
        <w:t xml:space="preserve"> som standard er medtaget på alle </w:t>
      </w:r>
      <w:proofErr w:type="spellStart"/>
      <w:r w:rsidRPr="00070942">
        <w:t>iOS</w:t>
      </w:r>
      <w:proofErr w:type="spellEnd"/>
      <w:r w:rsidRPr="00070942">
        <w:t xml:space="preserve">-enheder for mere end 144 millioner brugere; understreger betydningen af smartphones som et vigtigt personligt og professionelt redskab; fremhæver, at markedet i dag domineres af to operativsystemer med deres egne </w:t>
      </w:r>
      <w:proofErr w:type="spellStart"/>
      <w:r w:rsidRPr="00070942">
        <w:t>ikkeinteroperable</w:t>
      </w:r>
      <w:proofErr w:type="spellEnd"/>
      <w:r w:rsidRPr="00070942">
        <w:t xml:space="preserve"> meddelelsestjenester, hvilket begrænser brugernes og virksomhedernes mulighed for frit at bevæge sig fra det ene økosystem til det andet og kommunikere problemfrit med hinanden uanset operativsystem, hvilket i bund og grund strider mod ånd og bogstav i forordningen om digitale markeder; opfordrer derfor Kommissionen til hurtigt at gøre fremskridt med sin undersøgelse og med at sikre effektiv gennemførelse for at sikre fordelene ved </w:t>
      </w:r>
      <w:proofErr w:type="spellStart"/>
      <w:r w:rsidRPr="00070942">
        <w:t>interoperable</w:t>
      </w:r>
      <w:proofErr w:type="spellEnd"/>
      <w:r w:rsidRPr="00070942">
        <w:t xml:space="preserve"> beskedtjenester for alle uden unødig forsinkelse;</w:t>
      </w:r>
    </w:p>
    <w:p w:rsidR="008C3800" w:rsidRPr="00070942" w:rsidRDefault="008C3800" w:rsidP="008C3800">
      <w:pPr>
        <w:pStyle w:val="NormalHanging12a"/>
      </w:pPr>
      <w:r w:rsidRPr="00070942">
        <w:t>38.</w:t>
      </w:r>
      <w:r w:rsidRPr="00070942">
        <w:tab/>
        <w:t xml:space="preserve">bemærker Domstolens afgørelse i sagen Meta mod </w:t>
      </w:r>
      <w:proofErr w:type="spellStart"/>
      <w:r w:rsidRPr="00070942">
        <w:t>Bundeskartellamt</w:t>
      </w:r>
      <w:proofErr w:type="spellEnd"/>
      <w:r w:rsidRPr="00070942">
        <w:t>, som bekræfter, at de nationale konkurrencemyndigheder har kompetence til at håndhæve databeskyttelsesreglerne i henhold til konkurrenceretten; påpeger, at Domstolen fastholder, at beskyttelse af personoplysninger er en vigtig faktor ved undersøgelse af potentielt misbrug af en dominerende stilling, og at den pålægger krav om brug af enkeltpersoners personoplysninger til målrettet annoncering; opfordrer konkurrencemyndighederne til at undersøge overtrædelser af den generelle forordning om databeskyttelse</w:t>
      </w:r>
      <w:r w:rsidRPr="00070942">
        <w:rPr>
          <w:rStyle w:val="FootnoteReference"/>
        </w:rPr>
        <w:footnoteReference w:id="31"/>
      </w:r>
      <w:r w:rsidRPr="00070942">
        <w:t xml:space="preserve"> og databeskyttelsesmyndighederne til at sanktionere sådanne overtrædelser;</w:t>
      </w:r>
    </w:p>
    <w:p w:rsidR="008C3800" w:rsidRPr="00070942" w:rsidRDefault="008C3800" w:rsidP="008C3800">
      <w:pPr>
        <w:pStyle w:val="NormalHanging12a"/>
      </w:pPr>
      <w:r w:rsidRPr="00070942">
        <w:t>39.</w:t>
      </w:r>
      <w:r w:rsidRPr="00070942">
        <w:tab/>
        <w:t xml:space="preserve">bemærker konklusionerne i retssagen mellem </w:t>
      </w:r>
      <w:proofErr w:type="spellStart"/>
      <w:r w:rsidRPr="00070942">
        <w:t>Bundeskartellamt</w:t>
      </w:r>
      <w:proofErr w:type="spellEnd"/>
      <w:r w:rsidRPr="00070942">
        <w:t xml:space="preserve"> og </w:t>
      </w:r>
      <w:proofErr w:type="spellStart"/>
      <w:r w:rsidRPr="00070942">
        <w:t>Alphabet</w:t>
      </w:r>
      <w:proofErr w:type="spellEnd"/>
      <w:r w:rsidRPr="00070942">
        <w:t xml:space="preserve"> Inc., som giver brugere af Google bedre valgmuligheder med hensyn til, hvordan Google behandler deres data; gør gældende, at forbrugerne i EU skal kunne vælge, om de vil tillade samling af deres personoplysninger og behandling af dem på tværs af tjenester; opfordrer Kommissionen til at arbejde videre med samordningen af håndhævelsesaktiviteterne og samarbejde med nationale konkurrencemyndigheder for at lette et effektivt samspil mellem konkurrencelovgivningen og forordningen om digitale markeder, navnlig i forbindelse med de "yderligere forpligtelser" som omhandlet i forordningen om digitale markeder; </w:t>
      </w:r>
    </w:p>
    <w:p w:rsidR="008C3800" w:rsidRPr="00070942" w:rsidRDefault="008C3800" w:rsidP="008C3800">
      <w:pPr>
        <w:pStyle w:val="NormalHanging12a"/>
      </w:pPr>
      <w:r w:rsidRPr="00070942">
        <w:t>40.</w:t>
      </w:r>
      <w:r w:rsidRPr="00070942">
        <w:tab/>
        <w:t xml:space="preserve">påpeger, at tingenes internet er et voksende marked; påpeger endvidere, at intelligente husholdningsapparater såsom robotstøvsugere, er en vigtig kilde til forbrugerdata; bemærker, at fusioner og overtagelser i denne sektor kan indebære en alvorlig begrænsning af konkurrencen; opfordrer Kommissionen til at medtage data som en kilde til markedsstyrke, når den vurderer sager om fusioner og overtagelser i denne sektor, navnlig når sagerne involverer store teknologivirksomheder; opfordrer desuden til, at der pålægges betingelser for brug af data, hvis det er nødvendigt; </w:t>
      </w:r>
    </w:p>
    <w:p w:rsidR="008C3800" w:rsidRPr="00070942" w:rsidRDefault="008C3800" w:rsidP="008C3800">
      <w:pPr>
        <w:pStyle w:val="NormalHanging12a"/>
      </w:pPr>
      <w:r w:rsidRPr="00070942">
        <w:t>41.</w:t>
      </w:r>
      <w:r w:rsidRPr="00070942">
        <w:tab/>
        <w:t xml:space="preserve">beklager fraværet af </w:t>
      </w:r>
      <w:proofErr w:type="spellStart"/>
      <w:r w:rsidRPr="00070942">
        <w:t>cloud</w:t>
      </w:r>
      <w:proofErr w:type="spellEnd"/>
      <w:r w:rsidRPr="00070942">
        <w:t xml:space="preserve">-udbydere på gatekeeperlisten; opfordrer Kommissionen til at </w:t>
      </w:r>
      <w:r w:rsidRPr="00070942">
        <w:lastRenderedPageBreak/>
        <w:t xml:space="preserve">overveje at indlede markedsundersøgelser i denne sektor i henhold til artikel 3, stk. 8, i forordningen om digitale markeder (kvalitativ vurdering) i betragtning af den koncentrerede markedsstruktur og den skadelige konkurrencebegrænsende praksis, som de nationale konkurrencemyndigheder har understreget; fremhæver, at det europæiske </w:t>
      </w:r>
      <w:proofErr w:type="spellStart"/>
      <w:r w:rsidRPr="00070942">
        <w:t>cloud</w:t>
      </w:r>
      <w:proofErr w:type="spellEnd"/>
      <w:r w:rsidRPr="00070942">
        <w:t xml:space="preserve">-marked domineres af nogle få meget store aktører; opfordrer Kommissionen til at sikre, at alle støtteberettigede tjenester udpeges med henblik på at genoprette fair og lige konkurrence på det europæiske </w:t>
      </w:r>
      <w:proofErr w:type="spellStart"/>
      <w:r w:rsidRPr="00070942">
        <w:t>cloud</w:t>
      </w:r>
      <w:proofErr w:type="spellEnd"/>
      <w:r w:rsidRPr="00070942">
        <w:t>-marked;</w:t>
      </w:r>
    </w:p>
    <w:p w:rsidR="008C3800" w:rsidRPr="00070942" w:rsidRDefault="008C3800" w:rsidP="008C3800">
      <w:pPr>
        <w:pStyle w:val="NormalHanging12a"/>
      </w:pPr>
      <w:r w:rsidRPr="00070942">
        <w:t>42.</w:t>
      </w:r>
      <w:r w:rsidRPr="00070942">
        <w:tab/>
        <w:t>opfordrer Kommissionen til at vurdere behovet for at iværksætte en markedsundersøgelse i henhold til artikel 19 i forordningen om digitale markeder med henblik på at tilføje nye kategorier af centrale platformstjenester i henhold til artikel 2, stk. 2, i forordningen om digitale markeder i lyset af den seneste teknologiske udvikling, der kan føre til nye former for tjenester, som ikke er omfattet af de nuværende kategorier såsom generativ kunstig intelligens; anerkender, at nye funktioner drevet af generativ kunstig intelligens kan inkorporeres i eksisterende digitale tjenester, såsom onlinesøgemaskiner, og kan indfanges af den eksisterende liste over centrale platformstjenester, der kan føre til styrkelse af eksisterende gatekeepere;</w:t>
      </w:r>
    </w:p>
    <w:p w:rsidR="008C3800" w:rsidRPr="00070942" w:rsidRDefault="008C3800" w:rsidP="008C3800">
      <w:pPr>
        <w:pStyle w:val="NormalHanging12a"/>
      </w:pPr>
      <w:r w:rsidRPr="00070942">
        <w:t xml:space="preserve">43. </w:t>
      </w:r>
      <w:r w:rsidRPr="00070942">
        <w:tab/>
        <w:t>noterer sig den fælles erklæring fra G7-konkurrencemyndighederne om konkurrence og kunstig intelligens, der understreger betydningen af samarbejde for at fremme konkurrencen på digitale markeder</w:t>
      </w:r>
      <w:r w:rsidRPr="00070942">
        <w:rPr>
          <w:rStyle w:val="FootnoteReference"/>
        </w:rPr>
        <w:footnoteReference w:id="32"/>
      </w:r>
      <w:r w:rsidRPr="00070942">
        <w:t>; opfordrer Kommissionen til at være årvågen med hensyn til samarbejdsaftaler i forbindelse med udviklingen inden for kunstig intelligens for at sikre, at sådanne samarbejdsaftaler ikke potentielt er skjulte fusioner eller dræberopkøb;</w:t>
      </w:r>
    </w:p>
    <w:p w:rsidR="008C3800" w:rsidRPr="00070942" w:rsidRDefault="008C3800" w:rsidP="008C3800">
      <w:pPr>
        <w:pStyle w:val="NormalHanging12a"/>
      </w:pPr>
      <w:r w:rsidRPr="00070942">
        <w:t>44.</w:t>
      </w:r>
      <w:r w:rsidRPr="00070942">
        <w:tab/>
        <w:t xml:space="preserve">gentager, at forordningen om digitale markeder har et andet retsgrundlag end konkurrencereglerne; understreger behovet for en effektiv sameksistens mellem efterfølgende håndhævelse af konkurrencelovgivningen og forudgående håndhævelse af forordningen om digitale markeder i betragtning af deres komplementære art; understreger behovet for at anvende tilstrækkelige personaleressourcer og </w:t>
      </w:r>
      <w:proofErr w:type="spellStart"/>
      <w:r w:rsidRPr="00070942">
        <w:t>synergier</w:t>
      </w:r>
      <w:proofErr w:type="spellEnd"/>
      <w:r w:rsidRPr="00070942">
        <w:t xml:space="preserve"> for at opnå effektiv gennemførelse af reglerne og for at undgå overlapninger eller duplikater mellem eksisterende strukturer og foranstaltninger;</w:t>
      </w:r>
    </w:p>
    <w:p w:rsidR="008C3800" w:rsidRPr="00070942" w:rsidRDefault="008C3800" w:rsidP="008C3800">
      <w:pPr>
        <w:pStyle w:val="NormalHanging12a"/>
      </w:pPr>
      <w:r w:rsidRPr="00070942">
        <w:t>45.</w:t>
      </w:r>
      <w:r w:rsidRPr="00070942">
        <w:tab/>
        <w:t xml:space="preserve">fremhæver EU's fremtidige </w:t>
      </w:r>
      <w:proofErr w:type="spellStart"/>
      <w:r w:rsidRPr="00070942">
        <w:t>konnektivitetsbehov</w:t>
      </w:r>
      <w:proofErr w:type="spellEnd"/>
      <w:r w:rsidRPr="00070942">
        <w:t xml:space="preserve"> med hensyn til infrastruktur og investeringer; opfordrer Kommissionen til at overveje en revision af den nuværende konkurrencepraksis for telekommunikationsmarkedet for at fremme etableringen af et fuldt integreret indre marked for telekommunikationstjenester; bemærker, at markedskonsolidering kan være den eneste mulighed for at undgå at sælge infrastruktur bid for bid til selskaber, som ikke hører hjemme i EU, og for at konkurrere effektivt på globalt plan; påpeger, at væksten i denne sektor i Europa har været meget lav i det seneste årti, og at fragmentering er den primære årsag til dette; bifalder i denne henseende kommissær </w:t>
      </w:r>
      <w:proofErr w:type="spellStart"/>
      <w:r w:rsidRPr="00070942">
        <w:t>Bretons</w:t>
      </w:r>
      <w:proofErr w:type="spellEnd"/>
      <w:r w:rsidRPr="00070942">
        <w:t xml:space="preserve"> annoncering af Kommissionens arbejde på et nyt forslag til en forordning om digitale netværk, som skal afhjælpe markedsfragmentering, tiltrække investeringer og sikre telekommunikationsinfrastruktur og innovation uden ekstra omkostninger for forbrugerne og uden at bringe </w:t>
      </w:r>
      <w:proofErr w:type="spellStart"/>
      <w:r w:rsidR="00CE229F" w:rsidRPr="00CE229F">
        <w:t>netneutralitet</w:t>
      </w:r>
      <w:proofErr w:type="spellEnd"/>
      <w:r w:rsidR="00CE229F" w:rsidRPr="00CE229F">
        <w:t xml:space="preserve"> og</w:t>
      </w:r>
      <w:r w:rsidR="00CE229F">
        <w:t xml:space="preserve"> </w:t>
      </w:r>
      <w:r w:rsidRPr="00070942">
        <w:t>fair konkurrence på markedet blandt alle aktørerne i fare;</w:t>
      </w:r>
    </w:p>
    <w:p w:rsidR="008C3800" w:rsidRPr="00070942" w:rsidRDefault="008C3800" w:rsidP="008C3800">
      <w:pPr>
        <w:pStyle w:val="NormalHanging12a"/>
      </w:pPr>
      <w:r w:rsidRPr="00070942">
        <w:t xml:space="preserve">46. </w:t>
      </w:r>
      <w:r w:rsidRPr="00070942">
        <w:tab/>
        <w:t xml:space="preserve">bemærker med bekymring, at gatekeepere, der udvikler en datafordel over for rivaler, </w:t>
      </w:r>
      <w:r w:rsidRPr="00070942">
        <w:lastRenderedPageBreak/>
        <w:t xml:space="preserve">kan opnå afgørende stordriftsfordele, hvilket bidrager til en yderligere forrykkelse af konkurrencemæssige balancer på de digitale markeder og kvæler innovationen; </w:t>
      </w:r>
    </w:p>
    <w:p w:rsidR="008C3800" w:rsidRPr="00070942" w:rsidRDefault="008C3800" w:rsidP="008C3800">
      <w:pPr>
        <w:pStyle w:val="NormalHanging12a"/>
      </w:pPr>
      <w:r w:rsidRPr="00070942">
        <w:t>47.</w:t>
      </w:r>
      <w:r w:rsidRPr="00070942">
        <w:tab/>
        <w:t xml:space="preserve">understreger, at aktiver i form af personoplysninger bør betragtes og vurderes som andre traditionelle aktiver, når der træffes afgørelse om digitale fusioner og overtagelser; understreger endvidere, at datakonsolidering gennem fusioner og overtagelser kan styrke en dominerende stilling; </w:t>
      </w:r>
    </w:p>
    <w:p w:rsidR="008C3800" w:rsidRPr="00070942" w:rsidRDefault="008C3800" w:rsidP="008C3800">
      <w:pPr>
        <w:pStyle w:val="NormalHanging12a"/>
        <w:rPr>
          <w:b/>
          <w:i/>
        </w:rPr>
      </w:pPr>
      <w:r w:rsidRPr="00070942">
        <w:rPr>
          <w:b/>
          <w:i/>
        </w:rPr>
        <w:t>Beskatning</w:t>
      </w:r>
    </w:p>
    <w:p w:rsidR="008C3800" w:rsidRPr="00070942" w:rsidRDefault="008C3800" w:rsidP="008C3800">
      <w:pPr>
        <w:pStyle w:val="NormalHanging12a"/>
      </w:pPr>
      <w:r w:rsidRPr="00070942">
        <w:t>48.</w:t>
      </w:r>
      <w:r w:rsidRPr="00070942">
        <w:tab/>
        <w:t xml:space="preserve">beklager de forvridende virkninger, som aggressiv skatteplanlægning og visse medlemsstaters skattesystemer har på fair konkurrence, da de kan hæmme innovation og bringe den frie markedsadgang, navnlig for </w:t>
      </w:r>
      <w:proofErr w:type="spellStart"/>
      <w:r w:rsidRPr="00070942">
        <w:t>SMV'er</w:t>
      </w:r>
      <w:proofErr w:type="spellEnd"/>
      <w:r w:rsidRPr="00070942">
        <w:t>, i fare; opfordrer til, at virksomheder, der deltager i skatteundgåelse ved hjælp af skattely i lande uden for EU, udelukkes fra offentlige udbudsprocedurer og forhindres i at modtage statsstøtte, da disse virksomheder konkurrerer på urimelige vilkår med virksomheder, der ikke er etableret i skattely; glæder sig over Kommissionens henstilling af 14. juli 2020 om ikke at yde finansiel støtte til virksomheder med tilknytning til skattely og at beskytte ærlige skatteydere;</w:t>
      </w:r>
    </w:p>
    <w:p w:rsidR="008C3800" w:rsidRPr="00070942" w:rsidRDefault="008C3800" w:rsidP="008C3800">
      <w:pPr>
        <w:pStyle w:val="NormalHanging12a"/>
      </w:pPr>
      <w:r w:rsidRPr="00070942">
        <w:t>49.</w:t>
      </w:r>
      <w:r w:rsidRPr="00070942">
        <w:tab/>
        <w:t xml:space="preserve">opfordrer Kommissionen til at se på muligheden for at udstede bøder til lande, som overtræder EU's regler for statsstøtte; opfordrer Kommissionen til at arbejde videre med sine undersøgelser af medlemsstaternes praksis i forbindelse med skatteafgørelser; </w:t>
      </w:r>
    </w:p>
    <w:p w:rsidR="008C3800" w:rsidRPr="00070942" w:rsidRDefault="008C3800" w:rsidP="008C3800">
      <w:pPr>
        <w:pStyle w:val="NormalHanging12a"/>
      </w:pPr>
      <w:r w:rsidRPr="00070942">
        <w:t>50.</w:t>
      </w:r>
      <w:r w:rsidRPr="00070942">
        <w:tab/>
        <w:t xml:space="preserve">bemærker tilsagnet fra næstformand </w:t>
      </w:r>
      <w:proofErr w:type="spellStart"/>
      <w:r w:rsidRPr="00070942">
        <w:t>Šefčovič</w:t>
      </w:r>
      <w:proofErr w:type="spellEnd"/>
      <w:r w:rsidRPr="00070942">
        <w:t xml:space="preserve"> og kommissær </w:t>
      </w:r>
      <w:proofErr w:type="spellStart"/>
      <w:r w:rsidRPr="00070942">
        <w:t>Hoekstra</w:t>
      </w:r>
      <w:proofErr w:type="spellEnd"/>
      <w:r w:rsidRPr="00070942">
        <w:t xml:space="preserve"> om at indlede en drøftelse om udfasning af subsidier til fossile brændstoffer; minder om sit krav om gennemførelse af konkrete politikker, tidsplaner og foranstaltninger for at udfase subsidier til fossile brændstoffer hurtigst muligt gennem skatteforanstaltninger; </w:t>
      </w:r>
    </w:p>
    <w:p w:rsidR="008C3800" w:rsidRPr="00070942" w:rsidRDefault="008C3800" w:rsidP="008C3800">
      <w:pPr>
        <w:pStyle w:val="NormalHanging12a"/>
      </w:pPr>
      <w:r w:rsidRPr="00070942">
        <w:t>51.</w:t>
      </w:r>
      <w:r w:rsidRPr="00070942">
        <w:tab/>
        <w:t xml:space="preserve">glæder sig over Kommissionens agtpågivenhed med hensyn til at håndhæve reglerne for statsstøtte på skatteområdet; </w:t>
      </w:r>
    </w:p>
    <w:p w:rsidR="008C3800" w:rsidRPr="00070942" w:rsidRDefault="008C3800" w:rsidP="008C3800">
      <w:pPr>
        <w:pStyle w:val="NormalHanging12a"/>
      </w:pPr>
      <w:r w:rsidRPr="00070942">
        <w:t xml:space="preserve">52. </w:t>
      </w:r>
      <w:r w:rsidRPr="00070942">
        <w:tab/>
        <w:t xml:space="preserve">beklager samtidig, at flere af Kommissionens seneste afgørelser i højt profilerede konkurrencesager på skatteområdet er blevet omstødt af Domstolen; opfordrer Kommissionen til at forberede sine konkurrenceretlige sager mere grundigt, så de holder ved en domstol; bemærker med bekymring, at annullering af bøder og tilbagevirkende betaling af morarenter i annullerede sager også udgør en budgetrisiko for EU; </w:t>
      </w:r>
    </w:p>
    <w:p w:rsidR="008C3800" w:rsidRPr="00070942" w:rsidRDefault="008C3800" w:rsidP="008C3800">
      <w:pPr>
        <w:pStyle w:val="NormalHanging12a"/>
        <w:rPr>
          <w:b/>
          <w:i/>
        </w:rPr>
      </w:pPr>
      <w:r w:rsidRPr="00070942">
        <w:rPr>
          <w:b/>
          <w:i/>
        </w:rPr>
        <w:t>Parlamentarisk inddragelse</w:t>
      </w:r>
    </w:p>
    <w:p w:rsidR="008C3800" w:rsidRPr="00070942" w:rsidRDefault="008C3800" w:rsidP="008C3800">
      <w:pPr>
        <w:pStyle w:val="NormalHanging12a"/>
      </w:pPr>
      <w:r w:rsidRPr="00070942">
        <w:t>53.</w:t>
      </w:r>
      <w:r w:rsidRPr="00070942">
        <w:tab/>
        <w:t>understreger, at Europa-Parlamentet bør spille en aktiv rolle i udformningen af konkurrencepolitikken og i højere grad bør inddrages i arbejdet i arbejdsgrupper og ekspertgrupper; mener, at der bør gøres hyppigere brug af Europa-Parlamentets ret til at gribe ind i retssager vedrørende konkurrenceretten;</w:t>
      </w:r>
    </w:p>
    <w:p w:rsidR="008C3800" w:rsidRPr="00070942" w:rsidRDefault="008C3800" w:rsidP="008C3800">
      <w:pPr>
        <w:pStyle w:val="NormalHanging12a"/>
      </w:pPr>
      <w:r w:rsidRPr="00070942">
        <w:t>54.</w:t>
      </w:r>
      <w:r w:rsidRPr="00070942">
        <w:tab/>
        <w:t>opfordrer den kommissær, der har ansvaret for konkurrencepolitikken, til at holde tæt kontakt med Europa-Parlamentets kompetente udvalg og dets arbejdsgruppe om konkurrencespørgsmål;</w:t>
      </w:r>
    </w:p>
    <w:p w:rsidR="008C3800" w:rsidRPr="00070942" w:rsidRDefault="008C3800" w:rsidP="008C3800">
      <w:pPr>
        <w:pStyle w:val="NormalHanging12a"/>
        <w:jc w:val="center"/>
      </w:pPr>
      <w:r w:rsidRPr="00070942">
        <w:t>°</w:t>
      </w:r>
    </w:p>
    <w:p w:rsidR="008C3800" w:rsidRPr="00070942" w:rsidRDefault="008C3800" w:rsidP="008C3800">
      <w:pPr>
        <w:pStyle w:val="NormalHanging12a"/>
        <w:jc w:val="center"/>
      </w:pPr>
      <w:r w:rsidRPr="00070942">
        <w:lastRenderedPageBreak/>
        <w:t>°</w:t>
      </w:r>
      <w:r w:rsidRPr="00070942">
        <w:tab/>
        <w:t>°</w:t>
      </w:r>
    </w:p>
    <w:p w:rsidR="00E365E1" w:rsidRPr="00070942" w:rsidRDefault="008C3800" w:rsidP="00912064">
      <w:pPr>
        <w:pStyle w:val="NormalHanging12a"/>
      </w:pPr>
      <w:r w:rsidRPr="00070942">
        <w:t>55.</w:t>
      </w:r>
      <w:r w:rsidRPr="00070942">
        <w:tab/>
        <w:t>pålægger sin formand at sende denne beslutning til Rådet og Kommissionen og til medlemsstaternes parlamenter og konkurrencemyndigheder.</w:t>
      </w:r>
      <w:bookmarkStart w:id="8" w:name="TextBodyEnd"/>
      <w:bookmarkEnd w:id="8"/>
    </w:p>
    <w:sectPr w:rsidR="00E365E1" w:rsidRPr="00070942" w:rsidSect="0007094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52F" w:rsidRPr="00070942" w:rsidRDefault="00EA152F">
      <w:r w:rsidRPr="00070942">
        <w:separator/>
      </w:r>
    </w:p>
  </w:endnote>
  <w:endnote w:type="continuationSeparator" w:id="0">
    <w:p w:rsidR="00EA152F" w:rsidRPr="00070942" w:rsidRDefault="00EA152F">
      <w:r w:rsidRPr="000709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94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94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9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52F" w:rsidRPr="00070942" w:rsidRDefault="00EA152F">
      <w:r w:rsidRPr="00070942">
        <w:separator/>
      </w:r>
    </w:p>
  </w:footnote>
  <w:footnote w:type="continuationSeparator" w:id="0">
    <w:p w:rsidR="00EA152F" w:rsidRPr="00070942" w:rsidRDefault="00EA152F">
      <w:r w:rsidRPr="00070942">
        <w:continuationSeparator/>
      </w:r>
    </w:p>
  </w:footnote>
  <w:footnote w:id="1">
    <w:p w:rsidR="008C3800" w:rsidRPr="00070942" w:rsidRDefault="008C3800" w:rsidP="00070942">
      <w:pPr>
        <w:pStyle w:val="FootnoteText"/>
        <w:ind w:left="567" w:hanging="567"/>
        <w:rPr>
          <w:sz w:val="24"/>
          <w:szCs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Vedtagne tekster, P9_</w:t>
      </w:r>
      <w:proofErr w:type="gramStart"/>
      <w:r w:rsidRPr="00070942">
        <w:rPr>
          <w:sz w:val="24"/>
          <w:lang w:val="da-DK"/>
        </w:rPr>
        <w:t>TA(</w:t>
      </w:r>
      <w:proofErr w:type="gramEnd"/>
      <w:r w:rsidRPr="00070942">
        <w:rPr>
          <w:sz w:val="24"/>
          <w:lang w:val="da-DK"/>
        </w:rPr>
        <w:t>2023)0227.</w:t>
      </w:r>
    </w:p>
  </w:footnote>
  <w:footnote w:id="2">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 xml:space="preserve">Rettens dom af 13. juli 2022, </w:t>
      </w:r>
      <w:proofErr w:type="spellStart"/>
      <w:r w:rsidRPr="00070942">
        <w:rPr>
          <w:sz w:val="24"/>
          <w:lang w:val="da-DK"/>
        </w:rPr>
        <w:t>Ilumina</w:t>
      </w:r>
      <w:proofErr w:type="spellEnd"/>
      <w:r w:rsidRPr="00070942">
        <w:rPr>
          <w:sz w:val="24"/>
          <w:lang w:val="da-DK"/>
        </w:rPr>
        <w:t>, Inc. mod Europa-Kommissionen, T-227/21, ECLI:EU:T:2022:447.</w:t>
      </w:r>
    </w:p>
  </w:footnote>
  <w:footnote w:id="3">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EUT C 131 I af 24.3.2022, s. 1.</w:t>
      </w:r>
    </w:p>
  </w:footnote>
  <w:footnote w:id="4">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EUT L 24 af 29.1.2004, s. 1.</w:t>
      </w:r>
    </w:p>
  </w:footnote>
  <w:footnote w:id="5">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EUT L 265 af 12.10.2022, s. 1.</w:t>
      </w:r>
    </w:p>
  </w:footnote>
  <w:footnote w:id="6">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EUT L 11 af 14.1.2019, s. 3.</w:t>
      </w:r>
    </w:p>
  </w:footnote>
  <w:footnote w:id="7">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EFT L 1 af 4.1.2003, s. 1.</w:t>
      </w:r>
    </w:p>
  </w:footnote>
  <w:footnote w:id="8">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EUT L 123 af 27.4.2004, s. 18.</w:t>
      </w:r>
    </w:p>
  </w:footnote>
  <w:footnote w:id="9">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EUT C 80 af 18.2</w:t>
      </w:r>
      <w:r w:rsidR="00774F62">
        <w:rPr>
          <w:sz w:val="24"/>
          <w:lang w:val="da-DK"/>
        </w:rPr>
        <w:t>.</w:t>
      </w:r>
      <w:r w:rsidRPr="00070942">
        <w:rPr>
          <w:sz w:val="24"/>
          <w:lang w:val="da-DK"/>
        </w:rPr>
        <w:t>2022, s. 1.</w:t>
      </w:r>
    </w:p>
  </w:footnote>
  <w:footnote w:id="10">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EUT C 36 af 31.1</w:t>
      </w:r>
      <w:r w:rsidR="00774F62">
        <w:rPr>
          <w:sz w:val="24"/>
          <w:lang w:val="da-DK"/>
        </w:rPr>
        <w:t>.</w:t>
      </w:r>
      <w:r w:rsidRPr="00070942">
        <w:rPr>
          <w:sz w:val="24"/>
          <w:lang w:val="da-DK"/>
        </w:rPr>
        <w:t>2023, s. 1.</w:t>
      </w:r>
    </w:p>
  </w:footnote>
  <w:footnote w:id="11">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EUT L 330 af 23.12.2022, s. 1.</w:t>
      </w:r>
    </w:p>
  </w:footnote>
  <w:footnote w:id="12">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Europa-Kommissionen, "</w:t>
      </w:r>
      <w:hyperlink r:id="rId1" w:history="1">
        <w:r w:rsidRPr="00070942">
          <w:rPr>
            <w:rStyle w:val="Hyperlink"/>
            <w:sz w:val="24"/>
            <w:lang w:val="da-DK"/>
          </w:rPr>
          <w:t>Talen om Unionens tilstand</w:t>
        </w:r>
      </w:hyperlink>
      <w:r w:rsidRPr="00070942">
        <w:rPr>
          <w:sz w:val="24"/>
          <w:lang w:val="da-DK"/>
        </w:rPr>
        <w:t>", 13. september 2023.</w:t>
      </w:r>
    </w:p>
  </w:footnote>
  <w:footnote w:id="13">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EUT L 119 af 5.5.2023, s. 22.</w:t>
      </w:r>
    </w:p>
  </w:footnote>
  <w:footnote w:id="14">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EUT C 23 af 23.1</w:t>
      </w:r>
      <w:r w:rsidR="00774F62">
        <w:rPr>
          <w:sz w:val="24"/>
          <w:lang w:val="da-DK"/>
        </w:rPr>
        <w:t>.</w:t>
      </w:r>
      <w:r w:rsidRPr="00070942">
        <w:rPr>
          <w:sz w:val="24"/>
          <w:lang w:val="da-DK"/>
        </w:rPr>
        <w:t>2023, s. 1.</w:t>
      </w:r>
    </w:p>
  </w:footnote>
  <w:footnote w:id="15">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 xml:space="preserve">Domstolens dom (Store Afdeling) af 4. juli 2023, Meta Platforms Inc. m.fl. mod </w:t>
      </w:r>
      <w:proofErr w:type="spellStart"/>
      <w:r w:rsidRPr="00070942">
        <w:rPr>
          <w:sz w:val="24"/>
          <w:lang w:val="da-DK"/>
        </w:rPr>
        <w:t>Bundeskartellamt</w:t>
      </w:r>
      <w:proofErr w:type="spellEnd"/>
      <w:r w:rsidRPr="00070942">
        <w:rPr>
          <w:sz w:val="24"/>
          <w:lang w:val="da-DK"/>
        </w:rPr>
        <w:t>, C-252/21, ECLI:EU:C:2023:537.</w:t>
      </w:r>
    </w:p>
  </w:footnote>
  <w:footnote w:id="16">
    <w:p w:rsidR="008C3800" w:rsidRPr="00EC641E" w:rsidRDefault="008C3800" w:rsidP="00070942">
      <w:pPr>
        <w:pStyle w:val="FootnoteText"/>
        <w:ind w:left="567" w:hanging="567"/>
        <w:rPr>
          <w:color w:val="0563C1" w:themeColor="hyperlink"/>
          <w:sz w:val="24"/>
          <w:u w:val="single"/>
          <w:lang w:val="en-GB"/>
        </w:rPr>
      </w:pPr>
      <w:r w:rsidRPr="00070942">
        <w:rPr>
          <w:rStyle w:val="FootnoteReference"/>
          <w:sz w:val="24"/>
          <w:lang w:val="da-DK"/>
        </w:rPr>
        <w:footnoteRef/>
      </w:r>
      <w:r w:rsidR="00070942" w:rsidRPr="00EC641E">
        <w:rPr>
          <w:sz w:val="24"/>
          <w:lang w:val="en-GB"/>
        </w:rPr>
        <w:t xml:space="preserve"> </w:t>
      </w:r>
      <w:r w:rsidR="00070942" w:rsidRPr="00EC641E">
        <w:rPr>
          <w:sz w:val="24"/>
          <w:lang w:val="en-GB"/>
        </w:rPr>
        <w:tab/>
      </w:r>
      <w:hyperlink r:id="rId2" w:history="1">
        <w:r w:rsidRPr="00EC641E">
          <w:rPr>
            <w:rStyle w:val="Hyperlink"/>
            <w:sz w:val="24"/>
            <w:lang w:val="en-GB"/>
          </w:rPr>
          <w:t>DG COMP Code of good practices for a transparent, inclusive, faster design and assessment of IPCEIs</w:t>
        </w:r>
      </w:hyperlink>
      <w:r w:rsidRPr="00EC641E">
        <w:rPr>
          <w:sz w:val="24"/>
          <w:lang w:val="en-GB"/>
        </w:rPr>
        <w:t>.</w:t>
      </w:r>
    </w:p>
  </w:footnote>
  <w:footnote w:id="17">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EUT C 101 af 27.4</w:t>
      </w:r>
      <w:r w:rsidR="00774F62">
        <w:rPr>
          <w:sz w:val="24"/>
          <w:lang w:val="da-DK"/>
        </w:rPr>
        <w:t>.</w:t>
      </w:r>
      <w:r w:rsidRPr="00070942">
        <w:rPr>
          <w:sz w:val="24"/>
          <w:lang w:val="da-DK"/>
        </w:rPr>
        <w:t>2004, s. 78.</w:t>
      </w:r>
    </w:p>
  </w:footnote>
  <w:footnote w:id="18">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EUT C 259 af 21.7</w:t>
      </w:r>
      <w:r w:rsidR="00774F62">
        <w:rPr>
          <w:sz w:val="24"/>
          <w:lang w:val="da-DK"/>
        </w:rPr>
        <w:t>.</w:t>
      </w:r>
      <w:r w:rsidRPr="00070942">
        <w:rPr>
          <w:sz w:val="24"/>
          <w:lang w:val="da-DK"/>
        </w:rPr>
        <w:t>2023, s. 1.</w:t>
      </w:r>
    </w:p>
  </w:footnote>
  <w:footnote w:id="19">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Det Europæiske Økonomiske og Sociale Udvalg, "</w:t>
      </w:r>
      <w:hyperlink r:id="rId3" w:history="1">
        <w:r w:rsidRPr="00070942">
          <w:rPr>
            <w:rStyle w:val="Hyperlink"/>
            <w:sz w:val="24"/>
            <w:lang w:val="da-DK"/>
          </w:rPr>
          <w:t xml:space="preserve">Report on </w:t>
        </w:r>
        <w:proofErr w:type="spellStart"/>
        <w:r w:rsidRPr="00070942">
          <w:rPr>
            <w:rStyle w:val="Hyperlink"/>
            <w:sz w:val="24"/>
            <w:lang w:val="da-DK"/>
          </w:rPr>
          <w:t>Competition</w:t>
        </w:r>
        <w:proofErr w:type="spellEnd"/>
        <w:r w:rsidRPr="00070942">
          <w:rPr>
            <w:rStyle w:val="Hyperlink"/>
            <w:sz w:val="24"/>
            <w:lang w:val="da-DK"/>
          </w:rPr>
          <w:t xml:space="preserve"> Policy 2022"</w:t>
        </w:r>
      </w:hyperlink>
      <w:r w:rsidRPr="00070942">
        <w:rPr>
          <w:sz w:val="24"/>
          <w:lang w:val="da-DK"/>
        </w:rPr>
        <w:t>, 25. oktober 2023.</w:t>
      </w:r>
    </w:p>
  </w:footnote>
  <w:footnote w:id="20">
    <w:p w:rsidR="008C3800" w:rsidRPr="00EC641E" w:rsidRDefault="008C3800" w:rsidP="00070942">
      <w:pPr>
        <w:pStyle w:val="FootnoteText"/>
        <w:ind w:left="567" w:hanging="567"/>
        <w:rPr>
          <w:sz w:val="24"/>
          <w:lang w:val="en-GB"/>
        </w:rPr>
      </w:pPr>
      <w:r w:rsidRPr="00070942">
        <w:rPr>
          <w:rStyle w:val="FootnoteReference"/>
          <w:sz w:val="24"/>
          <w:lang w:val="da-DK"/>
        </w:rPr>
        <w:footnoteRef/>
      </w:r>
      <w:r w:rsidR="00070942" w:rsidRPr="00EC641E">
        <w:rPr>
          <w:sz w:val="24"/>
          <w:lang w:val="en-GB"/>
        </w:rPr>
        <w:t xml:space="preserve"> </w:t>
      </w:r>
      <w:r w:rsidR="00070942" w:rsidRPr="00EC641E">
        <w:rPr>
          <w:sz w:val="24"/>
          <w:lang w:val="en-GB"/>
        </w:rPr>
        <w:tab/>
      </w:r>
      <w:r w:rsidRPr="00EC641E">
        <w:rPr>
          <w:sz w:val="24"/>
          <w:lang w:val="en-GB"/>
        </w:rPr>
        <w:t>OECD, "</w:t>
      </w:r>
      <w:hyperlink r:id="rId4" w:history="1">
        <w:r w:rsidRPr="00EC641E">
          <w:rPr>
            <w:rStyle w:val="Hyperlink"/>
            <w:sz w:val="24"/>
            <w:lang w:val="en-GB"/>
          </w:rPr>
          <w:t>Competition and Inflation: OECD Competition Policy Roundtable Background Note</w:t>
        </w:r>
      </w:hyperlink>
      <w:r w:rsidRPr="00EC641E">
        <w:rPr>
          <w:sz w:val="24"/>
          <w:lang w:val="en-GB"/>
        </w:rPr>
        <w:t>", 2022.</w:t>
      </w:r>
    </w:p>
  </w:footnote>
  <w:footnote w:id="21">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Grækenland, Tyskland.</w:t>
      </w:r>
    </w:p>
  </w:footnote>
  <w:footnote w:id="22">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Europa-Parlamentets og Rådets forordning (EU) 2016/1037 af 8. juni 2016 om beskyttelse mod subsidieret indførsel fra lande, der ikke er medlemmer af Den Europæiske Union (EUT L 176 af 30.6.2016, s. 55).</w:t>
      </w:r>
    </w:p>
  </w:footnote>
  <w:footnote w:id="23">
    <w:p w:rsidR="008C3800" w:rsidRPr="00070942" w:rsidRDefault="008C3800" w:rsidP="00070942">
      <w:pPr>
        <w:pStyle w:val="FootnoteText"/>
        <w:ind w:left="567" w:hanging="567"/>
        <w:rPr>
          <w:color w:val="0563C1" w:themeColor="hyperlink"/>
          <w:sz w:val="24"/>
          <w:u w:val="single"/>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Den Europæiske Værdipapir- og Markedstilsynsmyndighed, "</w:t>
      </w:r>
      <w:hyperlink r:id="rId5" w:history="1">
        <w:r w:rsidRPr="00070942">
          <w:rPr>
            <w:rStyle w:val="Hyperlink"/>
            <w:sz w:val="24"/>
            <w:lang w:val="da-DK"/>
          </w:rPr>
          <w:t xml:space="preserve">Report on CRA Market </w:t>
        </w:r>
        <w:proofErr w:type="spellStart"/>
        <w:r w:rsidRPr="00070942">
          <w:rPr>
            <w:rStyle w:val="Hyperlink"/>
            <w:sz w:val="24"/>
            <w:lang w:val="da-DK"/>
          </w:rPr>
          <w:t>Share</w:t>
        </w:r>
        <w:proofErr w:type="spellEnd"/>
        <w:r w:rsidRPr="00070942">
          <w:rPr>
            <w:rStyle w:val="Hyperlink"/>
            <w:sz w:val="24"/>
            <w:lang w:val="da-DK"/>
          </w:rPr>
          <w:t xml:space="preserve"> </w:t>
        </w:r>
        <w:proofErr w:type="spellStart"/>
        <w:r w:rsidRPr="00070942">
          <w:rPr>
            <w:rStyle w:val="Hyperlink"/>
            <w:sz w:val="24"/>
            <w:lang w:val="da-DK"/>
          </w:rPr>
          <w:t>Calculation</w:t>
        </w:r>
        <w:proofErr w:type="spellEnd"/>
      </w:hyperlink>
      <w:r w:rsidRPr="00070942">
        <w:rPr>
          <w:sz w:val="24"/>
          <w:lang w:val="da-DK"/>
        </w:rPr>
        <w:t>", 15. december 2022.</w:t>
      </w:r>
    </w:p>
  </w:footnote>
  <w:footnote w:id="24">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Europa-Kommissionen, "</w:t>
      </w:r>
      <w:hyperlink r:id="rId6" w:history="1">
        <w:r w:rsidRPr="00070942">
          <w:rPr>
            <w:rStyle w:val="Hyperlink"/>
            <w:sz w:val="24"/>
            <w:lang w:val="da-DK"/>
          </w:rPr>
          <w:t>Booking Holdings/</w:t>
        </w:r>
        <w:proofErr w:type="spellStart"/>
        <w:r w:rsidRPr="00070942">
          <w:rPr>
            <w:rStyle w:val="Hyperlink"/>
            <w:sz w:val="24"/>
            <w:lang w:val="da-DK"/>
          </w:rPr>
          <w:t>Etraveli</w:t>
        </w:r>
        <w:proofErr w:type="spellEnd"/>
        <w:r w:rsidRPr="00070942">
          <w:rPr>
            <w:rStyle w:val="Hyperlink"/>
            <w:sz w:val="24"/>
            <w:lang w:val="da-DK"/>
          </w:rPr>
          <w:t xml:space="preserve"> Group</w:t>
        </w:r>
      </w:hyperlink>
      <w:r w:rsidRPr="00070942">
        <w:rPr>
          <w:sz w:val="24"/>
          <w:lang w:val="da-DK"/>
        </w:rPr>
        <w:t>, afgørelsesdato den 25. september 2023.</w:t>
      </w:r>
    </w:p>
  </w:footnote>
  <w:footnote w:id="25">
    <w:p w:rsidR="008C3800" w:rsidRPr="00EC641E" w:rsidRDefault="008C3800" w:rsidP="00070942">
      <w:pPr>
        <w:pStyle w:val="FootnoteText"/>
        <w:ind w:left="567" w:hanging="567"/>
        <w:rPr>
          <w:sz w:val="24"/>
          <w:lang w:val="en-GB"/>
        </w:rPr>
      </w:pPr>
      <w:r w:rsidRPr="00070942">
        <w:rPr>
          <w:rStyle w:val="FootnoteReference"/>
          <w:sz w:val="24"/>
          <w:lang w:val="da-DK"/>
        </w:rPr>
        <w:footnoteRef/>
      </w:r>
      <w:r w:rsidR="00070942" w:rsidRPr="00EC641E">
        <w:rPr>
          <w:sz w:val="24"/>
          <w:lang w:val="en-GB"/>
        </w:rPr>
        <w:t xml:space="preserve"> </w:t>
      </w:r>
      <w:r w:rsidR="00070942" w:rsidRPr="00EC641E">
        <w:rPr>
          <w:sz w:val="24"/>
          <w:lang w:val="en-GB"/>
        </w:rPr>
        <w:tab/>
      </w:r>
      <w:r w:rsidRPr="00EC641E">
        <w:rPr>
          <w:sz w:val="24"/>
          <w:lang w:val="en-GB"/>
        </w:rPr>
        <w:t>Europa-</w:t>
      </w:r>
      <w:proofErr w:type="spellStart"/>
      <w:r w:rsidRPr="00EC641E">
        <w:rPr>
          <w:sz w:val="24"/>
          <w:lang w:val="en-GB"/>
        </w:rPr>
        <w:t>Kommissionen</w:t>
      </w:r>
      <w:proofErr w:type="spellEnd"/>
      <w:r w:rsidRPr="00EC641E">
        <w:rPr>
          <w:sz w:val="24"/>
          <w:lang w:val="en-GB"/>
        </w:rPr>
        <w:t>, "</w:t>
      </w:r>
      <w:hyperlink r:id="rId7" w:history="1">
        <w:r w:rsidRPr="00EC641E">
          <w:rPr>
            <w:rStyle w:val="Hyperlink"/>
            <w:sz w:val="24"/>
            <w:lang w:val="en-GB"/>
          </w:rPr>
          <w:t>Antitrust:</w:t>
        </w:r>
      </w:hyperlink>
      <w:hyperlink r:id="rId8" w:history="1">
        <w:r w:rsidRPr="00EC641E">
          <w:rPr>
            <w:rStyle w:val="Hyperlink"/>
            <w:sz w:val="24"/>
            <w:lang w:val="en-GB"/>
          </w:rPr>
          <w:t xml:space="preserve"> Commission opens investigation into possible anticompetitive practices by Microsoft regarding Teams</w:t>
        </w:r>
      </w:hyperlink>
      <w:r w:rsidRPr="00EC641E">
        <w:rPr>
          <w:sz w:val="24"/>
          <w:lang w:val="en-GB"/>
        </w:rPr>
        <w:t xml:space="preserve">", 27. </w:t>
      </w:r>
      <w:proofErr w:type="spellStart"/>
      <w:proofErr w:type="gramStart"/>
      <w:r w:rsidRPr="00EC641E">
        <w:rPr>
          <w:sz w:val="24"/>
          <w:lang w:val="en-GB"/>
        </w:rPr>
        <w:t>juli</w:t>
      </w:r>
      <w:proofErr w:type="spellEnd"/>
      <w:proofErr w:type="gramEnd"/>
      <w:r w:rsidRPr="00EC641E">
        <w:rPr>
          <w:sz w:val="24"/>
          <w:lang w:val="en-GB"/>
        </w:rPr>
        <w:t xml:space="preserve"> 2023.</w:t>
      </w:r>
    </w:p>
  </w:footnote>
  <w:footnote w:id="26">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hyperlink r:id="rId9" w:history="1">
        <w:r w:rsidRPr="00070942">
          <w:rPr>
            <w:rStyle w:val="Hyperlink"/>
            <w:sz w:val="24"/>
            <w:lang w:val="da-DK"/>
          </w:rPr>
          <w:t>Se de officielle afgørelser</w:t>
        </w:r>
      </w:hyperlink>
      <w:r w:rsidRPr="00070942">
        <w:rPr>
          <w:sz w:val="24"/>
          <w:lang w:val="da-DK"/>
        </w:rPr>
        <w:t xml:space="preserve"> DMA. 100044, 100040, 100035, 100027, 100026, 100025, 100024, 100020, 100018, 100017, 100016, 100013, 100011.</w:t>
      </w:r>
    </w:p>
  </w:footnote>
  <w:footnote w:id="27">
    <w:p w:rsidR="008C3800" w:rsidRPr="00EC641E" w:rsidRDefault="008C3800" w:rsidP="00070942">
      <w:pPr>
        <w:pStyle w:val="FootnoteText"/>
        <w:ind w:left="567" w:hanging="567"/>
        <w:rPr>
          <w:sz w:val="24"/>
          <w:lang w:val="en-GB"/>
        </w:rPr>
      </w:pPr>
      <w:r w:rsidRPr="00070942">
        <w:rPr>
          <w:rStyle w:val="FootnoteReference"/>
          <w:sz w:val="24"/>
          <w:lang w:val="da-DK"/>
        </w:rPr>
        <w:footnoteRef/>
      </w:r>
      <w:r w:rsidR="00070942" w:rsidRPr="00EC641E">
        <w:rPr>
          <w:sz w:val="24"/>
          <w:lang w:val="en-GB"/>
        </w:rPr>
        <w:t xml:space="preserve"> </w:t>
      </w:r>
      <w:r w:rsidR="00070942" w:rsidRPr="00EC641E">
        <w:rPr>
          <w:sz w:val="24"/>
          <w:lang w:val="en-GB"/>
        </w:rPr>
        <w:tab/>
      </w:r>
      <w:r w:rsidRPr="00EC641E">
        <w:rPr>
          <w:sz w:val="24"/>
          <w:lang w:val="en-GB"/>
        </w:rPr>
        <w:t>Europa-</w:t>
      </w:r>
      <w:proofErr w:type="spellStart"/>
      <w:r w:rsidRPr="00EC641E">
        <w:rPr>
          <w:sz w:val="24"/>
          <w:lang w:val="en-GB"/>
        </w:rPr>
        <w:t>Kommissionen</w:t>
      </w:r>
      <w:proofErr w:type="spellEnd"/>
      <w:r w:rsidRPr="00EC641E">
        <w:rPr>
          <w:sz w:val="24"/>
          <w:lang w:val="en-GB"/>
        </w:rPr>
        <w:t>, "Study on the impact of recent developments in digital advertising on privacy, publishers and advertisers", s. 263-264.</w:t>
      </w:r>
    </w:p>
  </w:footnote>
  <w:footnote w:id="28">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Europa-Parlamentets og Rådets forordning (EU) 2022/2065 af 19. oktober 2022 om et indre marked for digitale tjenester og om ændring af direktiv 2000/31/EF (EUT L 277 af 27.10.2022, s. 1).</w:t>
      </w:r>
    </w:p>
  </w:footnote>
  <w:footnote w:id="29">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Afgørelse DMA. 100015, DMA. 100028 og DMA. 100034.</w:t>
      </w:r>
    </w:p>
  </w:footnote>
  <w:footnote w:id="30">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Afgørelse DMA. 100047 og DMA. 100022.</w:t>
      </w:r>
    </w:p>
  </w:footnote>
  <w:footnote w:id="31">
    <w:p w:rsidR="008C3800" w:rsidRPr="00070942" w:rsidRDefault="008C3800" w:rsidP="00070942">
      <w:pPr>
        <w:pStyle w:val="FootnoteText"/>
        <w:ind w:left="567" w:hanging="567"/>
        <w:rPr>
          <w:sz w:val="24"/>
          <w:lang w:val="da-DK"/>
        </w:rPr>
      </w:pPr>
      <w:r w:rsidRPr="00070942">
        <w:rPr>
          <w:rStyle w:val="FootnoteReference"/>
          <w:sz w:val="24"/>
          <w:lang w:val="da-DK"/>
        </w:rPr>
        <w:footnoteRef/>
      </w:r>
      <w:r w:rsidR="00070942" w:rsidRPr="00070942">
        <w:rPr>
          <w:sz w:val="24"/>
          <w:lang w:val="da-DK"/>
        </w:rPr>
        <w:t xml:space="preserve"> </w:t>
      </w:r>
      <w:r w:rsidR="00070942" w:rsidRPr="00070942">
        <w:rPr>
          <w:sz w:val="24"/>
          <w:lang w:val="da-DK"/>
        </w:rPr>
        <w:tab/>
      </w:r>
      <w:r w:rsidRPr="00070942">
        <w:rPr>
          <w:sz w:val="24"/>
          <w:lang w:val="da-DK"/>
        </w:rPr>
        <w:t>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w:t>
      </w:r>
    </w:p>
  </w:footnote>
  <w:footnote w:id="32">
    <w:p w:rsidR="008C3800" w:rsidRPr="00EC641E" w:rsidRDefault="008C3800" w:rsidP="00070942">
      <w:pPr>
        <w:pStyle w:val="FootnoteText"/>
        <w:ind w:left="567" w:hanging="567"/>
        <w:rPr>
          <w:sz w:val="24"/>
          <w:lang w:val="en-GB"/>
        </w:rPr>
      </w:pPr>
      <w:r w:rsidRPr="00070942">
        <w:rPr>
          <w:rStyle w:val="FootnoteReference"/>
          <w:sz w:val="24"/>
          <w:lang w:val="da-DK"/>
        </w:rPr>
        <w:footnoteRef/>
      </w:r>
      <w:r w:rsidR="00070942" w:rsidRPr="00EC641E">
        <w:rPr>
          <w:sz w:val="24"/>
          <w:lang w:val="en-GB"/>
        </w:rPr>
        <w:t xml:space="preserve"> </w:t>
      </w:r>
      <w:r w:rsidR="00070942" w:rsidRPr="00EC641E">
        <w:rPr>
          <w:sz w:val="24"/>
          <w:lang w:val="en-GB"/>
        </w:rPr>
        <w:tab/>
      </w:r>
      <w:r w:rsidRPr="00EC641E">
        <w:rPr>
          <w:sz w:val="24"/>
          <w:lang w:val="en-GB"/>
        </w:rPr>
        <w:t xml:space="preserve">G7-topmødet </w:t>
      </w:r>
      <w:proofErr w:type="spellStart"/>
      <w:r w:rsidRPr="00EC641E">
        <w:rPr>
          <w:sz w:val="24"/>
          <w:lang w:val="en-GB"/>
        </w:rPr>
        <w:t>i</w:t>
      </w:r>
      <w:proofErr w:type="spellEnd"/>
      <w:r w:rsidRPr="00EC641E">
        <w:rPr>
          <w:sz w:val="24"/>
          <w:lang w:val="en-GB"/>
        </w:rPr>
        <w:t xml:space="preserve"> Hiroshima, "</w:t>
      </w:r>
      <w:hyperlink r:id="rId10" w:history="1">
        <w:r w:rsidRPr="00EC641E">
          <w:rPr>
            <w:rStyle w:val="Hyperlink"/>
            <w:sz w:val="24"/>
            <w:lang w:val="en-GB"/>
          </w:rPr>
          <w:t>Compendium of approaches to improving competition in digital markets</w:t>
        </w:r>
      </w:hyperlink>
      <w:r w:rsidRPr="00EC641E">
        <w:rPr>
          <w:sz w:val="24"/>
          <w:lang w:val="en-GB"/>
        </w:rPr>
        <w:t xml:space="preserve">", </w:t>
      </w:r>
      <w:proofErr w:type="gramStart"/>
      <w:r w:rsidRPr="00EC641E">
        <w:rPr>
          <w:sz w:val="24"/>
          <w:lang w:val="en-GB"/>
        </w:rPr>
        <w:t>8</w:t>
      </w:r>
      <w:proofErr w:type="gramEnd"/>
      <w:r w:rsidRPr="00EC641E">
        <w:rPr>
          <w:sz w:val="24"/>
          <w:lang w:val="en-GB"/>
        </w:rPr>
        <w:t xml:space="preserve">. </w:t>
      </w:r>
      <w:proofErr w:type="spellStart"/>
      <w:proofErr w:type="gramStart"/>
      <w:r w:rsidRPr="00EC641E">
        <w:rPr>
          <w:sz w:val="24"/>
          <w:lang w:val="en-GB"/>
        </w:rPr>
        <w:t>november</w:t>
      </w:r>
      <w:proofErr w:type="spellEnd"/>
      <w:proofErr w:type="gramEnd"/>
      <w:r w:rsidRPr="00EC641E">
        <w:rPr>
          <w:sz w:val="24"/>
          <w:lang w:val="en-GB"/>
        </w:rPr>
        <w:t xml:space="preserv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9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9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9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DA"/>
    <w:docVar w:name="dvnumam" w:val="0"/>
    <w:docVar w:name="dvpe" w:val="753.544"/>
    <w:docVar w:name="dvrapporteur" w:val="Ordfører: "/>
    <w:docVar w:name="dvtitre" w:val="Europa-Parlamentets beslutning af xx.xx 2024 om konkurrencepolitik – årlig beretning 2023(2023/2077(INI))"/>
  </w:docVars>
  <w:rsids>
    <w:rsidRoot w:val="00EA152F"/>
    <w:rsid w:val="00002272"/>
    <w:rsid w:val="00064002"/>
    <w:rsid w:val="000677B9"/>
    <w:rsid w:val="00070942"/>
    <w:rsid w:val="000831BA"/>
    <w:rsid w:val="000A42CC"/>
    <w:rsid w:val="000E7DD9"/>
    <w:rsid w:val="0010095E"/>
    <w:rsid w:val="00125B37"/>
    <w:rsid w:val="00187494"/>
    <w:rsid w:val="001F32AE"/>
    <w:rsid w:val="002767FF"/>
    <w:rsid w:val="002B18FE"/>
    <w:rsid w:val="002B5493"/>
    <w:rsid w:val="002B579F"/>
    <w:rsid w:val="00314EC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4F62"/>
    <w:rsid w:val="00786EC0"/>
    <w:rsid w:val="007D1690"/>
    <w:rsid w:val="007E22AD"/>
    <w:rsid w:val="00817416"/>
    <w:rsid w:val="00842779"/>
    <w:rsid w:val="00865F67"/>
    <w:rsid w:val="00881A7B"/>
    <w:rsid w:val="008840E5"/>
    <w:rsid w:val="00887B3E"/>
    <w:rsid w:val="008C2AC6"/>
    <w:rsid w:val="008C3800"/>
    <w:rsid w:val="00912064"/>
    <w:rsid w:val="00930C23"/>
    <w:rsid w:val="0093193B"/>
    <w:rsid w:val="009509D8"/>
    <w:rsid w:val="00950B64"/>
    <w:rsid w:val="00966A9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229F"/>
    <w:rsid w:val="00CF071A"/>
    <w:rsid w:val="00D058B8"/>
    <w:rsid w:val="00D56C11"/>
    <w:rsid w:val="00D834A0"/>
    <w:rsid w:val="00D872DF"/>
    <w:rsid w:val="00D91E21"/>
    <w:rsid w:val="00DA7FCD"/>
    <w:rsid w:val="00E365E1"/>
    <w:rsid w:val="00E820A4"/>
    <w:rsid w:val="00EA152F"/>
    <w:rsid w:val="00EB006A"/>
    <w:rsid w:val="00EB4772"/>
    <w:rsid w:val="00EC641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FEC64FD-BB36-40B7-95FF-21317198F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C3800"/>
    <w:pPr>
      <w:spacing w:after="240"/>
      <w:ind w:left="567" w:hanging="567"/>
    </w:pPr>
  </w:style>
  <w:style w:type="paragraph" w:customStyle="1" w:styleId="EPComma">
    <w:name w:val="EPComma"/>
    <w:basedOn w:val="Normal"/>
    <w:rsid w:val="008C3800"/>
    <w:pPr>
      <w:spacing w:before="480" w:after="240"/>
    </w:pPr>
  </w:style>
  <w:style w:type="character" w:styleId="Hyperlink">
    <w:name w:val="Hyperlink"/>
    <w:basedOn w:val="DefaultParagraphFont"/>
    <w:rsid w:val="008C3800"/>
    <w:rPr>
      <w:color w:val="0563C1" w:themeColor="hyperlink"/>
      <w:u w:val="single"/>
    </w:rPr>
  </w:style>
  <w:style w:type="character" w:customStyle="1" w:styleId="NormalHanging12aChar">
    <w:name w:val="NormalHanging12a Char"/>
    <w:basedOn w:val="DefaultParagraphFont"/>
    <w:link w:val="NormalHanging12a"/>
    <w:rsid w:val="008C3800"/>
    <w:rPr>
      <w:sz w:val="24"/>
      <w:lang w:val="da-DK"/>
    </w:rPr>
  </w:style>
  <w:style w:type="paragraph" w:styleId="BalloonText">
    <w:name w:val="Balloon Text"/>
    <w:basedOn w:val="Normal"/>
    <w:link w:val="BalloonTextChar"/>
    <w:rsid w:val="002B579F"/>
    <w:rPr>
      <w:rFonts w:ascii="Segoe UI" w:hAnsi="Segoe UI" w:cs="Segoe UI"/>
      <w:sz w:val="18"/>
      <w:szCs w:val="18"/>
    </w:rPr>
  </w:style>
  <w:style w:type="character" w:customStyle="1" w:styleId="BalloonTextChar">
    <w:name w:val="Balloon Text Char"/>
    <w:basedOn w:val="DefaultParagraphFont"/>
    <w:link w:val="BalloonText"/>
    <w:rsid w:val="002B579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en/ip_23_3991" TargetMode="External"/><Relationship Id="rId3" Type="http://schemas.openxmlformats.org/officeDocument/2006/relationships/hyperlink" Target="https://www.eesc.europa.eu/en/our-work/opinions-information-reports/opinions/report-competition-policy-2022" TargetMode="External"/><Relationship Id="rId7" Type="http://schemas.openxmlformats.org/officeDocument/2006/relationships/hyperlink" Target="https://ec.europa.eu/commission/presscorner/detail/en/ip_23_3991"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da" TargetMode="External"/><Relationship Id="rId6" Type="http://schemas.openxmlformats.org/officeDocument/2006/relationships/hyperlink" Target="file:///\\ipolbrusncf01\userdocs$\vunguroiu\Documents\DocEP\TEMP\&#8216;Booking%20Holdings\Etraveli%20Group&#8217;" TargetMode="External"/><Relationship Id="rId5" Type="http://schemas.openxmlformats.org/officeDocument/2006/relationships/hyperlink" Target="https://www.esma.europa.eu/sites/default/files/library/esma80-416-1564_report_on_cra_market_share_calculation_2022.pdf" TargetMode="External"/><Relationship Id="rId10" Type="http://schemas.openxmlformats.org/officeDocument/2006/relationships/hyperlink" Target="https://www.jftc.go.jp/en/pressreleases/yearly-2023/November/231108G7_result2EN.pdf" TargetMode="External"/><Relationship Id="rId4" Type="http://schemas.openxmlformats.org/officeDocument/2006/relationships/hyperlink" Target="https://www.oecd.org/daf/competition/competition-and-inflation-2022.pdf" TargetMode="External"/><Relationship Id="rId9" Type="http://schemas.openxmlformats.org/officeDocument/2006/relationships/hyperlink" Target="https://digital-markets-act-cases.ec.europa.eu/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8A18C-F141-464F-AB39-57A9D7446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4908</Words>
  <Characters>31624</Characters>
  <Application>Microsoft Office Word</Application>
  <DocSecurity>0</DocSecurity>
  <Lines>263</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2024-01-16T13:11:00Z</dcterms:created>
  <dcterms:modified xsi:type="dcterms:W3CDTF">2024-01-16T13:11:00Z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A9-0427/2023</vt:lpwstr>
  </property>
  <property fmtid="{D5CDD505-2E9C-101B-9397-08002B2CF9AE}" pid="4" name="&lt;Type&gt;">
    <vt:lpwstr>RR</vt:lpwstr>
  </property>
</Properties>
</file>