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19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1966" w:rsidRDefault="0099427C" w:rsidP="0010095E">
            <w:pPr>
              <w:pStyle w:val="EPName"/>
            </w:pPr>
            <w:r w:rsidRPr="00261966">
              <w:t>Europski parlament</w:t>
            </w:r>
          </w:p>
          <w:p w:rsidR="00751A4A" w:rsidRPr="0026196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196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61966" w:rsidRDefault="00187494" w:rsidP="0010095E">
            <w:pPr>
              <w:pStyle w:val="EPLogo"/>
            </w:pPr>
            <w:r w:rsidRPr="0026196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1966" w:rsidRDefault="00D058B8" w:rsidP="004C5D52">
      <w:pPr>
        <w:pStyle w:val="LineTop"/>
      </w:pPr>
    </w:p>
    <w:p w:rsidR="00680577" w:rsidRPr="00261966" w:rsidRDefault="0099427C" w:rsidP="00680577">
      <w:pPr>
        <w:pStyle w:val="EPBodyTA1"/>
      </w:pPr>
      <w:r w:rsidRPr="00261966">
        <w:t>USVOJENI TEKSTOVI</w:t>
      </w:r>
    </w:p>
    <w:p w:rsidR="00D058B8" w:rsidRPr="00261966" w:rsidRDefault="00D058B8" w:rsidP="00D058B8">
      <w:pPr>
        <w:pStyle w:val="LineBottom"/>
      </w:pPr>
    </w:p>
    <w:p w:rsidR="0099427C" w:rsidRPr="00261966" w:rsidRDefault="0099427C" w:rsidP="0099427C">
      <w:pPr>
        <w:pStyle w:val="ATHeading1"/>
      </w:pPr>
      <w:bookmarkStart w:id="0" w:name="TANumber"/>
      <w:r w:rsidRPr="00261966">
        <w:t>P9_TA(2024)00</w:t>
      </w:r>
      <w:bookmarkEnd w:id="0"/>
      <w:r w:rsidR="00F57DF3" w:rsidRPr="00261966">
        <w:t>11</w:t>
      </w:r>
    </w:p>
    <w:p w:rsidR="0099427C" w:rsidRPr="00261966" w:rsidRDefault="0099427C" w:rsidP="0099427C">
      <w:pPr>
        <w:pStyle w:val="ATHeading2"/>
      </w:pPr>
      <w:bookmarkStart w:id="1" w:name="title"/>
      <w:r w:rsidRPr="00261966">
        <w:t>Politika tržišnog natjecanja – godišnje izvješće 2023.</w:t>
      </w:r>
      <w:bookmarkEnd w:id="1"/>
    </w:p>
    <w:p w:rsidR="0099427C" w:rsidRPr="00261966" w:rsidRDefault="0099427C" w:rsidP="0099427C">
      <w:pPr>
        <w:rPr>
          <w:i/>
          <w:vanish/>
        </w:rPr>
      </w:pPr>
      <w:r w:rsidRPr="00261966">
        <w:rPr>
          <w:i/>
        </w:rPr>
        <w:fldChar w:fldCharType="begin"/>
      </w:r>
      <w:r w:rsidRPr="00261966">
        <w:rPr>
          <w:i/>
        </w:rPr>
        <w:instrText xml:space="preserve"> TC"(</w:instrText>
      </w:r>
      <w:bookmarkStart w:id="2" w:name="DocNumber"/>
      <w:r w:rsidRPr="00261966">
        <w:rPr>
          <w:i/>
        </w:rPr>
        <w:instrText>A9-0427/2023</w:instrText>
      </w:r>
      <w:bookmarkEnd w:id="2"/>
      <w:r w:rsidRPr="00261966">
        <w:rPr>
          <w:i/>
        </w:rPr>
        <w:instrText xml:space="preserve"> - Izvjestiteljica: Stéphanie </w:instrText>
      </w:r>
      <w:proofErr w:type="spellStart"/>
      <w:r w:rsidRPr="00261966">
        <w:rPr>
          <w:i/>
        </w:rPr>
        <w:instrText>Yon</w:instrText>
      </w:r>
      <w:r w:rsidRPr="00261966">
        <w:rPr>
          <w:i/>
        </w:rPr>
        <w:noBreakHyphen/>
        <w:instrText>Courtin</w:instrText>
      </w:r>
      <w:proofErr w:type="spellEnd"/>
      <w:r w:rsidRPr="00261966">
        <w:rPr>
          <w:i/>
        </w:rPr>
        <w:instrText xml:space="preserve">)"\l3 \n&gt; \* MERGEFORMAT </w:instrText>
      </w:r>
      <w:r w:rsidRPr="00261966">
        <w:rPr>
          <w:i/>
        </w:rPr>
        <w:fldChar w:fldCharType="end"/>
      </w:r>
    </w:p>
    <w:p w:rsidR="0099427C" w:rsidRPr="00261966" w:rsidRDefault="0099427C" w:rsidP="0099427C">
      <w:pPr>
        <w:rPr>
          <w:vanish/>
        </w:rPr>
      </w:pPr>
      <w:bookmarkStart w:id="3" w:name="Commission"/>
      <w:r w:rsidRPr="00261966">
        <w:rPr>
          <w:vanish/>
        </w:rPr>
        <w:t>Odbor za ekonomsku i monetarnu politiku</w:t>
      </w:r>
      <w:bookmarkEnd w:id="3"/>
    </w:p>
    <w:p w:rsidR="0099427C" w:rsidRPr="00261966" w:rsidRDefault="0099427C" w:rsidP="0099427C">
      <w:pPr>
        <w:rPr>
          <w:vanish/>
        </w:rPr>
      </w:pPr>
      <w:bookmarkStart w:id="4" w:name="PE"/>
      <w:r w:rsidRPr="00261966">
        <w:rPr>
          <w:vanish/>
        </w:rPr>
        <w:t>PE753.544</w:t>
      </w:r>
      <w:bookmarkEnd w:id="4"/>
    </w:p>
    <w:p w:rsidR="0099427C" w:rsidRPr="00261966" w:rsidRDefault="0099427C" w:rsidP="0099427C">
      <w:pPr>
        <w:pStyle w:val="ATHeading3"/>
      </w:pPr>
      <w:bookmarkStart w:id="5" w:name="Sujet"/>
      <w:r w:rsidRPr="00261966">
        <w:t>Rezoluc</w:t>
      </w:r>
      <w:r w:rsidR="00CC50D4" w:rsidRPr="00261966">
        <w:t>ija Europskog parlamenta od 16. siječnja</w:t>
      </w:r>
      <w:r w:rsidRPr="00261966">
        <w:t xml:space="preserve"> 2024. o politici tržišnog natjecanja – godišnje izvješće za 2023.</w:t>
      </w:r>
      <w:bookmarkEnd w:id="5"/>
      <w:r w:rsidRPr="00261966">
        <w:t xml:space="preserve"> </w:t>
      </w:r>
      <w:bookmarkStart w:id="6" w:name="References"/>
      <w:r w:rsidRPr="00261966">
        <w:t>(2023/2077(INI))</w:t>
      </w:r>
      <w:bookmarkEnd w:id="6"/>
    </w:p>
    <w:p w:rsidR="00D800F1" w:rsidRPr="00261966" w:rsidRDefault="00D800F1" w:rsidP="00D800F1">
      <w:pPr>
        <w:pStyle w:val="EPComma"/>
      </w:pPr>
      <w:bookmarkStart w:id="7" w:name="TextBodyBegin"/>
      <w:bookmarkEnd w:id="7"/>
      <w:r w:rsidRPr="00261966">
        <w:rPr>
          <w:i/>
        </w:rPr>
        <w:t>Europski parlament</w:t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Ugovor o funkcioniranju Europske unije, a posebno njegove članke od 101. do 109.,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relevantna pravila, smjernice, rezolucije, javna savjetovanja, komunikacije i dokumente Komisije na temu tržišnog natjecanja,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izvješće Komisije od 4. travnja 2023. naslovljeno „Izvješće o politici tržišnog natjecanja za 2022.” (COM(2023)0184) i prateći radni dokument službi Komisije (SWD(2023)0076),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svoju Rezoluciju od 13. lipnja 2023. o politici tržišnog natjecanja – godišnje izvješće za 2022.</w:t>
      </w:r>
      <w:r w:rsidRPr="00261966">
        <w:rPr>
          <w:rStyle w:val="FootnoteReference"/>
        </w:rPr>
        <w:footnoteReference w:id="1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komunikaciju Komisije od 11. prosinca 2019. naslovljenu „Europski zeleni plan” (COM(2019)0640),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Komisijine revidirane smjernice o državnim potporama za promicanje rizičnih financijskih ulaganja objavljene 6. prosinca 2021.;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presudu Suda Europske unije od 13. srpnja 2022. u predmetu T-227/21</w:t>
      </w:r>
      <w:r w:rsidRPr="00261966">
        <w:rPr>
          <w:rStyle w:val="FootnoteReference"/>
        </w:rPr>
        <w:footnoteReference w:id="2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 xml:space="preserve">uzimajući u obzir komunikaciju Komisije od 24. ožujka 2022. naslovljenu „Privremeni okvir za mjere državne potpore u kriznim situacijama za potporu gospodarstvu nakon </w:t>
      </w:r>
      <w:r w:rsidRPr="00261966">
        <w:lastRenderedPageBreak/>
        <w:t>ruske agresije na Ukrajinu”</w:t>
      </w:r>
      <w:r w:rsidRPr="00261966">
        <w:rPr>
          <w:rStyle w:val="FootnoteReference"/>
        </w:rPr>
        <w:footnoteReference w:id="3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Uredbu Vijeća (EZ) br. 139/2004 od 20. siječnja 2004. o kontroli koncentracija između poduzetnika (Uredba EZ-a o koncentracijama)</w:t>
      </w:r>
      <w:r w:rsidRPr="00261966">
        <w:rPr>
          <w:rStyle w:val="FootnoteReference"/>
        </w:rPr>
        <w:footnoteReference w:id="4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Uredbu (EU) 2022/1925 Europskog parlamenta i Vijeća od 14. rujna 2022. o pravednim tržištima s mogućnošću neograničenog tržišnog natjecanja u digitalnom sektoru i izmjeni direktiva (EU) 2019/1937 i (EU) 2020/1828 (Akt o digitalnim tržištima)</w:t>
      </w:r>
      <w:r w:rsidRPr="00261966">
        <w:rPr>
          <w:rStyle w:val="FootnoteReference"/>
        </w:rPr>
        <w:footnoteReference w:id="5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Direktivu (EU) 2019/1 Europskog parlamenta i Vijeća od 11. prosinca 2018. o ovlašćivanju tijela država članica nadležnih za tržišno natjecanje za učinkovitiju provedbu pravila o tržišnom natjecanju i osiguravanju pravilnog funkcioniranja unutarnjeg tržišta</w:t>
      </w:r>
      <w:r w:rsidRPr="00261966">
        <w:rPr>
          <w:rStyle w:val="FootnoteReference"/>
        </w:rPr>
        <w:footnoteReference w:id="6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Uredbu Vijeća (EZ) br. 1/2003 od 16. prosinca 2002. o provedbi pravila o tržišnom natjecanju koja su propisana člancima 81. i 82. Ugovora o EZ-u</w:t>
      </w:r>
      <w:r w:rsidRPr="00261966">
        <w:rPr>
          <w:rStyle w:val="FootnoteReference"/>
        </w:rPr>
        <w:footnoteReference w:id="7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Uredbu Komisije (EZ) br. 773/2004 od 7. travnja 2004. o postupcima koje Komisija vodi na temelju članaka 81. i 82. Ugovora o EZ-u</w:t>
      </w:r>
      <w:r w:rsidRPr="00261966">
        <w:rPr>
          <w:rStyle w:val="FootnoteReference"/>
        </w:rPr>
        <w:footnoteReference w:id="8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komunikaciju Komisije od 18. veljače 2022. naslovljenu „Smjernice o državnim potporama za klimu, zaštitu okoliša i energiju za 2022.”</w:t>
      </w:r>
      <w:r w:rsidRPr="00261966">
        <w:rPr>
          <w:rStyle w:val="FootnoteReference"/>
        </w:rPr>
        <w:footnoteReference w:id="9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komunikaciju Komisije od 31. siječnja 2023. naslovljenu „Smjernice o državnim potporama za širokopojasne mreže”</w:t>
      </w:r>
      <w:r w:rsidRPr="00261966">
        <w:rPr>
          <w:rStyle w:val="FootnoteReference"/>
        </w:rPr>
        <w:footnoteReference w:id="10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Nacrt obavijesti Komisije o utvrđivanju mjerodavnog tržišta za potrebe prava tržišnog natjecanja Unije,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 xml:space="preserve">uzimajući u obzir radni dokument službi Komisije od 1. prosinca 2022. naslovljen „Evaluacija pravila o državnim potporama za zdravstvene i socijalne usluge od općeg gospodarskog interesa i Uredbe o potporama de </w:t>
      </w:r>
      <w:proofErr w:type="spellStart"/>
      <w:r w:rsidRPr="00261966">
        <w:t>minimis</w:t>
      </w:r>
      <w:proofErr w:type="spellEnd"/>
      <w:r w:rsidRPr="00261966">
        <w:t xml:space="preserve"> za usluge od općeg gospodarskog interesa” (SWD(2022)0388),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da je 1. rujna 2023. stupio na snagu paket mjera donesenih 20. travnja 2023., čiji je cilj pojednostavniti i racionalizirati postupke za preispitivanje određenih koncentracija koje nisu problematične iz perspektive tržišnog natjecanja (C(2023)2400, C(2023)2401, C(2023)2402),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 xml:space="preserve">uzimajući u obzir Uredbu (EU) 2022/2560 Europskog parlamenta i Vijeća od </w:t>
      </w:r>
      <w:r w:rsidRPr="00261966">
        <w:lastRenderedPageBreak/>
        <w:t>14. prosinca 2022. o stranim subvencijama kojima se narušava unutarnje tržište</w:t>
      </w:r>
      <w:r w:rsidRPr="00261966">
        <w:rPr>
          <w:rStyle w:val="FootnoteReference"/>
        </w:rPr>
        <w:footnoteReference w:id="11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 xml:space="preserve">uzimajući u obzir govor o stanju Unije predsjednice Komisije </w:t>
      </w:r>
      <w:proofErr w:type="spellStart"/>
      <w:r w:rsidRPr="00261966">
        <w:t>Ursule</w:t>
      </w:r>
      <w:proofErr w:type="spellEnd"/>
      <w:r w:rsidRPr="00261966">
        <w:t xml:space="preserve"> von </w:t>
      </w:r>
      <w:proofErr w:type="spellStart"/>
      <w:r w:rsidRPr="00261966">
        <w:t>der</w:t>
      </w:r>
      <w:proofErr w:type="spellEnd"/>
      <w:r w:rsidRPr="00261966">
        <w:t xml:space="preserve"> </w:t>
      </w:r>
      <w:proofErr w:type="spellStart"/>
      <w:r w:rsidRPr="00261966">
        <w:t>Leyen</w:t>
      </w:r>
      <w:proofErr w:type="spellEnd"/>
      <w:r w:rsidRPr="00261966">
        <w:t xml:space="preserve"> iz 2023. godine</w:t>
      </w:r>
      <w:r w:rsidRPr="00261966">
        <w:rPr>
          <w:rStyle w:val="FootnoteReference"/>
        </w:rPr>
        <w:footnoteReference w:id="12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Odluku Komisije od 6. rujna 2023. o utvrđivanju nadzornika pristupa u skladu s Aktom o digitalnim tržištima,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 xml:space="preserve">uzimajući u obzir Provedbenu uredbu Komisije (EU) 2023/914 </w:t>
      </w:r>
      <w:proofErr w:type="spellStart"/>
      <w:r w:rsidRPr="00261966">
        <w:t>оd</w:t>
      </w:r>
      <w:proofErr w:type="spellEnd"/>
      <w:r w:rsidRPr="00261966">
        <w:t xml:space="preserve"> 20. travnja 2023. o provedbi Uredbe Vijeća (EZ) br. 139/2004 o kontroli koncentracija između poduzetnika i stavljanju izvan snage Uredbe Komisije (EZ) br. 802/2004</w:t>
      </w:r>
      <w:r w:rsidRPr="00261966">
        <w:rPr>
          <w:rStyle w:val="FootnoteReference"/>
        </w:rPr>
        <w:footnoteReference w:id="13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zajedničku Europsku deklaraciju Europskog parlamenta, Vijeća i Europske komisije o digitalnim pravima i načelima za digitalno desetljeće od 23. siječnja 2023.</w:t>
      </w:r>
      <w:r w:rsidRPr="00261966">
        <w:rPr>
          <w:rStyle w:val="FootnoteReference"/>
        </w:rPr>
        <w:footnoteReference w:id="14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presudu Suda Europske unije u predmetu C-252/21 od 4. srpnja 2023.</w:t>
      </w:r>
      <w:r w:rsidRPr="00261966">
        <w:rPr>
          <w:rStyle w:val="FootnoteReference"/>
        </w:rPr>
        <w:footnoteReference w:id="15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dokument naslovljen „Kodeks dobre prakse Glavne uprave za tržišno natjecanje za transparentan, uključiv, brži dizajn i procjenu važnih projekata od zajedničkog europskog interesa” od 17. svibnja 2023.</w:t>
      </w:r>
      <w:r w:rsidRPr="00261966">
        <w:rPr>
          <w:rStyle w:val="FootnoteReference"/>
        </w:rPr>
        <w:footnoteReference w:id="16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„Izvješće o izračunu tržišnog udjela agencija za kreditni rejting” Europskog nadzornog tijela za vrijednosne papire i tržišta kapitala (ESMA) od 15. prosinca 2022.,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Obavijest Komisije od 27. travnja 2004. o neslužbenim smjernicama koje se odnose na nova pitanja u vezi s člancima 81. i 82. Ugovora o EZ-u koja se pojavljuju u pojedinačnim slučajevima (pismo s uputama)</w:t>
      </w:r>
      <w:r w:rsidRPr="00261966">
        <w:rPr>
          <w:rStyle w:val="FootnoteReference"/>
        </w:rPr>
        <w:footnoteReference w:id="17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komunikaciju Komisije od 21. srpnja 2023. naslovljenu „Smjernice o primjenjivosti članka 101. Ugovora o funkcioniranju Europske unije na sporazume o horizontalnoj suradnji”</w:t>
      </w:r>
      <w:r w:rsidRPr="00261966">
        <w:rPr>
          <w:rStyle w:val="FootnoteReference"/>
        </w:rPr>
        <w:footnoteReference w:id="18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 xml:space="preserve">uzimajući u obzir Odluku Komisije od 25. rujna 2023. kojom se društvu </w:t>
      </w:r>
      <w:proofErr w:type="spellStart"/>
      <w:r w:rsidRPr="00261966">
        <w:t>Booking</w:t>
      </w:r>
      <w:proofErr w:type="spellEnd"/>
      <w:r w:rsidRPr="00261966">
        <w:t xml:space="preserve"> Holdings („</w:t>
      </w:r>
      <w:proofErr w:type="spellStart"/>
      <w:r w:rsidRPr="00261966">
        <w:t>Booking</w:t>
      </w:r>
      <w:proofErr w:type="spellEnd"/>
      <w:r w:rsidRPr="00261966">
        <w:t xml:space="preserve">”) zabranjuje predloženo stjecanje društva </w:t>
      </w:r>
      <w:proofErr w:type="spellStart"/>
      <w:r w:rsidRPr="00261966">
        <w:t>Flugo</w:t>
      </w:r>
      <w:proofErr w:type="spellEnd"/>
      <w:r w:rsidRPr="00261966">
        <w:t xml:space="preserve"> Group Holdings AB („</w:t>
      </w:r>
      <w:proofErr w:type="spellStart"/>
      <w:r w:rsidRPr="00261966">
        <w:t>eTraveli</w:t>
      </w:r>
      <w:proofErr w:type="spellEnd"/>
      <w:r w:rsidRPr="00261966">
        <w:t>”),</w:t>
      </w:r>
    </w:p>
    <w:p w:rsidR="00D800F1" w:rsidRPr="00261966" w:rsidRDefault="00D800F1" w:rsidP="00D800F1">
      <w:pPr>
        <w:pStyle w:val="NormalHanging12a"/>
      </w:pPr>
      <w:r w:rsidRPr="00261966">
        <w:lastRenderedPageBreak/>
        <w:t>–</w:t>
      </w:r>
      <w:r w:rsidRPr="00261966">
        <w:tab/>
        <w:t>uzimajući u obzir mišljenje Europskoga gospodarskog i socijalnog odbora</w:t>
      </w:r>
      <w:r w:rsidRPr="00261966">
        <w:rPr>
          <w:rStyle w:val="FootnoteReference"/>
        </w:rPr>
        <w:footnoteReference w:id="19"/>
      </w:r>
      <w:r w:rsidRPr="00261966">
        <w:t>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članak 54. Poslovnika,</w:t>
      </w:r>
    </w:p>
    <w:p w:rsidR="00D800F1" w:rsidRPr="00261966" w:rsidRDefault="00D800F1" w:rsidP="00D800F1">
      <w:pPr>
        <w:pStyle w:val="NormalHanging12a"/>
      </w:pPr>
      <w:r w:rsidRPr="00261966">
        <w:t>–</w:t>
      </w:r>
      <w:r w:rsidRPr="00261966">
        <w:tab/>
        <w:t>uzimajući u obzir izvješće Odbora za ekonomsku i monetarnu politiku (A9-0427/2023),</w:t>
      </w:r>
    </w:p>
    <w:p w:rsidR="00D800F1" w:rsidRPr="00261966" w:rsidRDefault="00D800F1" w:rsidP="00D800F1">
      <w:pPr>
        <w:pStyle w:val="NormalHanging12a"/>
      </w:pPr>
      <w:r w:rsidRPr="00261966">
        <w:t>A.</w:t>
      </w:r>
      <w:r w:rsidRPr="00261966">
        <w:tab/>
        <w:t>budući da politika tržišnog natjecanja EU-a ima važnu ulogu u postavljanju poštenih uvjeta poslovanja na jedinstvenom tržištu kako bi se tržišta zaštitila od koncentracija i nepotrebnog gomilanja tržišne snage te kako bi se potaknule inovacije i rast za poduzeća, posebno mala i srednja poduzeća (MSP), na jedinstvenom tržištu, a time i poboljšanje dobrobiti potrošača i pružanje većeg izbora potrošačima i poduzećima;</w:t>
      </w:r>
    </w:p>
    <w:p w:rsidR="00D800F1" w:rsidRPr="00261966" w:rsidRDefault="00D800F1" w:rsidP="00D800F1">
      <w:pPr>
        <w:pStyle w:val="NormalHanging12a"/>
      </w:pPr>
      <w:r w:rsidRPr="00261966">
        <w:t>B.</w:t>
      </w:r>
      <w:r w:rsidRPr="00261966">
        <w:tab/>
        <w:t>budući da je potrebno uspješno međudjelovanje politike tržišnog natjecanja i drugih sektorskih politika; budući da bi politika tržišnog natjecanja mogla doprinijeti jačanju otpornosti, integriteta i konkurentnosti unutarnjeg tržišta, kao i postizanju ciljeva europskog zelenog plana i Digitalnog kompasa te ciljeva EU-a kako su utvrđeni u članku 3. Ugovora o Europskoj uniji (UEU);</w:t>
      </w:r>
    </w:p>
    <w:p w:rsidR="00D800F1" w:rsidRPr="00261966" w:rsidRDefault="00D800F1" w:rsidP="00D800F1">
      <w:pPr>
        <w:pStyle w:val="NormalHanging12a"/>
      </w:pPr>
      <w:r w:rsidRPr="00261966">
        <w:t>C.</w:t>
      </w:r>
      <w:r w:rsidRPr="00261966">
        <w:tab/>
        <w:t>budući da su međunarodna razmjena i suradnja ključne za postizanje globalnih i konkurentnih jednakih uvjeta te za koordinirano suočavanje s izazovima usporedne digitalne i zelene tranzicije;</w:t>
      </w:r>
    </w:p>
    <w:p w:rsidR="00D800F1" w:rsidRPr="00261966" w:rsidRDefault="00D800F1" w:rsidP="00D800F1">
      <w:pPr>
        <w:pStyle w:val="NormalHanging12a"/>
      </w:pPr>
      <w:r w:rsidRPr="00261966">
        <w:t>D.</w:t>
      </w:r>
      <w:r w:rsidRPr="00261966">
        <w:tab/>
        <w:t>budući da globalne geopolitičke okolnosti također zahtijevaju odgovorna i konkurentna rješenja u području politike tržišnog natjecanja; budući da bi EU trebao iskoristiti sve političke i zakonodavne instrumente koji su mu na raspolaganju kako bi obranio integritet, otpornost i konkurentnost svojeg unutarnjeg tržišta s obzirom na izazove koje predstavljaju sve veći broj sukoba diljem svijeta, trgovinske napetosti među konkurentnim zemljama, kriza klimatskih promjena te pritisak inflacije i niske razine gospodarskog rasta; budući da je potrebno smanjiti štetne ovisnosti EU-a o trećim zemljama i globalnim silama u područjima kao što su energija, lijekovi, tehnologija i sirovine;</w:t>
      </w:r>
    </w:p>
    <w:p w:rsidR="00D800F1" w:rsidRPr="00261966" w:rsidRDefault="00D800F1" w:rsidP="00D800F1">
      <w:pPr>
        <w:pStyle w:val="NormalHanging12a"/>
      </w:pPr>
      <w:r w:rsidRPr="00261966">
        <w:t>E.</w:t>
      </w:r>
      <w:r w:rsidRPr="00261966">
        <w:tab/>
        <w:t>budući da Komisija i nacionalna tijela nadležna za tržišno natjecanje moraju djelovati nepristrano i objektivno kako bi se očuvala vjerodostojnost politike tržišnog natjecanja EU-a;</w:t>
      </w:r>
    </w:p>
    <w:p w:rsidR="00D800F1" w:rsidRPr="00261966" w:rsidRDefault="00D800F1" w:rsidP="00D800F1">
      <w:pPr>
        <w:pStyle w:val="NormalHanging12a"/>
      </w:pPr>
      <w:r w:rsidRPr="00261966">
        <w:t>F.</w:t>
      </w:r>
      <w:r w:rsidRPr="00261966">
        <w:tab/>
        <w:t>budući da globalna snaga i važnost jedinstvenog tržišta EU-a proizlaze iz njegove unutarnje konkurentnosti i ravnopravnih uvjeta;</w:t>
      </w:r>
    </w:p>
    <w:p w:rsidR="00D800F1" w:rsidRPr="00261966" w:rsidRDefault="00D800F1" w:rsidP="00D800F1">
      <w:pPr>
        <w:pStyle w:val="NormalHanging12a"/>
        <w:ind w:left="0" w:firstLine="0"/>
        <w:rPr>
          <w:b/>
          <w:i/>
        </w:rPr>
      </w:pPr>
      <w:r w:rsidRPr="00261966">
        <w:rPr>
          <w:b/>
          <w:i/>
        </w:rPr>
        <w:t xml:space="preserve">Uloga tržišnog natjecanja i politički odgovor na rat u Ukrajini, američki Zakon o smanjenju inflacije i trajne izazove koji proizlaze iz </w:t>
      </w:r>
      <w:proofErr w:type="spellStart"/>
      <w:r w:rsidRPr="00261966">
        <w:rPr>
          <w:b/>
          <w:i/>
        </w:rPr>
        <w:t>pandemije</w:t>
      </w:r>
      <w:proofErr w:type="spellEnd"/>
      <w:r w:rsidRPr="00261966">
        <w:rPr>
          <w:b/>
          <w:i/>
        </w:rPr>
        <w:t xml:space="preserve"> bolesti COVID-19</w:t>
      </w:r>
    </w:p>
    <w:p w:rsidR="00D800F1" w:rsidRPr="00261966" w:rsidRDefault="00D800F1" w:rsidP="00D800F1">
      <w:pPr>
        <w:pStyle w:val="NormalHanging12a"/>
      </w:pPr>
      <w:r w:rsidRPr="00261966">
        <w:t>1.</w:t>
      </w:r>
      <w:r w:rsidRPr="00261966">
        <w:tab/>
        <w:t>poziva Komisiju da zaštiti cjelovitost jedinstvenog tržišta; podsjeća da se odgovor na američki Zakon o smanjenju inflacije ne smije temeljiti samo na korištenju državnih potpora, već i na stvaranju povoljnijeg okruženja za poslovanje i obnovljenog okvira tržišnog natjecanja, čime bi se poduzećima koja pošteno ulažu i natječu se u Europi osigurale brzina i fleksibilnost, uz istodobno poštovanje klimatskih ciljeva EU-a;</w:t>
      </w:r>
    </w:p>
    <w:p w:rsidR="00D800F1" w:rsidRPr="00261966" w:rsidRDefault="00D800F1" w:rsidP="00D800F1">
      <w:pPr>
        <w:pStyle w:val="NormalHanging12a"/>
      </w:pPr>
      <w:r w:rsidRPr="00261966">
        <w:t>2.</w:t>
      </w:r>
      <w:r w:rsidRPr="00261966">
        <w:tab/>
        <w:t xml:space="preserve">prima na znanje privremeni okvir za državne potpore u kriznim situacijama i tranziciji </w:t>
      </w:r>
      <w:r w:rsidRPr="00261966">
        <w:lastRenderedPageBreak/>
        <w:t>(TCTF), kao i ažuriranje pravilnika o državnim potporama kojim se omogućuju ulaganja u zelenu i digitalnu tranziciju; prima na znanje donošenje i uključivanje „klauzule o usklađivanju” 2023.; poziva Komisiju da pažljivo izbjegava stvaranje uvjeta za natjecanje u subvencijama i upotrijebi alate koji su joj na raspolaganju kako bi spriječila i sankcionirala nepošteno tržišno natjecanje u području subvencija; naglašava da svaka dodatna državna potpora mora biti ciljana i privremena; smatra da bi državne potpore trebale biti u skladu s ciljevima politike EU-a kao što su zeleni plan i europski stup socijalnih prava; poziva Komisiju da istraži neusklađenost mehanizama povrata sredstava u državama članicama;</w:t>
      </w:r>
    </w:p>
    <w:p w:rsidR="00D800F1" w:rsidRPr="00261966" w:rsidRDefault="00D800F1" w:rsidP="00D800F1">
      <w:pPr>
        <w:pStyle w:val="NormalHanging12a"/>
      </w:pPr>
      <w:r w:rsidRPr="00261966">
        <w:t>3.</w:t>
      </w:r>
      <w:r w:rsidRPr="00261966">
        <w:tab/>
        <w:t>poziva Komisiju da zajamči da su svi privremeni instrumenti državne potpore dovoljno usmjereni kako bi se izbjegla fragmentacija jedinstvenog tržišta;</w:t>
      </w:r>
    </w:p>
    <w:p w:rsidR="00D800F1" w:rsidRPr="00261966" w:rsidRDefault="00D800F1" w:rsidP="00D800F1">
      <w:pPr>
        <w:pStyle w:val="NormalHanging12a"/>
      </w:pPr>
      <w:r w:rsidRPr="00261966">
        <w:t>4.</w:t>
      </w:r>
      <w:r w:rsidRPr="00261966">
        <w:tab/>
        <w:t>naglašava da će za suočavanje s novim izazovima biti potrebna dodatna javna i privatna ulaganja; naglašava da proračun EU-a treba biti odgovarajuće opremljen za rješavanje budućih izazova, uključujući rascjepkanost unutarnjeg tržišta, podupiranje industrijske strategije EU-a, smanjenje naših ključnih ovisnosti i osiguravanje naše otvorene strateške autonomije; ističe da se ti izazovi ne mogu riješiti samo javnom potrošnjom;</w:t>
      </w:r>
    </w:p>
    <w:p w:rsidR="00D800F1" w:rsidRPr="00261966" w:rsidRDefault="00D800F1" w:rsidP="00D800F1">
      <w:pPr>
        <w:pStyle w:val="NormalHanging12a"/>
      </w:pPr>
      <w:r w:rsidRPr="00261966">
        <w:t>5.</w:t>
      </w:r>
      <w:r w:rsidRPr="00261966">
        <w:tab/>
        <w:t>podsjeća da fragmentirani pristup državnim potporama može dovesti do neravnopravnih uvjeta za subjekte unutar unutarnjeg tržišta EU-a budući da različite države članice imaju različite fiskalne mogućnosti za pružanje potpore; stoga poziva na praćenje mogućih štetnih učinaka i na primjenu fleksibilnosti javne potpore isključivo na potporu koja se pruža na razini EU-a;</w:t>
      </w:r>
    </w:p>
    <w:p w:rsidR="00D800F1" w:rsidRPr="00261966" w:rsidRDefault="00D800F1" w:rsidP="00D800F1">
      <w:pPr>
        <w:pStyle w:val="NormalHanging12a"/>
      </w:pPr>
      <w:r w:rsidRPr="00261966">
        <w:t>6.</w:t>
      </w:r>
      <w:r w:rsidRPr="00261966">
        <w:tab/>
        <w:t>poziva Komisiju da razmotri kako inflacija utječe na tržišno natjecanje stvaranjem poticaja za poduzeća da surađuju s konkurentima kako bi koordinirale cijene</w:t>
      </w:r>
      <w:r w:rsidRPr="00261966">
        <w:rPr>
          <w:rStyle w:val="FootnoteReference"/>
        </w:rPr>
        <w:footnoteReference w:id="20"/>
      </w:r>
      <w:r w:rsidRPr="00261966">
        <w:t xml:space="preserve">, kao i njezine posljedice za tržišta i dobrobit potrošača; ističe potrebu za poboljšanjem podataka o dobiti kako bi se učinkovito riješile moguće posljedice, s obzirom na to da istraživanja Europske središnje banke i Međunarodnog monetarnog fonda upućuju na to da je dobit trgovačkih društava bila važan privremeni pokretač inflacije; poziva Komisiju da zajedno s nacionalnim tijelima nadležnima za tržišno natjecanje pomno prati posljedice </w:t>
      </w:r>
      <w:proofErr w:type="spellStart"/>
      <w:r w:rsidRPr="00261966">
        <w:t>protutržišnog</w:t>
      </w:r>
      <w:proofErr w:type="spellEnd"/>
      <w:r w:rsidRPr="00261966">
        <w:t xml:space="preserve"> ponašanja i njegovu ulogu u kretanjima inflacije; ponavlja da Komisija mora iskoristiti sve dostupne alate u okviru prava tržišnog natjecanja kako bi riješila krizu troškova života;</w:t>
      </w:r>
    </w:p>
    <w:p w:rsidR="00D800F1" w:rsidRPr="00261966" w:rsidRDefault="00D800F1" w:rsidP="00D800F1">
      <w:pPr>
        <w:pStyle w:val="NormalHanging12a"/>
      </w:pPr>
      <w:r w:rsidRPr="00261966">
        <w:t>7.</w:t>
      </w:r>
      <w:r w:rsidRPr="00261966">
        <w:tab/>
        <w:t>pozdravlja inicijative tijela nadležnih za tržišno natjecanje u nekoliko država članica</w:t>
      </w:r>
      <w:r w:rsidRPr="00261966">
        <w:rPr>
          <w:rStyle w:val="FootnoteReference"/>
        </w:rPr>
        <w:footnoteReference w:id="21"/>
      </w:r>
      <w:r w:rsidRPr="00261966">
        <w:t xml:space="preserve"> za uvođenje novih ovlasti za istraživanje tržišta sve dok one ne dovode do fragmentacije unutarnjeg tržišta; poziva Komisiju da uvede sličan alat za istraživanje tržišta kako bi se izbjegli nedostaci u provedbi u slučajevima u kojima se prakse događaju preko nacionalnih granica unutar EU-a te da donese korektivne mjere na razini sektora kada je to potrebno za učinkovito rješavanje </w:t>
      </w:r>
      <w:proofErr w:type="spellStart"/>
      <w:r w:rsidRPr="00261966">
        <w:t>protutržišnog</w:t>
      </w:r>
      <w:proofErr w:type="spellEnd"/>
      <w:r w:rsidRPr="00261966">
        <w:t xml:space="preserve"> ponašanja; podsjeća na inicijativu Komisije za „novi instrument za tržišno natjecanje”, čiji je cilj bio riješiti problem nedostataka između pravila EU-a o tržišnom natjecanju i intervencijskih instrumenata protiv strukturnih problema tržišnog natjecanja na tržištima; napominje da bi Komisija novim instrumentom za tržišno natjecanje mogla istražiti probleme tržišnog natjecanja u </w:t>
      </w:r>
      <w:r w:rsidRPr="00261966">
        <w:lastRenderedPageBreak/>
        <w:t>svim sektorima; poziva Komisiju da ponovno procijeni „novi instrument za tržišno natjecanje”;</w:t>
      </w:r>
    </w:p>
    <w:p w:rsidR="00D800F1" w:rsidRPr="00261966" w:rsidRDefault="00D800F1" w:rsidP="00D800F1">
      <w:pPr>
        <w:pStyle w:val="NormalHanging12a"/>
      </w:pPr>
      <w:r w:rsidRPr="00261966">
        <w:t>8.</w:t>
      </w:r>
      <w:r w:rsidRPr="00261966">
        <w:tab/>
        <w:t>naglašava koliko su bitni važni projekti od zajedničkog europskog interesa za financiranje velikih transnacionalnih projekata i postizanje strateških prioriteta EU-a; prima na znanje posebne kriterije za važne projekte od zajedničkog europskog interesa za analizu spojivosti državnih potpora s unutarnjim tržištem; žali zbog toga što dugotrajni i složeni postupci često predstavljaju preveliko opterećenje za mala i srednja poduzeća; poziva Komisiju i države članice da osiguraju da sve obavijesti budu dovršene najkasnije u roku od šest mjeseci; naglašava da bi važni projekti od zajedničkog europskog interesa trebali imati istinsku europsku dodanu vrijednost;</w:t>
      </w:r>
    </w:p>
    <w:p w:rsidR="00D800F1" w:rsidRPr="00261966" w:rsidRDefault="00D800F1" w:rsidP="00D800F1">
      <w:pPr>
        <w:pStyle w:val="NormalHanging12a"/>
      </w:pPr>
      <w:r w:rsidRPr="00261966">
        <w:t>9.</w:t>
      </w:r>
      <w:r w:rsidRPr="00261966">
        <w:tab/>
        <w:t>poziva Komisiju da procijeni kako su načela tržišnog natjecanja EU-a utjecala na pružanje usluga od općeg gospodarskog interesa, među ostalim u svjetlu krize uzrokovane bolešću COVID-19 i povećanih troškova života; poziva Komisiju da ocijeni položaj socijalnih usluga od općeg interesa i izuzeće od usluga od općeg gospodarskog interesa za cjenovno pristupačno stanovanje;</w:t>
      </w:r>
    </w:p>
    <w:p w:rsidR="00D800F1" w:rsidRPr="00261966" w:rsidRDefault="00D800F1" w:rsidP="00D800F1">
      <w:pPr>
        <w:pStyle w:val="NormalHanging12a"/>
      </w:pPr>
      <w:r w:rsidRPr="00261966">
        <w:t>10.</w:t>
      </w:r>
      <w:r w:rsidRPr="00261966">
        <w:tab/>
        <w:t>pozdravlja smjernice Komisije za primjenu prava EU-a o tržišnom natjecanju na kolektivne ugovore, u kojima se pojašnjava da se pravom EU-a o tržišnom natjecanju ne sprečava samozaposlene radnike da sudjeluju u kolektivnom pregovaranju; podsjeća da samozaposleni radnici često imaju ograničen ili nikakav pristup kolektivnom pregovaranju, što može dovesti do nesigurnih radnih uvjeta;</w:t>
      </w:r>
    </w:p>
    <w:p w:rsidR="00D800F1" w:rsidRPr="00261966" w:rsidRDefault="00D800F1" w:rsidP="00D800F1">
      <w:pPr>
        <w:pStyle w:val="NormalHanging12a"/>
      </w:pPr>
      <w:r w:rsidRPr="00261966">
        <w:t>11.</w:t>
      </w:r>
      <w:r w:rsidRPr="00261966">
        <w:tab/>
        <w:t>podsjeća na ključnu vezu između politike tržišnog natjecanja i unutarnjeg tržišta, što jasno proizlazi iz samog teksta članaka 101. i 102. UFEU-a kojima se uređuje politika tržišnog natjecanja EU-a; pozdravlja činjenicu da je Komisija u svojem zakonodavnom i političkom radu prepoznala potrebu za integracijom politike tržišnog natjecanja s ciljevima unutarnjeg tržišta koji je oblikuju;</w:t>
      </w:r>
    </w:p>
    <w:p w:rsidR="00D800F1" w:rsidRPr="00261966" w:rsidRDefault="00D800F1" w:rsidP="00D800F1">
      <w:pPr>
        <w:pStyle w:val="NormalHanging12a"/>
      </w:pPr>
      <w:r w:rsidRPr="00261966">
        <w:t>12.</w:t>
      </w:r>
      <w:r w:rsidRPr="00261966">
        <w:tab/>
        <w:t xml:space="preserve">ističe potrebu za učinkovitim rješavanjem problema narušavanja tržišta i tržišnih nedostataka te za poboljšanjem tržišnog natjecanja uklanjanjem postojećih neopravdanih regulatornih prepreka i smanjenjem nepotrebnih administrativnih opterećenja kako bi se olakšao ulazak novih konkurenata na tržište; </w:t>
      </w:r>
    </w:p>
    <w:p w:rsidR="00D800F1" w:rsidRPr="00261966" w:rsidRDefault="00D800F1" w:rsidP="00D800F1">
      <w:pPr>
        <w:pStyle w:val="NormalHanging12a"/>
      </w:pPr>
      <w:r w:rsidRPr="00261966">
        <w:t>13.</w:t>
      </w:r>
      <w:r w:rsidRPr="00261966">
        <w:rPr>
          <w:b/>
        </w:rPr>
        <w:tab/>
      </w:r>
      <w:r w:rsidRPr="00261966">
        <w:t>naglašava važnost presuda Suda Europske unije u predmetima C-555/21 (</w:t>
      </w:r>
      <w:proofErr w:type="spellStart"/>
      <w:r w:rsidRPr="00261966">
        <w:t>UniCredit</w:t>
      </w:r>
      <w:proofErr w:type="spellEnd"/>
      <w:r w:rsidRPr="00261966">
        <w:t xml:space="preserve"> Bank </w:t>
      </w:r>
      <w:proofErr w:type="spellStart"/>
      <w:r w:rsidRPr="00261966">
        <w:t>Austria</w:t>
      </w:r>
      <w:proofErr w:type="spellEnd"/>
      <w:r w:rsidRPr="00261966">
        <w:t>) i C-383/18 (</w:t>
      </w:r>
      <w:proofErr w:type="spellStart"/>
      <w:r w:rsidRPr="00261966">
        <w:t>Lexitor</w:t>
      </w:r>
      <w:proofErr w:type="spellEnd"/>
      <w:r w:rsidRPr="00261966">
        <w:t xml:space="preserve"> </w:t>
      </w:r>
      <w:proofErr w:type="spellStart"/>
      <w:r w:rsidRPr="00261966">
        <w:t>sp</w:t>
      </w:r>
      <w:proofErr w:type="spellEnd"/>
      <w:r w:rsidRPr="00261966">
        <w:t xml:space="preserve">. z </w:t>
      </w:r>
      <w:proofErr w:type="spellStart"/>
      <w:r w:rsidRPr="00261966">
        <w:t>o.o</w:t>
      </w:r>
      <w:proofErr w:type="spellEnd"/>
      <w:r w:rsidRPr="00261966">
        <w:t>.) za osiguravanje jednakih uvjeta na tržištu potrošačkih kredita i izbjegavanje narušavanja tržišnog natjecanja;</w:t>
      </w:r>
    </w:p>
    <w:p w:rsidR="00D800F1" w:rsidRPr="00261966" w:rsidRDefault="00D800F1" w:rsidP="00D800F1">
      <w:pPr>
        <w:pStyle w:val="NormalHanging12a"/>
        <w:rPr>
          <w:b/>
          <w:i/>
        </w:rPr>
      </w:pPr>
      <w:r w:rsidRPr="00261966">
        <w:rPr>
          <w:b/>
          <w:i/>
        </w:rPr>
        <w:t>Provedba politike tržišnog natjecanja i globalni trendovi</w:t>
      </w:r>
    </w:p>
    <w:p w:rsidR="00D800F1" w:rsidRPr="00261966" w:rsidRDefault="00D800F1" w:rsidP="00D800F1">
      <w:pPr>
        <w:pStyle w:val="NormalHanging12a"/>
      </w:pPr>
      <w:r w:rsidRPr="00261966">
        <w:t>14.</w:t>
      </w:r>
      <w:r w:rsidRPr="00261966">
        <w:tab/>
        <w:t xml:space="preserve">pozdravlja najavu Komisije da će pokrenuti </w:t>
      </w:r>
      <w:proofErr w:type="spellStart"/>
      <w:r w:rsidRPr="00261966">
        <w:t>antisubvencijski</w:t>
      </w:r>
      <w:proofErr w:type="spellEnd"/>
      <w:r w:rsidRPr="00261966">
        <w:t xml:space="preserve"> ispitni postupak o kineskim električnim vozilima u skladu s Uredbom (EU) 2016/1037 o zaštiti od subvencioniranog uvoza iz zemalja koje nisu članice Europske unije</w:t>
      </w:r>
      <w:r w:rsidRPr="00261966">
        <w:rPr>
          <w:rStyle w:val="FootnoteReference"/>
        </w:rPr>
        <w:footnoteReference w:id="22"/>
      </w:r>
      <w:r w:rsidRPr="00261966">
        <w:t xml:space="preserve">; naglašava važnost učinkovite provedbe instrumenata EU-a o stranim subvencijama, uključujući Uredbu (EU) 2022/2560 o stranim subvencijama, kako bi se osiguralo ublažavanje potencijalno negativnih učinaka na jedinstveno tržište; skreće pozornost na nedostatak </w:t>
      </w:r>
      <w:r w:rsidRPr="00261966">
        <w:lastRenderedPageBreak/>
        <w:t>sredstava jer Komisija raspolaže sa samo osam jedinica ekvivalenta punog radnog vremena;</w:t>
      </w:r>
    </w:p>
    <w:p w:rsidR="00D800F1" w:rsidRPr="00261966" w:rsidRDefault="00D800F1" w:rsidP="00D800F1">
      <w:pPr>
        <w:pStyle w:val="NormalHanging12a"/>
      </w:pPr>
      <w:r w:rsidRPr="00261966">
        <w:t>15.</w:t>
      </w:r>
      <w:r w:rsidRPr="00261966">
        <w:tab/>
        <w:t>poziva Komisiju da modernizira pravila o javnoj nabavi kako bi se suočila s novim prioritetima i operativnim izazovima u cilju poticanja zelenije industrije i europskih standarda;</w:t>
      </w:r>
    </w:p>
    <w:p w:rsidR="00D800F1" w:rsidRPr="00261966" w:rsidRDefault="00D800F1" w:rsidP="00D800F1">
      <w:pPr>
        <w:pStyle w:val="NormalHanging12a"/>
      </w:pPr>
      <w:r w:rsidRPr="00261966">
        <w:t>16.</w:t>
      </w:r>
      <w:r w:rsidRPr="00261966">
        <w:tab/>
        <w:t>Ističe da bi pravila EU-a o tržišnom natjecanju trebala pridonijeti cilju Unije utvrđenom u članku 3. UEU-a; naglašava da „pravedna cijena” proizvoda nije najniža moguća cijena za potrošača, nego cijena koja omogućuje pravednu naknadu svim stranama duž lanca opskrbe, a ne dovodi do negativnih vanjskih učinaka; naglašava da provedba politike tržišnog natjecanja u korist potrošača ne bi trebala uključivati samo razmatranja o razinama cijena, već i pitanja održivosti i učinke na privatnost građana;</w:t>
      </w:r>
    </w:p>
    <w:p w:rsidR="00D800F1" w:rsidRPr="00261966" w:rsidRDefault="00D800F1" w:rsidP="00D800F1">
      <w:pPr>
        <w:pStyle w:val="NormalHanging12a"/>
      </w:pPr>
      <w:r w:rsidRPr="00261966">
        <w:t>17.</w:t>
      </w:r>
      <w:r w:rsidRPr="00261966">
        <w:tab/>
        <w:t xml:space="preserve">ističe ključnu ulogu Europske mreže za tržišno natjecanje (ECN) kao foruma za poticanje suradnje među europskim tijelima nadležnima za tržišno natjecanje; poziva Komisiju da teži kontinuiranom konstruktivnom dijalogu i suradnji na međunarodnoj razini; naglašava potrebu za povećanjem suradnje između protumonopolskih i drugih sektorskih regulatora, kao što su oni koji se bave privatnošću podataka, kako bi se nadzirala zlouporaba korporativnih podataka i spriječilo poduzeća da koriste podatke o potrošačima kako bi stekla nepoštenu konkurentsku prednost; pozdravlja relevantnu ulogu nacionalnih nadležnih tijela u provedbi pravila Akta o digitalnim tržištima i nacionalnih zakonodavnih inicijativa koje se provode kako bi se suzbilo </w:t>
      </w:r>
      <w:proofErr w:type="spellStart"/>
      <w:r w:rsidRPr="00261966">
        <w:t>protutržišno</w:t>
      </w:r>
      <w:proofErr w:type="spellEnd"/>
      <w:r w:rsidRPr="00261966">
        <w:t xml:space="preserve"> ponašanje velikih internetskih platformi u digitalnim sektorima; u tom pogledu naglašava važnost koordiniranog i ujednačenog djelovanja kojim se ne ugrožava primjena Akta o digitalnim tržištima, s jedne strane, i nacionalnih pravila o tržišnom natjecanju u digitalnom sektoru, s druge strane, kako je predviđeno člankom 1. stavkom 6. Akta o digitalnim tržištima;</w:t>
      </w:r>
    </w:p>
    <w:p w:rsidR="00D800F1" w:rsidRPr="00261966" w:rsidRDefault="00D800F1" w:rsidP="00D800F1">
      <w:pPr>
        <w:pStyle w:val="NormalHanging12a"/>
      </w:pPr>
      <w:r w:rsidRPr="00261966">
        <w:t>18.</w:t>
      </w:r>
      <w:r w:rsidRPr="00261966">
        <w:tab/>
        <w:t>ističe da je međunarodna suradnja ključna u kontekstu globalizacije kako bi se osigurala učinkovita provedba prava tržišnog natjecanja; naglašava da namjenski sporazumi o suradnji sa zemljama koje nisu članice EU-a u području politike tržišnog natjecanja mogu smisleno doprinijeti njezinoj učinkovitosti; poziva Komisiju da razvije utjecaj politike tržišnog natjecanja u svijetu, posebno jačanjem suradnje sa zemljama koje nisu članice EU-a putem sporazumâ o suradnji druge generacije kojima se omogućuje učinkovitija razmjena informacija među tijelima nadležnima za tržišno natjecanje;</w:t>
      </w:r>
    </w:p>
    <w:p w:rsidR="00D800F1" w:rsidRPr="00261966" w:rsidRDefault="00D800F1" w:rsidP="00D800F1">
      <w:pPr>
        <w:pStyle w:val="NormalHanging12a"/>
      </w:pPr>
      <w:r w:rsidRPr="00261966">
        <w:t>19.</w:t>
      </w:r>
      <w:r w:rsidRPr="00261966">
        <w:tab/>
        <w:t>poziva Komisiju da u većoj mjeri iskoristi dodatne alate za dokazivanje kao što su bihevioralni uvidi i financijska analitika, kao i veću upotrebu podataka, znanstvenika u području računala i umjetne inteligencije te bihevioralnih ekonomista u provedbi prava tržišnog natjecanja;</w:t>
      </w:r>
    </w:p>
    <w:p w:rsidR="00D800F1" w:rsidRPr="00261966" w:rsidRDefault="00D800F1" w:rsidP="00D800F1">
      <w:pPr>
        <w:pStyle w:val="NormalHanging12a"/>
      </w:pPr>
      <w:r w:rsidRPr="00261966">
        <w:t>20.</w:t>
      </w:r>
      <w:r w:rsidRPr="00261966">
        <w:tab/>
        <w:t>prima na znanje i dalje visok stupanj tržišne koncentracije za agencije za kreditni rejting s obzirom na to da tri najveće agencije za kreditni rejting imaju tržišni udio veći od 90 %</w:t>
      </w:r>
      <w:r w:rsidRPr="00261966">
        <w:rPr>
          <w:rStyle w:val="FootnoteReference"/>
        </w:rPr>
        <w:footnoteReference w:id="23"/>
      </w:r>
      <w:r w:rsidRPr="00261966">
        <w:t>; ponavlja da je potrebno poboljšati tržišno natjecanje na tom tržištu kako bi se zajamčila nepristranost i povjerenje;</w:t>
      </w:r>
    </w:p>
    <w:p w:rsidR="00D800F1" w:rsidRPr="00261966" w:rsidRDefault="00D800F1" w:rsidP="00D800F1">
      <w:pPr>
        <w:pStyle w:val="NormalHanging12a"/>
      </w:pPr>
      <w:r w:rsidRPr="00261966">
        <w:lastRenderedPageBreak/>
        <w:t>21.</w:t>
      </w:r>
      <w:r w:rsidRPr="00261966">
        <w:tab/>
        <w:t>žali zbog odluke društva Ernst &amp; Young da zaustavi postupak razdvajanja svojih revizorskih i savjetodavnih poduzeća; napominje da kombinacija revizorskih i savjetodavnih poduzeća može dovesti do sukoba interesa i povećati dominantan položaj na tržištu svakog od četiriju velikih poduzeća; poziva Komisiju da istraži reviziju i spajanje savjetodavnih poduzeća te da eventualno predstavi mjere za sprečavanje sukoba interesa i problema dominacije na tržištu;</w:t>
      </w:r>
    </w:p>
    <w:p w:rsidR="00D800F1" w:rsidRPr="00261966" w:rsidRDefault="00D800F1" w:rsidP="00D800F1">
      <w:pPr>
        <w:pStyle w:val="NormalHanging12a"/>
        <w:rPr>
          <w:b/>
          <w:i/>
        </w:rPr>
      </w:pPr>
      <w:r w:rsidRPr="00261966">
        <w:rPr>
          <w:b/>
          <w:i/>
        </w:rPr>
        <w:t>Kontrola koncentracija</w:t>
      </w:r>
    </w:p>
    <w:p w:rsidR="00D800F1" w:rsidRPr="00261966" w:rsidRDefault="00D800F1" w:rsidP="00D800F1">
      <w:pPr>
        <w:pStyle w:val="NormalHanging12a"/>
      </w:pPr>
      <w:r w:rsidRPr="00261966">
        <w:t>22.</w:t>
      </w:r>
      <w:r w:rsidRPr="00261966">
        <w:tab/>
        <w:t>napominje da bi se kupnjom novoosnovanih poduzeća od strane dominantnih aktera moglo izazvati smanjenje inovacija i, u konačnici, tržišnog natjecanja; naglašava da je važno da Komisija posveti posebnu pozornost fenomenu „ubojitih preuzimanja” u digitalnom sektoru, koji se mora prijaviti u okviru Akta o digitalnim tržištima te da, prema potrebi, poduzme odlučne mjere u skladu s člankom 22. Uredbe EZ-a o koncentracijama;</w:t>
      </w:r>
    </w:p>
    <w:p w:rsidR="00D800F1" w:rsidRPr="00261966" w:rsidRDefault="00D800F1" w:rsidP="00D800F1">
      <w:pPr>
        <w:pStyle w:val="NormalHanging12a"/>
      </w:pPr>
      <w:r w:rsidRPr="00261966">
        <w:t>23.</w:t>
      </w:r>
      <w:r w:rsidRPr="00261966">
        <w:tab/>
        <w:t>pozdravlja nedavne odluke Komisije o slučajevima spajanja</w:t>
      </w:r>
      <w:r w:rsidRPr="00261966">
        <w:rPr>
          <w:rStyle w:val="FootnoteReference"/>
        </w:rPr>
        <w:footnoteReference w:id="24"/>
      </w:r>
      <w:r w:rsidRPr="00261966">
        <w:t>; naglašava važnost strukturnih pravnih sredstava u odlukama o spajanju; napominje da najveće i najutjecajnije internetske platforme utječu na svakodnevno poslovanje desetaka tisuća MSP-ova; naglašava da kupnja ne smije dovesti do jačanja dominantnog položaja poduzeća na hotelskom tržištu jer mu omogućuje unakrsnu prodaju njegovih različitih usluga;</w:t>
      </w:r>
    </w:p>
    <w:p w:rsidR="00D800F1" w:rsidRPr="00261966" w:rsidRDefault="00D800F1" w:rsidP="00D800F1">
      <w:pPr>
        <w:pStyle w:val="NormalHanging12a"/>
      </w:pPr>
      <w:r w:rsidRPr="00261966">
        <w:t>24.</w:t>
      </w:r>
      <w:r w:rsidRPr="00261966">
        <w:tab/>
        <w:t>pozdravlja inicijativu Komisije da preispita svoju obavijest o definiciji „relevantnog tržišta” i sa zanimanjem iščekuje ishode javnog savjetovanja; naglašava potrebu za usvajanjem dinamičnijeg pristupa koji nadilazi tradicionalni pristup, posebno za nova tržišta u nastajanju, primjerice u digitalnom sektoru, te uzima u obzir dugoročniju viziju koja obuhvaća globalnu dimenziju i potencijalnu buduću konkurenciju; žali zbog činjenice da je Komisija u prošlosti ponekad imala preusku perspektivu na relevantnom tržištu, čime je europskim poduzećima uskratila mogućnost da se učinkovito natječu u globaliziranom okruženju; podržava Komisiju da pri procjeni koncentracija u kojima bi širenje na susjedna tržišta imalo učinak daljnjeg jačanja vladajućeg položaja na temeljnom tržištu poduzeća preuzimatelja u većoj mjeri uzima u obzir moguću štetu za tržišno natjecanje;</w:t>
      </w:r>
    </w:p>
    <w:p w:rsidR="00D800F1" w:rsidRPr="00261966" w:rsidRDefault="00D800F1" w:rsidP="00D800F1">
      <w:pPr>
        <w:pStyle w:val="NormalHanging12a"/>
      </w:pPr>
      <w:r w:rsidRPr="00261966">
        <w:t>25.</w:t>
      </w:r>
      <w:r w:rsidRPr="00261966">
        <w:tab/>
        <w:t>zabrinut je zbog dalekosežne koncentracije u određenim dijelovima lanca opskrbe hranom na štetu potrošača, poljoprivrednika, okoliša i biološke raznolikosti;</w:t>
      </w:r>
    </w:p>
    <w:p w:rsidR="00D800F1" w:rsidRPr="00261966" w:rsidRDefault="00D800F1" w:rsidP="00D800F1">
      <w:pPr>
        <w:pStyle w:val="NormalHanging12a"/>
      </w:pPr>
      <w:r w:rsidRPr="00261966">
        <w:t>26.</w:t>
      </w:r>
      <w:r w:rsidRPr="00261966">
        <w:tab/>
        <w:t>podsjeća da u skladu s Uredbom EZ-a o koncentracijama države članice mogu poduzeti odgovarajuće mjere za zaštitu pitanja od javnog interesa, kao što su zaštita klime, održivost i vladavina prava te traži da se Komisiji pruži ista mogućnost pri ispitivanju učinka koncentracije na unutarnje tržište;</w:t>
      </w:r>
    </w:p>
    <w:p w:rsidR="00D800F1" w:rsidRPr="00261966" w:rsidRDefault="00D800F1" w:rsidP="00D800F1">
      <w:pPr>
        <w:pStyle w:val="NormalHanging12a"/>
        <w:rPr>
          <w:b/>
          <w:i/>
        </w:rPr>
      </w:pPr>
      <w:r w:rsidRPr="00261966">
        <w:rPr>
          <w:b/>
          <w:i/>
        </w:rPr>
        <w:t>Borba protiv monopola i karteli</w:t>
      </w:r>
    </w:p>
    <w:p w:rsidR="00D800F1" w:rsidRPr="00261966" w:rsidRDefault="00D800F1" w:rsidP="00D800F1">
      <w:pPr>
        <w:pStyle w:val="NormalHanging12a"/>
      </w:pPr>
      <w:r w:rsidRPr="00261966">
        <w:t>27.</w:t>
      </w:r>
      <w:r w:rsidRPr="00261966">
        <w:tab/>
        <w:t>poziva Komisiju da bolje iskoristi instrument privremenih mjera kako bi se zaustavile sve prakse koje bi ozbiljno naškodile tržišnom natjecanju, posebno kada je riječ o dinamičnim tržištima koja se brzo razvijaju, kao što su digitalna tržišta;</w:t>
      </w:r>
    </w:p>
    <w:p w:rsidR="00D800F1" w:rsidRPr="00261966" w:rsidRDefault="00D800F1" w:rsidP="00D800F1">
      <w:pPr>
        <w:pStyle w:val="NormalHanging12a"/>
      </w:pPr>
      <w:r w:rsidRPr="00261966">
        <w:lastRenderedPageBreak/>
        <w:t>28.</w:t>
      </w:r>
      <w:r w:rsidRPr="00261966">
        <w:tab/>
        <w:t xml:space="preserve">pozdravlja novi pristup u posljednjim protumonopolskim predmetima, u kojima Komisija prvi put i pod određenim uvjetima predviđa uvođenje strukturnih mjera kako bi se zaustavilo </w:t>
      </w:r>
      <w:proofErr w:type="spellStart"/>
      <w:r w:rsidRPr="00261966">
        <w:t>protutržišno</w:t>
      </w:r>
      <w:proofErr w:type="spellEnd"/>
      <w:r w:rsidRPr="00261966">
        <w:t xml:space="preserve"> ponašanje, posebno kada je isto poduzeće tijekom godina ponovilo predmetnu praksu protivnu tržišnom natjecanju u drugim segmentima tržišta; u tom pogledu potiče Komisiju da u tom smjeru nastavi s učinkovitom ex post provedbom protumonopolskih pravila;</w:t>
      </w:r>
    </w:p>
    <w:p w:rsidR="00D800F1" w:rsidRPr="00261966" w:rsidRDefault="00D800F1" w:rsidP="00D800F1">
      <w:pPr>
        <w:pStyle w:val="NormalHanging12a"/>
      </w:pPr>
      <w:r w:rsidRPr="00261966">
        <w:t>29.</w:t>
      </w:r>
      <w:r w:rsidRPr="00261966">
        <w:tab/>
        <w:t xml:space="preserve">poziva Komisiju da ubrza protumonopolske postupke, odredi odgovarajuće rokove za postupke i osigura učinkovito praćenje odluka kako bi se izbjegli dugotrajni postupci, primjerice u slučaju </w:t>
      </w:r>
      <w:proofErr w:type="spellStart"/>
      <w:r w:rsidRPr="00261966">
        <w:t>Spotifya</w:t>
      </w:r>
      <w:proofErr w:type="spellEnd"/>
      <w:r w:rsidRPr="00261966">
        <w:t>, koji je 2019. podnio pritužbu protiv Applea i u kojem, unatoč tome što je Komisija izdala obavijest o preliminarno utvrđenim činjenicama, nisu poduzete nikakve konkretne mjere za rješavanje pitanja ograničenja društva Apple, kojim se stvaratelji aplikacija sprječavaju da slobodno komuniciraju s vlastitim korisnicima;</w:t>
      </w:r>
    </w:p>
    <w:p w:rsidR="00D800F1" w:rsidRPr="00261966" w:rsidRDefault="00D800F1" w:rsidP="00D800F1">
      <w:pPr>
        <w:pStyle w:val="NormalHanging12a"/>
      </w:pPr>
      <w:r w:rsidRPr="00261966">
        <w:t>30.</w:t>
      </w:r>
      <w:r w:rsidRPr="00261966">
        <w:tab/>
        <w:t>pozdravlja pokretanje inicijative o smjernicama o zlouporabi vladajućeg položaja u smislu istiskivanja, koja će biti izrađena 2024. i usvojena 2025., te predanost Komisije snažnoj, učinkovitoj i brzoj primjeni članka 102. UFEU-a u području zlouporabe istiskivanja; poziva Komisiju da konkretno potvrdi provedbu protumonopolskih pravila koja se temelje na učinku, a posebno relevantnost gospodarskih dokaza u odgovarajućim slučajevima; poziva na to da se pri procjeni izrabljivačkih zlouporaba kao što su previsoke cijene i nepošteni uvjeti uzme u obzir osjetljivost potrošača;</w:t>
      </w:r>
    </w:p>
    <w:p w:rsidR="00D800F1" w:rsidRPr="00261966" w:rsidRDefault="00D800F1" w:rsidP="00D800F1">
      <w:pPr>
        <w:pStyle w:val="NormalHanging12a"/>
      </w:pPr>
      <w:r w:rsidRPr="00261966">
        <w:t>31.</w:t>
      </w:r>
      <w:r w:rsidRPr="00261966">
        <w:tab/>
        <w:t xml:space="preserve">prima na znanje pokretanje službene istrage o mogućim </w:t>
      </w:r>
      <w:proofErr w:type="spellStart"/>
      <w:r w:rsidRPr="00261966">
        <w:t>protutržišnim</w:t>
      </w:r>
      <w:proofErr w:type="spellEnd"/>
      <w:r w:rsidRPr="00261966">
        <w:t xml:space="preserve"> praksama nadzornika pristupa vezanjem ili objedinjavanjem usluga platforme za komunikaciju i suradnju s vlastitim dominantnim i popularnim softverom</w:t>
      </w:r>
      <w:r w:rsidRPr="00261966">
        <w:rPr>
          <w:rStyle w:val="FootnoteReference"/>
        </w:rPr>
        <w:footnoteReference w:id="25"/>
      </w:r>
      <w:r w:rsidRPr="00261966">
        <w:t xml:space="preserve">; poziva Komisiju da pažljivo ocijeni ustupke koje je nadzornik pristupa jednostrano ponudio s uključenim poduzećima kako bi se osiguralo da se njima rješavaju problemi sudionika na tržištu u pogledu novih i postojećih korisnika, kao i pitanja </w:t>
      </w:r>
      <w:proofErr w:type="spellStart"/>
      <w:r w:rsidRPr="00261966">
        <w:t>interoperabilnosti</w:t>
      </w:r>
      <w:proofErr w:type="spellEnd"/>
      <w:r w:rsidRPr="00261966">
        <w:t xml:space="preserve"> i određivanja cijena;</w:t>
      </w:r>
    </w:p>
    <w:p w:rsidR="00D800F1" w:rsidRPr="00261966" w:rsidRDefault="00D800F1" w:rsidP="00D800F1">
      <w:pPr>
        <w:pStyle w:val="NormalHanging12a"/>
      </w:pPr>
      <w:r w:rsidRPr="00261966">
        <w:t>32.</w:t>
      </w:r>
      <w:r w:rsidRPr="00261966">
        <w:tab/>
        <w:t>ustraje na učinkovitim pravnim sredstvima koja bi mogla zahtijevati bolju koordinaciju među provedbenim tijelima i daljnji dijalog s trećim stranama, kao i odgovarajuću provedbu; podsjeća da su poduzeća koja su određena kao nadzornici pristupa bila predmet prethodnih protumonopolskih presuda, koje nisu dovele do učinkovitih promjena u ponašanju, posebno u pogledu davanja prednosti vlastitim proizvodima na digitalnim tržištima; poziva Komisiju da bolje iskoristi strukturne mjere kao krajnju mjeru; ponavlja svoj poziv Komisiji da ukine nadređenost mjera praćenja poslovanja u pravu EU-a;</w:t>
      </w:r>
    </w:p>
    <w:p w:rsidR="00D800F1" w:rsidRPr="00261966" w:rsidRDefault="00D800F1" w:rsidP="00D800F1">
      <w:pPr>
        <w:pStyle w:val="NormalHanging12a"/>
      </w:pPr>
      <w:r w:rsidRPr="00261966">
        <w:t>33.</w:t>
      </w:r>
      <w:r w:rsidRPr="00261966">
        <w:tab/>
        <w:t xml:space="preserve">ponavlja poziv Komisiji da riješi problem negativnog učinka koji teritorijalna ograničenja opskrbe imaju na tržišno natjecanje kako bi se osiguralo potpuno funkcionalno jedinstveno tržište i iskoristile njegove potencijalne koristi za potrošače; </w:t>
      </w:r>
    </w:p>
    <w:p w:rsidR="00D800F1" w:rsidRPr="00261966" w:rsidRDefault="00CC50D4" w:rsidP="00D800F1">
      <w:pPr>
        <w:pStyle w:val="NormalHanging12a"/>
      </w:pPr>
      <w:r w:rsidRPr="00261966">
        <w:t>34.</w:t>
      </w:r>
      <w:r w:rsidR="00D800F1" w:rsidRPr="00261966">
        <w:tab/>
        <w:t xml:space="preserve">ponavlja svoj poziv Komisiji da nastavi aktivno pratiti i uklanjati neopravdano geografsko blokiranje i druga ograničenja prekogranične internetske prodaje, na temelju </w:t>
      </w:r>
      <w:r w:rsidR="00D800F1" w:rsidRPr="00261966">
        <w:lastRenderedPageBreak/>
        <w:t xml:space="preserve">pristupa koji je prvenstveno usmjeren na potrošače kako bi im se omogućio pristup većem izboru proizvoda i usluga diljem EU-a; </w:t>
      </w:r>
    </w:p>
    <w:p w:rsidR="00D800F1" w:rsidRPr="00261966" w:rsidRDefault="00D800F1" w:rsidP="00D800F1">
      <w:pPr>
        <w:pStyle w:val="NormalHanging12a"/>
        <w:rPr>
          <w:b/>
          <w:i/>
        </w:rPr>
      </w:pPr>
      <w:r w:rsidRPr="00261966">
        <w:rPr>
          <w:b/>
          <w:i/>
        </w:rPr>
        <w:t>Politika tržišnog natjecanja u digitalnom dobu</w:t>
      </w:r>
    </w:p>
    <w:p w:rsidR="00D800F1" w:rsidRPr="00261966" w:rsidRDefault="00D800F1" w:rsidP="00D800F1">
      <w:pPr>
        <w:pStyle w:val="NormalHanging12a"/>
      </w:pPr>
      <w:r w:rsidRPr="00261966">
        <w:t>35.</w:t>
      </w:r>
      <w:r w:rsidRPr="00261966">
        <w:tab/>
        <w:t xml:space="preserve">pozdravlja određivanje šest nadzornika pristupa – </w:t>
      </w:r>
      <w:proofErr w:type="spellStart"/>
      <w:r w:rsidRPr="00261966">
        <w:t>Alphabet</w:t>
      </w:r>
      <w:proofErr w:type="spellEnd"/>
      <w:r w:rsidRPr="00261966">
        <w:t xml:space="preserve">, Amazon, Apple, </w:t>
      </w:r>
      <w:proofErr w:type="spellStart"/>
      <w:r w:rsidRPr="00261966">
        <w:t>ByteDance</w:t>
      </w:r>
      <w:proofErr w:type="spellEnd"/>
      <w:r w:rsidRPr="00261966">
        <w:t>, Meta i Microsoft</w:t>
      </w:r>
      <w:r w:rsidRPr="00261966">
        <w:rPr>
          <w:rStyle w:val="FootnoteReference"/>
        </w:rPr>
        <w:footnoteReference w:id="26"/>
      </w:r>
      <w:r w:rsidRPr="00261966">
        <w:t xml:space="preserve"> – za 22 osnovne usluge platforme u okviru Akta o digitalnim tržištima, četiri istraživanja tržišta radi pobijanja, kao i prvo istraživanje tržišta u skladu s člankom 3. stavkom 8. Akta o digitalnim tržištima; potiče Komisiju da odmah donese delegirane akte kako bi se proširili načini primjene ili odredili načini provedbe obveza utvrđenih u člancima 5., 6., 7. i 12. Akta o digitalnim tržištima; poziva Komisiju da strogo procijeni poštuju li nadzornici pristupa obveze Akta o digitalnim tržištima prije 6. ožujka 2024. i da zatraži povratne informacije od trećih strana o tome dovode li rješenja za usklađenost koja nude nadzornici pristupa do pravednijih digitalnih tržišta s većim tržišnim natjecanjem; poziva Komisiju da osigura da mjere nadzornika pristupa u pogledu sigurnosti i integriteta njihovih platformi, koje bi mogle utjecati na usklađenost s Aktom o digitalnim tržištima, provjeravaju neovisne treće strane, a ne da se provjeravaju samo na temelju vlastite procjene nadzornika pristupa;</w:t>
      </w:r>
    </w:p>
    <w:p w:rsidR="00D800F1" w:rsidRPr="00261966" w:rsidRDefault="00D800F1" w:rsidP="00D800F1">
      <w:pPr>
        <w:pStyle w:val="NormalHanging12a"/>
      </w:pPr>
      <w:r w:rsidRPr="00261966">
        <w:t>36.</w:t>
      </w:r>
      <w:r w:rsidRPr="00261966">
        <w:tab/>
      </w:r>
      <w:proofErr w:type="spellStart"/>
      <w:r w:rsidRPr="00261966">
        <w:t>isiče</w:t>
      </w:r>
      <w:proofErr w:type="spellEnd"/>
      <w:r w:rsidRPr="00261966">
        <w:t xml:space="preserve"> da je u studiji Komisije o utjecaju nedavnih kretanja u digitalnom oglašavanju na privatnost, izdavače i oglašivače zaključeno da bi masovno prikupljanje i obrada osobnih podataka u svrhe oglašavanja te netransparentnost tržišta digitalnog oglašavanja mogli potaknuti prijevare povezane s oglasima</w:t>
      </w:r>
      <w:r w:rsidRPr="00261966">
        <w:rPr>
          <w:rStyle w:val="FootnoteReference"/>
        </w:rPr>
        <w:footnoteReference w:id="27"/>
      </w:r>
      <w:r w:rsidRPr="00261966">
        <w:t xml:space="preserve">; poziva Komisiju da, u skladu s preporukama iz studije, dodatno analizira zakonodavne mogućnosti za buduće političke intervencije, uključujući uvođenje strukturnih mjera, kako bi se riješio problem </w:t>
      </w:r>
      <w:proofErr w:type="spellStart"/>
      <w:r w:rsidRPr="00261966">
        <w:t>protutržišnog</w:t>
      </w:r>
      <w:proofErr w:type="spellEnd"/>
      <w:r w:rsidRPr="00261966">
        <w:t xml:space="preserve"> ponašanja dopunjavanjem Akta o digitalnim tržištima i Akta o digitalnim uslugama u tom pogledu</w:t>
      </w:r>
      <w:r w:rsidRPr="00261966">
        <w:rPr>
          <w:rStyle w:val="FootnoteReference"/>
        </w:rPr>
        <w:footnoteReference w:id="28"/>
      </w:r>
      <w:r w:rsidRPr="00261966">
        <w:t>;</w:t>
      </w:r>
    </w:p>
    <w:p w:rsidR="00D800F1" w:rsidRPr="00261966" w:rsidRDefault="00D800F1" w:rsidP="00D800F1">
      <w:pPr>
        <w:pStyle w:val="NormalHanging12a"/>
      </w:pPr>
      <w:r w:rsidRPr="00261966">
        <w:t>37.</w:t>
      </w:r>
      <w:r w:rsidRPr="00261966">
        <w:tab/>
        <w:t xml:space="preserve">prima na znanje istraživanja tržišta Microsoftova </w:t>
      </w:r>
      <w:proofErr w:type="spellStart"/>
      <w:r w:rsidRPr="00261966">
        <w:t>Edgea</w:t>
      </w:r>
      <w:proofErr w:type="spellEnd"/>
      <w:r w:rsidRPr="00261966">
        <w:t xml:space="preserve"> i Binga</w:t>
      </w:r>
      <w:r w:rsidRPr="00261966">
        <w:rPr>
          <w:rStyle w:val="FootnoteReference"/>
        </w:rPr>
        <w:footnoteReference w:id="29"/>
      </w:r>
      <w:r w:rsidRPr="00261966">
        <w:t xml:space="preserve"> te </w:t>
      </w:r>
      <w:proofErr w:type="spellStart"/>
      <w:r w:rsidRPr="00261966">
        <w:t>Appleova</w:t>
      </w:r>
      <w:proofErr w:type="spellEnd"/>
      <w:r w:rsidRPr="00261966">
        <w:t xml:space="preserve"> sustava </w:t>
      </w:r>
      <w:proofErr w:type="spellStart"/>
      <w:r w:rsidRPr="00261966">
        <w:t>iOS</w:t>
      </w:r>
      <w:proofErr w:type="spellEnd"/>
      <w:r w:rsidRPr="00261966">
        <w:t xml:space="preserve"> </w:t>
      </w:r>
      <w:proofErr w:type="spellStart"/>
      <w:r w:rsidRPr="00261966">
        <w:t>iMessage</w:t>
      </w:r>
      <w:proofErr w:type="spellEnd"/>
      <w:r w:rsidRPr="00261966">
        <w:rPr>
          <w:rStyle w:val="FootnoteReference"/>
        </w:rPr>
        <w:footnoteReference w:id="30"/>
      </w:r>
      <w:r w:rsidRPr="00261966">
        <w:t xml:space="preserve"> kako bi se ocijenila njihova uloga pristupnih točaka i njihov čvrst položaj na tržištu, u skladu s odlukom da se Apple i Microsoft smatraju nadzornicima pristupa u okviru Akta o digitalnim tržištima; upozorava da je sustav </w:t>
      </w:r>
      <w:proofErr w:type="spellStart"/>
      <w:r w:rsidRPr="00261966">
        <w:t>iMessage</w:t>
      </w:r>
      <w:proofErr w:type="spellEnd"/>
      <w:r w:rsidRPr="00261966">
        <w:t xml:space="preserve"> automatski uključen na svim uređajima </w:t>
      </w:r>
      <w:proofErr w:type="spellStart"/>
      <w:r w:rsidRPr="00261966">
        <w:t>iOS</w:t>
      </w:r>
      <w:proofErr w:type="spellEnd"/>
      <w:r w:rsidRPr="00261966">
        <w:t xml:space="preserve">-a za više od 144 milijuna korisnika; naglašava važnost pametnih telefona kao ključnog osobnog i profesionalnog alata; ističe da na današnjem tržištu dominiraju dva operativna sustava s vlastitim </w:t>
      </w:r>
      <w:proofErr w:type="spellStart"/>
      <w:r w:rsidRPr="00261966">
        <w:t>neinteroperabilnim</w:t>
      </w:r>
      <w:proofErr w:type="spellEnd"/>
      <w:r w:rsidRPr="00261966">
        <w:t xml:space="preserve"> uslugama za razmjenu poruka, što korisnicima i poduzećima ograničava mogućnost slobodnog kretanja iz jednog ekosustava u drugi i da međusobno neometano komuniciraju bez obzira na operativni sustav, što je u osnovi protivno duhu i sadržaju Akta o digitalnim tržištima; stoga poziva Komisiju da žurno nastavi s istragom </w:t>
      </w:r>
      <w:r w:rsidRPr="00261966">
        <w:lastRenderedPageBreak/>
        <w:t xml:space="preserve">i njezinom učinkovitom provedbom kako bi se svima pravodobno pružila korist od </w:t>
      </w:r>
      <w:proofErr w:type="spellStart"/>
      <w:r w:rsidRPr="00261966">
        <w:t>interoperabilnosti</w:t>
      </w:r>
      <w:proofErr w:type="spellEnd"/>
      <w:r w:rsidRPr="00261966">
        <w:t xml:space="preserve"> poruka;</w:t>
      </w:r>
    </w:p>
    <w:p w:rsidR="00D800F1" w:rsidRPr="00261966" w:rsidRDefault="00D800F1" w:rsidP="00D800F1">
      <w:pPr>
        <w:pStyle w:val="NormalHanging12a"/>
      </w:pPr>
      <w:r w:rsidRPr="00261966">
        <w:t>38.</w:t>
      </w:r>
      <w:r w:rsidRPr="00261966">
        <w:tab/>
        <w:t xml:space="preserve">prima na znanje odluku Suda u predmetu </w:t>
      </w:r>
      <w:r w:rsidRPr="00261966">
        <w:rPr>
          <w:i/>
          <w:iCs/>
        </w:rPr>
        <w:t xml:space="preserve">Meta </w:t>
      </w:r>
      <w:proofErr w:type="spellStart"/>
      <w:r w:rsidRPr="00261966">
        <w:rPr>
          <w:i/>
          <w:iCs/>
        </w:rPr>
        <w:t>Platforms</w:t>
      </w:r>
      <w:proofErr w:type="spellEnd"/>
      <w:r w:rsidRPr="00261966">
        <w:rPr>
          <w:i/>
          <w:iCs/>
        </w:rPr>
        <w:t xml:space="preserve"> Inc. i drugi protiv </w:t>
      </w:r>
      <w:proofErr w:type="spellStart"/>
      <w:r w:rsidRPr="00261966">
        <w:rPr>
          <w:i/>
          <w:iCs/>
        </w:rPr>
        <w:t>Bundeskartellamta</w:t>
      </w:r>
      <w:proofErr w:type="spellEnd"/>
      <w:r w:rsidRPr="00261966">
        <w:t xml:space="preserve"> kojom se potvrđuje nadležnost nacionalnih tijela za tržišno natjecanje za provedbu pravila o zaštiti podataka u skladu s protumonopolskim zakonima; ističe da Sud EU-a potvrđuje da je zaštita osobnih podataka važan čimbenik pri ispitivanju zlouporabe dominantnog položaja i da nameće zahtjeve u pogledu upotrebe osobnih podataka pojedinaca za ciljano oglašavanje; potiče tijela nadležna za tržišno natjecanje da istraže kršenja Opće uredbe o zaštiti podataka</w:t>
      </w:r>
      <w:r w:rsidRPr="00261966">
        <w:rPr>
          <w:rStyle w:val="FootnoteReference"/>
        </w:rPr>
        <w:footnoteReference w:id="31"/>
      </w:r>
      <w:r w:rsidRPr="00261966">
        <w:t>, a tijela za zaštitu podataka da sankcioniraju takva kršenja;</w:t>
      </w:r>
    </w:p>
    <w:p w:rsidR="00D800F1" w:rsidRPr="00261966" w:rsidRDefault="00D800F1" w:rsidP="00D800F1">
      <w:pPr>
        <w:pStyle w:val="NormalHanging12a"/>
      </w:pPr>
      <w:r w:rsidRPr="00261966">
        <w:t>39.</w:t>
      </w:r>
      <w:r w:rsidRPr="00261966">
        <w:tab/>
        <w:t xml:space="preserve">prima na znanje zaključke postupaka </w:t>
      </w:r>
      <w:proofErr w:type="spellStart"/>
      <w:r w:rsidRPr="00261966">
        <w:t>Bundeskartellamta</w:t>
      </w:r>
      <w:proofErr w:type="spellEnd"/>
      <w:r w:rsidRPr="00261966">
        <w:t xml:space="preserve"> i društva </w:t>
      </w:r>
      <w:proofErr w:type="spellStart"/>
      <w:r w:rsidRPr="00261966">
        <w:t>Alphabet</w:t>
      </w:r>
      <w:proofErr w:type="spellEnd"/>
      <w:r w:rsidRPr="00261966">
        <w:t xml:space="preserve"> Inc. koji korisnicima Googlea daju bolji izbor u pogledu načina na koji Google obrađuje njihove podatke; tvrdi da potrošači u EU-u moraju imati izbor hoće li dopustiti aglomeraciju i obradu svojih osobnih podataka među različitim uslugama; potiče Komisiju da nastavi s koordinacijom provedbenih aktivnosti i surađuje s nacionalnim tijelima nadležnima za tržišno natjecanje kako bi se olakšalo učinkovito međudjelovanje prava tržišnog natjecanja i Akta o digitalnim tržištima, posebno u kontekstu „daljnjih obveza” Akta o digitalnim tržištima; </w:t>
      </w:r>
    </w:p>
    <w:p w:rsidR="00D800F1" w:rsidRPr="00261966" w:rsidRDefault="00D800F1" w:rsidP="00D800F1">
      <w:pPr>
        <w:pStyle w:val="NormalHanging12a"/>
      </w:pPr>
      <w:r w:rsidRPr="00261966">
        <w:t>40.</w:t>
      </w:r>
      <w:r w:rsidRPr="00261966">
        <w:tab/>
        <w:t xml:space="preserve">ističe da je internet stvari rastuće tržište; nadalje ističe da su pametni kućanski uređaji, kao što su robotski usisavači, glavni izvor podataka o potrošačima; napominje da spajanja i preuzimanja u tom sektoru mogu nanijeti veliku štetu tržišnom natjecanju; poziva Komisiju da u procjenu slučajeva spajanja i preuzimanja u tom sektoru uključi podatke kao izvor tržišne snage, posebno kada ti slučajevi uključuju etablirana velika tehnološka poduzeća; nadalje, poziva na uvođenje uvjeta za upotrebu podataka, ako je to potrebno; </w:t>
      </w:r>
    </w:p>
    <w:p w:rsidR="00D800F1" w:rsidRPr="00261966" w:rsidRDefault="00D800F1" w:rsidP="00D800F1">
      <w:pPr>
        <w:pStyle w:val="NormalHanging12a"/>
      </w:pPr>
      <w:r w:rsidRPr="00261966">
        <w:t>41.</w:t>
      </w:r>
      <w:r w:rsidRPr="00261966">
        <w:tab/>
        <w:t>žali zbog toga što na popisu nadzornika pristupa nema pružatelja usluga računalstva u oblaku; poziva Komisiju da razmotri pokretanje istraživanja tržišta u skladu s člankom 3. stavkom 8. Akta o digitalnim tržištima (kvalitativna procjena) u tom sektoru, posebno s obzirom na koncentriranu strukturu tržišta i štetne prakse kojima se narušava tržišno natjecanje koje ističu nacionalna tijela nadležna za tržišno natjecanje; ističe da europskim tržištem računalstva u oblaku dominira nekoliko vrlo velikih aktera; poziva Komisiju da osigura da se odrede sve prihvatljive usluge kako bi se ponovno uspostavilo pošteno i ravnopravno tržišno natjecanje na europskom tržištu računalstva u oblaku;</w:t>
      </w:r>
    </w:p>
    <w:p w:rsidR="00D800F1" w:rsidRPr="00261966" w:rsidRDefault="00D800F1" w:rsidP="00D800F1">
      <w:pPr>
        <w:pStyle w:val="NormalHanging12a"/>
      </w:pPr>
      <w:r w:rsidRPr="00261966">
        <w:t>42.</w:t>
      </w:r>
      <w:r w:rsidRPr="00261966">
        <w:tab/>
        <w:t xml:space="preserve">poziva Komisiju da procijeni potrebu za pokretanjem istraživanja tržišta u skladu s člankom 19. Akta o digitalnim tržištima dodavanjem novih kategorija osnovnih usluga platforme u skladu s člankom 2. stavkom 2. Akta o digitalnim tržištima s obzirom na najnovija tehnološka dostignuća koja mogu dovesti do novih vrsta usluga koje nisu obuhvaćene postojećim kategorijama kao što je generativna umjetna inteligencija; uviđa da se nove značajke koje potiče generativna umjetna inteligencija mogu ugraditi u postojeće digitalne usluge, kao što su internetske tražilice, i da se mogu obuhvatiti </w:t>
      </w:r>
      <w:r w:rsidRPr="00261966">
        <w:lastRenderedPageBreak/>
        <w:t>postojećim popisom osnovnih usluga platforme koje bi mogle dovesti do jačanja postojećih nadzornika pristupa;</w:t>
      </w:r>
    </w:p>
    <w:p w:rsidR="00D800F1" w:rsidRPr="00261966" w:rsidRDefault="00D800F1" w:rsidP="00D800F1">
      <w:pPr>
        <w:pStyle w:val="NormalHanging12a"/>
      </w:pPr>
      <w:r w:rsidRPr="00261966">
        <w:t xml:space="preserve">43. </w:t>
      </w:r>
      <w:r w:rsidRPr="00261966">
        <w:tab/>
        <w:t>prima na znanje zajedničku izjavu tijela za tržišno natjecanje skupine G7 o tržišnom natjecanju i umjetnoj inteligenciji, u kojoj se naglašava važnost suradnje za promicanje tržišnog natjecanja na digitalnim tržištima</w:t>
      </w:r>
      <w:r w:rsidRPr="00261966">
        <w:rPr>
          <w:rStyle w:val="FootnoteReference"/>
        </w:rPr>
        <w:footnoteReference w:id="32"/>
      </w:r>
      <w:r w:rsidRPr="00261966">
        <w:t>; poziva Komisiju da bude oprezna u pogledu sporazuma o suradnji u kontekstu razvoja umjetne inteligencije kako bi se osiguralo da takvi sporazumi o suradnji ne budu potencijalno skrivena spajanja ili takozvana „ubojita preuzimanja”;</w:t>
      </w:r>
    </w:p>
    <w:p w:rsidR="00D800F1" w:rsidRPr="00261966" w:rsidRDefault="00D800F1" w:rsidP="00D800F1">
      <w:pPr>
        <w:pStyle w:val="NormalHanging12a"/>
      </w:pPr>
      <w:r w:rsidRPr="00261966">
        <w:t>44.</w:t>
      </w:r>
      <w:r w:rsidRPr="00261966">
        <w:tab/>
        <w:t xml:space="preserve">ponavlja da Akt o digitalnim tržištima ima različitu pravnu osnovu u odnosu na okvir tržišnog natjecanja; naglašava potrebu za učinkovitim supostojanjem ex post provedbe prava tržišnog natjecanja i ex </w:t>
      </w:r>
      <w:proofErr w:type="spellStart"/>
      <w:r w:rsidRPr="00261966">
        <w:t>ante</w:t>
      </w:r>
      <w:proofErr w:type="spellEnd"/>
      <w:r w:rsidRPr="00261966">
        <w:t xml:space="preserve"> provedbe Akta o digitalnim tržištima, s obzirom na njihovu komplementarnu prirodu; naglašava potrebu za raspoređivanjem dostatnih ljudskih resursa i sinergija za učinkovitu provedbu pravila te za izbjegavanjem preklapanja ili udvostručavanja postojećih struktura i mjera;</w:t>
      </w:r>
    </w:p>
    <w:p w:rsidR="00D800F1" w:rsidRPr="00261966" w:rsidRDefault="00D800F1" w:rsidP="00D800F1">
      <w:pPr>
        <w:pStyle w:val="NormalHanging12a"/>
      </w:pPr>
      <w:r w:rsidRPr="00261966">
        <w:t>45.</w:t>
      </w:r>
      <w:r w:rsidRPr="00261966">
        <w:tab/>
        <w:t xml:space="preserve">ističe buduće potrebe EU-a u pogledu </w:t>
      </w:r>
      <w:proofErr w:type="spellStart"/>
      <w:r w:rsidRPr="00261966">
        <w:t>povezivosti</w:t>
      </w:r>
      <w:proofErr w:type="spellEnd"/>
      <w:r w:rsidRPr="00261966">
        <w:t xml:space="preserve"> u smislu infrastrukture i ulaganja; poziva Komisiju da razmotri reviziju trenutačne prakse tržišnog natjecanja na telekomunikacijskom tržištu kako bi se olakšalo stvaranje potpuno integriranog jedinstvenog tržišta za telekomunikacijske usluge; napominje da bi konsolidacija tržišta mogla biti jedini način da se izbjegne prodaja pojedinačnih dijelova infrastrukture stranim poduzećima izvan EU-a i da se učinkovito natječe u globalnom kontekstu; ističe da je rast tog sektora u Europi tijekom posljednjeg desetljeća bio vrlo nizak i da je rascjepkanost glavni razlog za to; u tom pogledu pozdravlja najavu povjerenika </w:t>
      </w:r>
      <w:proofErr w:type="spellStart"/>
      <w:r w:rsidRPr="00261966">
        <w:t>Bretona</w:t>
      </w:r>
      <w:proofErr w:type="spellEnd"/>
      <w:r w:rsidRPr="00261966">
        <w:t xml:space="preserve"> o radu Komisije na novom prijedlogu Akta o digitalnim mrežama kako bi se riješio problem fragmentacije tržišta, privukla ulaganja i osigurala telekomunikacijska infrastruktura i inovacije bez dodatnih troškova za potrošače i bez ugrožavanja </w:t>
      </w:r>
      <w:r w:rsidR="00F57DF3" w:rsidRPr="00261966">
        <w:t>neutralnosti mreže i</w:t>
      </w:r>
      <w:r w:rsidR="00F57DF3" w:rsidRPr="00261966">
        <w:rPr>
          <w:b/>
          <w:i/>
        </w:rPr>
        <w:t xml:space="preserve"> </w:t>
      </w:r>
      <w:r w:rsidRPr="00261966">
        <w:t>poštenog tržišnog natjecanja među svim sudionicima;</w:t>
      </w:r>
    </w:p>
    <w:p w:rsidR="00D800F1" w:rsidRPr="00261966" w:rsidRDefault="00D800F1" w:rsidP="00D800F1">
      <w:pPr>
        <w:pStyle w:val="NormalHanging12a"/>
      </w:pPr>
      <w:r w:rsidRPr="00261966">
        <w:t xml:space="preserve">46. </w:t>
      </w:r>
      <w:r w:rsidRPr="00261966">
        <w:tab/>
        <w:t xml:space="preserve">sa zabrinutošću napominje da nadzornici pristupa koji razvijaju prednost u odnosu na konkurenciju na temelju podataka mogu postići kritične ekonomije razmjera, što doprinosi daljnjoj neravnoteži u pogledu tržišnog natjecanja na digitalnim tržištima i guši inovacije; </w:t>
      </w:r>
    </w:p>
    <w:p w:rsidR="00D800F1" w:rsidRPr="00261966" w:rsidRDefault="00D800F1" w:rsidP="00D800F1">
      <w:pPr>
        <w:pStyle w:val="NormalHanging12a"/>
      </w:pPr>
      <w:r w:rsidRPr="00261966">
        <w:t>47.</w:t>
      </w:r>
      <w:r w:rsidRPr="00261966">
        <w:tab/>
        <w:t xml:space="preserve">naglašava da bi pri odlučivanju o digitalnim spajanjima i preuzimanjima trebalo uzeti u obzir i procijeniti imovinu osobnih podataka na isti način kao i drugu tradicionalnu imovinu; nadalje naglašava da konsolidacija podataka spajanjem i preuzimanjem može ojačati dominantan položaj; </w:t>
      </w:r>
    </w:p>
    <w:p w:rsidR="00D800F1" w:rsidRPr="00261966" w:rsidRDefault="00D800F1" w:rsidP="00D800F1">
      <w:pPr>
        <w:pStyle w:val="NormalHanging12a"/>
        <w:rPr>
          <w:b/>
          <w:i/>
        </w:rPr>
      </w:pPr>
      <w:r w:rsidRPr="00261966">
        <w:rPr>
          <w:b/>
          <w:i/>
        </w:rPr>
        <w:t>Oporezivanje</w:t>
      </w:r>
    </w:p>
    <w:p w:rsidR="00D800F1" w:rsidRPr="00261966" w:rsidRDefault="00D800F1" w:rsidP="00D800F1">
      <w:pPr>
        <w:pStyle w:val="NormalHanging12a"/>
      </w:pPr>
      <w:r w:rsidRPr="00261966">
        <w:t>48.</w:t>
      </w:r>
      <w:r w:rsidRPr="00261966">
        <w:tab/>
        <w:t xml:space="preserve">žali zbog negativnih učinaka agresivnog poreznog planiranja i poreznih sustava određenih država članica na pošteno tržišno natjecanje jer se time mogu gušiti inovacije i ugroziti neograničeno tržišno natjecanje na tržištima, posebno za mala i srednja poduzeća; poziva na to da se poduzeća koja izbjegavaju plaćanje poreza koristeći se poreznim oazama trećih zemalja isključe iz postupaka javne nabave i da im se zabrani </w:t>
      </w:r>
      <w:r w:rsidRPr="00261966">
        <w:lastRenderedPageBreak/>
        <w:t xml:space="preserve">primanje državne potpore jer se ta poduzeća pod nepoštenim uvjetima natječu s poduzećima s poslovnim </w:t>
      </w:r>
      <w:proofErr w:type="spellStart"/>
      <w:r w:rsidRPr="00261966">
        <w:t>nastanom</w:t>
      </w:r>
      <w:proofErr w:type="spellEnd"/>
      <w:r w:rsidRPr="00261966">
        <w:t xml:space="preserve"> izvan poreznih oaza; pozdravlja preporuku Komisije od 14. srpnja 2020. da se financijska potpora ne dodjeljuje poduzećima povezanima s poreznim oazama, uz istodobnu zaštitu poštenih poreznih obveznika;</w:t>
      </w:r>
    </w:p>
    <w:p w:rsidR="00D800F1" w:rsidRPr="00261966" w:rsidRDefault="00D800F1" w:rsidP="00D800F1">
      <w:pPr>
        <w:pStyle w:val="NormalHanging12a"/>
      </w:pPr>
      <w:r w:rsidRPr="00261966">
        <w:t>49.</w:t>
      </w:r>
      <w:r w:rsidRPr="00261966">
        <w:tab/>
        <w:t xml:space="preserve">poziva Komisiju da razmotri mogućnost kažnjavanja država koje prekrše pravila o državnim potporama EU-a; potiče Komisiju da nastavi s istragama o praksama donošenja odluka o porezima u državama članicama; </w:t>
      </w:r>
    </w:p>
    <w:p w:rsidR="00D800F1" w:rsidRPr="00261966" w:rsidRDefault="00D800F1" w:rsidP="00D800F1">
      <w:pPr>
        <w:pStyle w:val="NormalHanging12a"/>
      </w:pPr>
      <w:r w:rsidRPr="00261966">
        <w:t>50.</w:t>
      </w:r>
      <w:r w:rsidRPr="00261966">
        <w:tab/>
        <w:t xml:space="preserve">prima na znanje obvezu potpredsjednika </w:t>
      </w:r>
      <w:proofErr w:type="spellStart"/>
      <w:r w:rsidRPr="00261966">
        <w:t>Šefčoviča</w:t>
      </w:r>
      <w:proofErr w:type="spellEnd"/>
      <w:r w:rsidRPr="00261966">
        <w:t xml:space="preserve"> i povjerenika </w:t>
      </w:r>
      <w:proofErr w:type="spellStart"/>
      <w:r w:rsidRPr="00261966">
        <w:t>Hoekstru</w:t>
      </w:r>
      <w:proofErr w:type="spellEnd"/>
      <w:r w:rsidRPr="00261966">
        <w:t xml:space="preserve"> da pokrenu raspravu o postupnom ukidanju subvencija za fosilna goriva; podsjeća na svoj zahtjev da se uvedu konkretne politike, rokovi i mjere kako bi se što prije postupno ukinule subvencije za fosilna goriva poreznim mjerama; </w:t>
      </w:r>
    </w:p>
    <w:p w:rsidR="00D800F1" w:rsidRPr="00261966" w:rsidRDefault="00D800F1" w:rsidP="00D800F1">
      <w:pPr>
        <w:pStyle w:val="NormalHanging12a"/>
      </w:pPr>
      <w:r w:rsidRPr="00261966">
        <w:t>51.</w:t>
      </w:r>
      <w:r w:rsidRPr="00261966">
        <w:tab/>
        <w:t xml:space="preserve">pozdravlja povećani oprez Komisije u provođenju pravila o državnim potporama u području oporezivanja; </w:t>
      </w:r>
    </w:p>
    <w:p w:rsidR="00D800F1" w:rsidRPr="00261966" w:rsidRDefault="00D800F1" w:rsidP="00D800F1">
      <w:pPr>
        <w:pStyle w:val="NormalHanging12a"/>
      </w:pPr>
      <w:r w:rsidRPr="00261966">
        <w:t xml:space="preserve">52. </w:t>
      </w:r>
      <w:r w:rsidRPr="00261966">
        <w:tab/>
        <w:t xml:space="preserve">istodobno žali zbog toga što je Sud Europske unije poništio nekoliko nedavnih odluka Komisije u istaknutim predmetima tržišnog natjecanja u području oporezivanja; poziva Komisiju da detaljnije pripremi svoje predmete u području politike tržišnog natjecanja kako bi se mogli voditi pred sudom; sa zabrinutošću napominje da poništenje novčanih kazni i retroaktivno plaćanje zateznih kamata u poništenim predmetima također predstavljaju proračunski rizik za EU; </w:t>
      </w:r>
    </w:p>
    <w:p w:rsidR="00D800F1" w:rsidRPr="00261966" w:rsidRDefault="00D800F1" w:rsidP="00D800F1">
      <w:pPr>
        <w:pStyle w:val="NormalHanging12a"/>
        <w:rPr>
          <w:b/>
          <w:i/>
        </w:rPr>
      </w:pPr>
      <w:r w:rsidRPr="00261966">
        <w:rPr>
          <w:b/>
          <w:i/>
        </w:rPr>
        <w:t>Sudjelovanje Parlamenta</w:t>
      </w:r>
    </w:p>
    <w:p w:rsidR="00D800F1" w:rsidRPr="00261966" w:rsidRDefault="00D800F1" w:rsidP="00D800F1">
      <w:pPr>
        <w:pStyle w:val="NormalHanging12a"/>
      </w:pPr>
      <w:r w:rsidRPr="00261966">
        <w:t>53.</w:t>
      </w:r>
      <w:r w:rsidRPr="00261966">
        <w:tab/>
        <w:t>naglašava da bi Parlament trebao imati aktivnu ulogu u oblikovanju politike tržišnog natjecanja i biti više uključen u aktivnosti radnih i stručnih skupina; smatra da bi se pravo Parlamenta na intervenciju u sudskim postupcima koji se odnose na pravo tržišnog natjecanja trebalo češće primjenjivati;</w:t>
      </w:r>
    </w:p>
    <w:p w:rsidR="00D800F1" w:rsidRPr="00261966" w:rsidRDefault="00D800F1" w:rsidP="00D800F1">
      <w:pPr>
        <w:pStyle w:val="NormalHanging12a"/>
      </w:pPr>
      <w:r w:rsidRPr="00261966">
        <w:t>54.</w:t>
      </w:r>
      <w:r w:rsidRPr="00261966">
        <w:tab/>
        <w:t>poziva nadležnog povjerenika zaduženog za politiku tržišnog natjecanja da ostane u bliskom kontaktu s nadležnim odborom Parlamenta i njegovom radnom skupinom za pitanja tržišnog natjecanja;</w:t>
      </w:r>
    </w:p>
    <w:p w:rsidR="00D800F1" w:rsidRPr="00261966" w:rsidRDefault="00D800F1" w:rsidP="00D800F1">
      <w:pPr>
        <w:pStyle w:val="NormalHanging12a"/>
        <w:jc w:val="center"/>
      </w:pPr>
      <w:r w:rsidRPr="00261966">
        <w:t>°</w:t>
      </w:r>
    </w:p>
    <w:p w:rsidR="00D800F1" w:rsidRPr="00261966" w:rsidRDefault="00D800F1" w:rsidP="00D800F1">
      <w:pPr>
        <w:pStyle w:val="NormalHanging12a"/>
        <w:jc w:val="center"/>
      </w:pPr>
      <w:r w:rsidRPr="00261966">
        <w:t>°</w:t>
      </w:r>
      <w:r w:rsidRPr="00261966">
        <w:tab/>
        <w:t>°</w:t>
      </w:r>
    </w:p>
    <w:p w:rsidR="00D800F1" w:rsidRPr="00261966" w:rsidRDefault="00D800F1" w:rsidP="00D800F1">
      <w:pPr>
        <w:pStyle w:val="NormalHanging12a"/>
      </w:pPr>
      <w:r w:rsidRPr="00261966">
        <w:t>55.</w:t>
      </w:r>
      <w:r w:rsidRPr="00261966">
        <w:tab/>
        <w:t>nalaže svojoj predsjednici da ovu Rezoluciju proslijedi Vijeću i Komisiji te parlamentima i tijelima nadležnima za tržišno natjecanje u državama članicama.</w:t>
      </w:r>
    </w:p>
    <w:p w:rsidR="00D800F1" w:rsidRPr="00261966" w:rsidRDefault="00D800F1" w:rsidP="00D800F1"/>
    <w:p w:rsidR="00E365E1" w:rsidRPr="00261966" w:rsidRDefault="00E365E1" w:rsidP="0099427C">
      <w:bookmarkStart w:id="9" w:name="TextBodyEnd"/>
      <w:bookmarkEnd w:id="9"/>
    </w:p>
    <w:sectPr w:rsidR="00E365E1" w:rsidRPr="00261966" w:rsidSect="005661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27C" w:rsidRPr="00566110" w:rsidRDefault="0099427C">
      <w:r w:rsidRPr="00566110">
        <w:separator/>
      </w:r>
    </w:p>
  </w:endnote>
  <w:endnote w:type="continuationSeparator" w:id="0">
    <w:p w:rsidR="0099427C" w:rsidRPr="00566110" w:rsidRDefault="0099427C">
      <w:r w:rsidRPr="005661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1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1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1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27C" w:rsidRPr="00566110" w:rsidRDefault="0099427C">
      <w:r w:rsidRPr="00566110">
        <w:separator/>
      </w:r>
    </w:p>
  </w:footnote>
  <w:footnote w:type="continuationSeparator" w:id="0">
    <w:p w:rsidR="0099427C" w:rsidRPr="00566110" w:rsidRDefault="0099427C">
      <w:r w:rsidRPr="00566110">
        <w:continuationSeparator/>
      </w:r>
    </w:p>
  </w:footnote>
  <w:footnote w:id="1">
    <w:p w:rsidR="00D800F1" w:rsidRPr="00566110" w:rsidRDefault="00D800F1" w:rsidP="00566110">
      <w:pPr>
        <w:pStyle w:val="FootnoteText"/>
        <w:ind w:left="567" w:hanging="567"/>
        <w:rPr>
          <w:sz w:val="24"/>
          <w:szCs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Usvojeni tekstovi, P9_TA(2023)0227.</w:t>
      </w:r>
    </w:p>
  </w:footnote>
  <w:footnote w:id="2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Presuda Općeg suda od 13. srpnja 2022., </w:t>
      </w:r>
      <w:proofErr w:type="spellStart"/>
      <w:r w:rsidRPr="00566110">
        <w:rPr>
          <w:i/>
          <w:iCs/>
          <w:sz w:val="24"/>
          <w:lang w:val="hr-HR"/>
        </w:rPr>
        <w:t>Ilumina</w:t>
      </w:r>
      <w:proofErr w:type="spellEnd"/>
      <w:r w:rsidRPr="00566110">
        <w:rPr>
          <w:i/>
          <w:iCs/>
          <w:sz w:val="24"/>
          <w:lang w:val="hr-HR"/>
        </w:rPr>
        <w:t>, Inc. / Europska komisija</w:t>
      </w:r>
      <w:r w:rsidRPr="00566110">
        <w:rPr>
          <w:sz w:val="24"/>
          <w:lang w:val="hr-HR"/>
        </w:rPr>
        <w:t>, T-227/21, ECLI:EU:T:2022:447.</w:t>
      </w:r>
    </w:p>
  </w:footnote>
  <w:footnote w:id="3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C 131 I, 24.3.2022., str. 1.</w:t>
      </w:r>
    </w:p>
  </w:footnote>
  <w:footnote w:id="4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L 24, 29.1.2004., str. 1.</w:t>
      </w:r>
    </w:p>
  </w:footnote>
  <w:footnote w:id="5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L 265, 12.10.2022., str. 1.</w:t>
      </w:r>
    </w:p>
  </w:footnote>
  <w:footnote w:id="6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L 11, 14.1.2019., str. 3.</w:t>
      </w:r>
    </w:p>
  </w:footnote>
  <w:footnote w:id="7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 L 1, 4.1.2003., str. 1.</w:t>
      </w:r>
    </w:p>
  </w:footnote>
  <w:footnote w:id="8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L 123, 27.4.2004., str. 18.</w:t>
      </w:r>
    </w:p>
  </w:footnote>
  <w:footnote w:id="9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C 80, 18.2.2022</w:t>
      </w:r>
      <w:r w:rsidR="00CC50D4">
        <w:rPr>
          <w:sz w:val="24"/>
          <w:lang w:val="hr-HR"/>
        </w:rPr>
        <w:t>.</w:t>
      </w:r>
      <w:r w:rsidRPr="00566110">
        <w:rPr>
          <w:sz w:val="24"/>
          <w:lang w:val="hr-HR"/>
        </w:rPr>
        <w:t>, str. 1.</w:t>
      </w:r>
    </w:p>
  </w:footnote>
  <w:footnote w:id="10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C 36, 31.1.2023</w:t>
      </w:r>
      <w:r w:rsidR="00CC50D4">
        <w:rPr>
          <w:sz w:val="24"/>
          <w:lang w:val="hr-HR"/>
        </w:rPr>
        <w:t>.</w:t>
      </w:r>
      <w:r w:rsidRPr="00566110">
        <w:rPr>
          <w:sz w:val="24"/>
          <w:lang w:val="hr-HR"/>
        </w:rPr>
        <w:t>, str. 1.</w:t>
      </w:r>
    </w:p>
  </w:footnote>
  <w:footnote w:id="11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="009A1A57">
        <w:rPr>
          <w:sz w:val="24"/>
          <w:lang w:val="hr-HR"/>
        </w:rPr>
        <w:t>SL L 330, 23.12.2022</w:t>
      </w:r>
      <w:r w:rsidRPr="00566110">
        <w:rPr>
          <w:sz w:val="24"/>
          <w:lang w:val="hr-HR"/>
        </w:rPr>
        <w:t>., str. 1.</w:t>
      </w:r>
    </w:p>
  </w:footnote>
  <w:footnote w:id="12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Europska komisija, </w:t>
      </w:r>
      <w:hyperlink r:id="rId1" w:history="1">
        <w:r w:rsidRPr="00566110">
          <w:rPr>
            <w:rStyle w:val="Hyperlink"/>
            <w:sz w:val="24"/>
            <w:lang w:val="hr-HR"/>
          </w:rPr>
          <w:t>„Govor o stanju Unije”</w:t>
        </w:r>
      </w:hyperlink>
      <w:r w:rsidRPr="00566110">
        <w:rPr>
          <w:sz w:val="24"/>
          <w:lang w:val="hr-HR"/>
        </w:rPr>
        <w:t>, 13. rujna 2023.</w:t>
      </w:r>
    </w:p>
  </w:footnote>
  <w:footnote w:id="13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="009A1A57">
        <w:rPr>
          <w:sz w:val="24"/>
          <w:lang w:val="hr-HR"/>
        </w:rPr>
        <w:t>SL L 119, 5.5.</w:t>
      </w:r>
      <w:r w:rsidRPr="00566110">
        <w:rPr>
          <w:sz w:val="24"/>
          <w:lang w:val="hr-HR"/>
        </w:rPr>
        <w:t>2023., str. 22.</w:t>
      </w:r>
    </w:p>
  </w:footnote>
  <w:footnote w:id="14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C 23, 23.1.2023., str. 1.</w:t>
      </w:r>
    </w:p>
  </w:footnote>
  <w:footnote w:id="15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Presuda Suda (veliko vijeće) od 4. srpnja 2023., </w:t>
      </w:r>
      <w:r w:rsidRPr="00566110">
        <w:rPr>
          <w:i/>
          <w:iCs/>
          <w:sz w:val="24"/>
          <w:lang w:val="hr-HR"/>
        </w:rPr>
        <w:t xml:space="preserve">Meta </w:t>
      </w:r>
      <w:proofErr w:type="spellStart"/>
      <w:r w:rsidRPr="00566110">
        <w:rPr>
          <w:i/>
          <w:iCs/>
          <w:sz w:val="24"/>
          <w:lang w:val="hr-HR"/>
        </w:rPr>
        <w:t>Platforms</w:t>
      </w:r>
      <w:proofErr w:type="spellEnd"/>
      <w:r w:rsidRPr="00566110">
        <w:rPr>
          <w:i/>
          <w:iCs/>
          <w:sz w:val="24"/>
          <w:lang w:val="hr-HR"/>
        </w:rPr>
        <w:t xml:space="preserve"> Inc. i drugi protiv </w:t>
      </w:r>
      <w:proofErr w:type="spellStart"/>
      <w:r w:rsidRPr="00566110">
        <w:rPr>
          <w:i/>
          <w:iCs/>
          <w:sz w:val="24"/>
          <w:lang w:val="hr-HR"/>
        </w:rPr>
        <w:t>Bundeskartellamta</w:t>
      </w:r>
      <w:proofErr w:type="spellEnd"/>
      <w:r w:rsidRPr="00566110">
        <w:rPr>
          <w:sz w:val="24"/>
          <w:lang w:val="hr-HR"/>
        </w:rPr>
        <w:t>, C-252/21, ECLI:EU:C:2023:537.</w:t>
      </w:r>
    </w:p>
  </w:footnote>
  <w:footnote w:id="16">
    <w:p w:rsidR="00D800F1" w:rsidRPr="00566110" w:rsidRDefault="00D800F1" w:rsidP="00566110">
      <w:pPr>
        <w:pStyle w:val="FootnoteText"/>
        <w:ind w:left="567" w:hanging="567"/>
        <w:rPr>
          <w:color w:val="0563C1" w:themeColor="hyperlink"/>
          <w:sz w:val="24"/>
          <w:u w:val="single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hyperlink r:id="rId2" w:history="1">
        <w:r w:rsidRPr="00566110">
          <w:rPr>
            <w:rStyle w:val="Hyperlink"/>
            <w:sz w:val="24"/>
            <w:lang w:val="hr-HR"/>
          </w:rPr>
          <w:t xml:space="preserve">DG COMP </w:t>
        </w:r>
        <w:proofErr w:type="spellStart"/>
        <w:r w:rsidRPr="00566110">
          <w:rPr>
            <w:rStyle w:val="Hyperlink"/>
            <w:sz w:val="24"/>
            <w:lang w:val="hr-HR"/>
          </w:rPr>
          <w:t>Code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of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good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practices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for a transparent, </w:t>
        </w:r>
        <w:proofErr w:type="spellStart"/>
        <w:r w:rsidRPr="00566110">
          <w:rPr>
            <w:rStyle w:val="Hyperlink"/>
            <w:sz w:val="24"/>
            <w:lang w:val="hr-HR"/>
          </w:rPr>
          <w:t>inclusive</w:t>
        </w:r>
        <w:proofErr w:type="spellEnd"/>
        <w:r w:rsidRPr="00566110">
          <w:rPr>
            <w:rStyle w:val="Hyperlink"/>
            <w:sz w:val="24"/>
            <w:lang w:val="hr-HR"/>
          </w:rPr>
          <w:t xml:space="preserve">, </w:t>
        </w:r>
        <w:proofErr w:type="spellStart"/>
        <w:r w:rsidRPr="00566110">
          <w:rPr>
            <w:rStyle w:val="Hyperlink"/>
            <w:sz w:val="24"/>
            <w:lang w:val="hr-HR"/>
          </w:rPr>
          <w:t>faster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design </w:t>
        </w:r>
        <w:proofErr w:type="spellStart"/>
        <w:r w:rsidRPr="00566110">
          <w:rPr>
            <w:rStyle w:val="Hyperlink"/>
            <w:sz w:val="24"/>
            <w:lang w:val="hr-HR"/>
          </w:rPr>
          <w:t>and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assessment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of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IPCEIs</w:t>
        </w:r>
        <w:proofErr w:type="spellEnd"/>
      </w:hyperlink>
      <w:r w:rsidRPr="00566110">
        <w:rPr>
          <w:sz w:val="24"/>
          <w:lang w:val="hr-HR"/>
        </w:rPr>
        <w:t>.</w:t>
      </w:r>
    </w:p>
  </w:footnote>
  <w:footnote w:id="17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C 101, 27.4.2004</w:t>
      </w:r>
      <w:r w:rsidR="00CC50D4">
        <w:rPr>
          <w:sz w:val="24"/>
          <w:lang w:val="hr-HR"/>
        </w:rPr>
        <w:t>.</w:t>
      </w:r>
      <w:r w:rsidRPr="00566110">
        <w:rPr>
          <w:sz w:val="24"/>
          <w:lang w:val="hr-HR"/>
        </w:rPr>
        <w:t>, str. 78.</w:t>
      </w:r>
    </w:p>
  </w:footnote>
  <w:footnote w:id="18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SL C 259, 21.7.2023</w:t>
      </w:r>
      <w:r w:rsidR="00CC50D4">
        <w:rPr>
          <w:sz w:val="24"/>
          <w:lang w:val="hr-HR"/>
        </w:rPr>
        <w:t>.</w:t>
      </w:r>
      <w:r w:rsidRPr="00566110">
        <w:rPr>
          <w:sz w:val="24"/>
          <w:lang w:val="hr-HR"/>
        </w:rPr>
        <w:t>, str. 1.</w:t>
      </w:r>
    </w:p>
  </w:footnote>
  <w:footnote w:id="19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Europski gospodarski i socijalni odbor, </w:t>
      </w:r>
      <w:hyperlink r:id="rId3" w:history="1">
        <w:r w:rsidRPr="00566110">
          <w:rPr>
            <w:rStyle w:val="Hyperlink"/>
            <w:sz w:val="24"/>
            <w:lang w:val="hr-HR"/>
          </w:rPr>
          <w:t>„</w:t>
        </w:r>
        <w:proofErr w:type="spellStart"/>
        <w:r w:rsidRPr="00566110">
          <w:rPr>
            <w:rStyle w:val="Hyperlink"/>
            <w:sz w:val="24"/>
            <w:lang w:val="hr-HR"/>
          </w:rPr>
          <w:t>Report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on </w:t>
        </w:r>
        <w:proofErr w:type="spellStart"/>
        <w:r w:rsidRPr="00566110">
          <w:rPr>
            <w:rStyle w:val="Hyperlink"/>
            <w:sz w:val="24"/>
            <w:lang w:val="hr-HR"/>
          </w:rPr>
          <w:t>Competition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Policy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2022”</w:t>
        </w:r>
      </w:hyperlink>
      <w:r w:rsidRPr="00566110">
        <w:rPr>
          <w:sz w:val="24"/>
          <w:lang w:val="hr-HR"/>
        </w:rPr>
        <w:t xml:space="preserve"> (Izvješće o politici tržišnog natjecanja za 2022.), 25. listopada 2023.</w:t>
      </w:r>
    </w:p>
  </w:footnote>
  <w:footnote w:id="20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OECD, </w:t>
      </w:r>
      <w:hyperlink r:id="rId4" w:history="1">
        <w:r w:rsidRPr="00566110">
          <w:rPr>
            <w:rStyle w:val="Hyperlink"/>
            <w:sz w:val="24"/>
            <w:lang w:val="hr-HR"/>
          </w:rPr>
          <w:t>„</w:t>
        </w:r>
        <w:proofErr w:type="spellStart"/>
        <w:r w:rsidRPr="00566110">
          <w:rPr>
            <w:rStyle w:val="Hyperlink"/>
            <w:sz w:val="24"/>
            <w:lang w:val="hr-HR"/>
          </w:rPr>
          <w:t>Competition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and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Inflation</w:t>
        </w:r>
        <w:proofErr w:type="spellEnd"/>
        <w:r w:rsidRPr="00566110">
          <w:rPr>
            <w:rStyle w:val="Hyperlink"/>
            <w:sz w:val="24"/>
            <w:lang w:val="hr-HR"/>
          </w:rPr>
          <w:t>:</w:t>
        </w:r>
      </w:hyperlink>
      <w:hyperlink r:id="rId5" w:history="1">
        <w:r w:rsidRPr="00566110">
          <w:rPr>
            <w:rStyle w:val="Hyperlink"/>
            <w:sz w:val="24"/>
            <w:lang w:val="hr-HR"/>
          </w:rPr>
          <w:t xml:space="preserve"> OECD </w:t>
        </w:r>
        <w:proofErr w:type="spellStart"/>
        <w:r w:rsidRPr="00566110">
          <w:rPr>
            <w:rStyle w:val="Hyperlink"/>
            <w:sz w:val="24"/>
            <w:lang w:val="hr-HR"/>
          </w:rPr>
          <w:t>Competition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Policy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Roundtable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Background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Note”</w:t>
        </w:r>
      </w:hyperlink>
      <w:r w:rsidRPr="00566110">
        <w:rPr>
          <w:sz w:val="24"/>
          <w:lang w:val="hr-HR"/>
        </w:rPr>
        <w:t xml:space="preserve"> (Tržišno natjecanje i inflacija: OECD-ov okrugli stol o politici tržišnog natjecanja), 2022.</w:t>
      </w:r>
    </w:p>
  </w:footnote>
  <w:footnote w:id="21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Grčka, Njemačka.</w:t>
      </w:r>
    </w:p>
  </w:footnote>
  <w:footnote w:id="22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Uredba (EU) 2016/1037 Europskog parlamenta i Vijeća od 8. lipnja 2016. o zaštiti od subvencioniranog uvoza iz zemalja koje nisu članice Europske unije (SL L 176, 30.6.2016., str. 55</w:t>
      </w:r>
      <w:r w:rsidR="00CC50D4">
        <w:rPr>
          <w:sz w:val="24"/>
          <w:lang w:val="hr-HR"/>
        </w:rPr>
        <w:t>.</w:t>
      </w:r>
      <w:r w:rsidRPr="00566110">
        <w:rPr>
          <w:sz w:val="24"/>
          <w:lang w:val="hr-HR"/>
        </w:rPr>
        <w:t>).</w:t>
      </w:r>
    </w:p>
  </w:footnote>
  <w:footnote w:id="23">
    <w:p w:rsidR="00D800F1" w:rsidRPr="00317C07" w:rsidRDefault="00D800F1" w:rsidP="00566110">
      <w:pPr>
        <w:pStyle w:val="FootnoteText"/>
        <w:ind w:left="567" w:hanging="567"/>
        <w:rPr>
          <w:sz w:val="24"/>
          <w:u w:val="single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Europsko nadzorno tijelo za vrijednosne papire i tržišta kapitala, </w:t>
      </w:r>
      <w:hyperlink r:id="rId6" w:history="1">
        <w:r w:rsidRPr="00566110">
          <w:rPr>
            <w:rStyle w:val="Hyperlink"/>
            <w:sz w:val="24"/>
            <w:lang w:val="hr-HR"/>
          </w:rPr>
          <w:t>„</w:t>
        </w:r>
        <w:proofErr w:type="spellStart"/>
        <w:r w:rsidRPr="00566110">
          <w:rPr>
            <w:rStyle w:val="Hyperlink"/>
            <w:sz w:val="24"/>
            <w:lang w:val="hr-HR"/>
          </w:rPr>
          <w:t>Report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on CRA </w:t>
        </w:r>
        <w:proofErr w:type="spellStart"/>
        <w:r w:rsidRPr="00566110">
          <w:rPr>
            <w:rStyle w:val="Hyperlink"/>
            <w:sz w:val="24"/>
            <w:lang w:val="hr-HR"/>
          </w:rPr>
          <w:t>Market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Share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Calculation</w:t>
        </w:r>
        <w:proofErr w:type="spellEnd"/>
        <w:r w:rsidRPr="00566110">
          <w:rPr>
            <w:rStyle w:val="Hyperlink"/>
            <w:sz w:val="24"/>
            <w:lang w:val="hr-HR"/>
          </w:rPr>
          <w:t>”</w:t>
        </w:r>
      </w:hyperlink>
      <w:r w:rsidRPr="00566110">
        <w:rPr>
          <w:sz w:val="24"/>
          <w:lang w:val="hr-HR"/>
        </w:rPr>
        <w:t xml:space="preserve"> (Izvješće o izračunu tržišnog udjela agencija za kreditni rejting), 15. prosinca 2022.</w:t>
      </w:r>
      <w:bookmarkStart w:id="8" w:name="_GoBack"/>
      <w:bookmarkEnd w:id="8"/>
    </w:p>
  </w:footnote>
  <w:footnote w:id="24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Europska komisija, </w:t>
      </w:r>
      <w:hyperlink r:id="rId7" w:history="1">
        <w:r w:rsidRPr="00566110">
          <w:rPr>
            <w:rStyle w:val="Hyperlink"/>
            <w:sz w:val="24"/>
            <w:lang w:val="hr-HR"/>
          </w:rPr>
          <w:t>„</w:t>
        </w:r>
        <w:proofErr w:type="spellStart"/>
        <w:r w:rsidRPr="00566110">
          <w:rPr>
            <w:rStyle w:val="Hyperlink"/>
            <w:sz w:val="24"/>
            <w:lang w:val="hr-HR"/>
          </w:rPr>
          <w:t>Booking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Holdings/</w:t>
        </w:r>
        <w:proofErr w:type="spellStart"/>
        <w:r w:rsidRPr="00566110">
          <w:rPr>
            <w:rStyle w:val="Hyperlink"/>
            <w:sz w:val="24"/>
            <w:lang w:val="hr-HR"/>
          </w:rPr>
          <w:t>Etraveli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Group”</w:t>
        </w:r>
      </w:hyperlink>
      <w:r w:rsidRPr="00566110">
        <w:rPr>
          <w:sz w:val="24"/>
          <w:lang w:val="hr-HR"/>
        </w:rPr>
        <w:t>, datum odluke 25. rujna 2023.</w:t>
      </w:r>
    </w:p>
  </w:footnote>
  <w:footnote w:id="25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Europska komisija, </w:t>
      </w:r>
      <w:hyperlink r:id="rId8" w:history="1">
        <w:r w:rsidRPr="00566110">
          <w:rPr>
            <w:rStyle w:val="Hyperlink"/>
            <w:sz w:val="24"/>
            <w:lang w:val="hr-HR"/>
          </w:rPr>
          <w:t>„</w:t>
        </w:r>
        <w:proofErr w:type="spellStart"/>
        <w:r w:rsidRPr="00566110">
          <w:rPr>
            <w:rStyle w:val="Hyperlink"/>
            <w:sz w:val="24"/>
            <w:lang w:val="hr-HR"/>
          </w:rPr>
          <w:t>Antitrust</w:t>
        </w:r>
        <w:proofErr w:type="spellEnd"/>
        <w:r w:rsidRPr="00566110">
          <w:rPr>
            <w:rStyle w:val="Hyperlink"/>
            <w:sz w:val="24"/>
            <w:lang w:val="hr-HR"/>
          </w:rPr>
          <w:t xml:space="preserve">: </w:t>
        </w:r>
        <w:proofErr w:type="spellStart"/>
        <w:r w:rsidRPr="00566110">
          <w:rPr>
            <w:rStyle w:val="Hyperlink"/>
            <w:sz w:val="24"/>
            <w:lang w:val="hr-HR"/>
          </w:rPr>
          <w:t>Commission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opens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investigation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into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possible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anticompetitive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practices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by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Microsoft </w:t>
        </w:r>
        <w:proofErr w:type="spellStart"/>
        <w:r w:rsidRPr="00566110">
          <w:rPr>
            <w:rStyle w:val="Hyperlink"/>
            <w:sz w:val="24"/>
            <w:lang w:val="hr-HR"/>
          </w:rPr>
          <w:t>regarding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Teams</w:t>
        </w:r>
        <w:proofErr w:type="spellEnd"/>
        <w:r w:rsidRPr="00566110">
          <w:rPr>
            <w:rStyle w:val="Hyperlink"/>
            <w:sz w:val="24"/>
            <w:lang w:val="hr-HR"/>
          </w:rPr>
          <w:t>”</w:t>
        </w:r>
      </w:hyperlink>
      <w:r w:rsidRPr="00566110">
        <w:rPr>
          <w:sz w:val="24"/>
          <w:lang w:val="hr-HR"/>
        </w:rPr>
        <w:t xml:space="preserve"> (Borba protiv monopola: Komisija pokreće istragu mogućih praksi Microsofta protivnih tržišnom natjecanju u pogledu </w:t>
      </w:r>
      <w:proofErr w:type="spellStart"/>
      <w:r w:rsidRPr="00566110">
        <w:rPr>
          <w:sz w:val="24"/>
          <w:lang w:val="hr-HR"/>
        </w:rPr>
        <w:t>Teamsa</w:t>
      </w:r>
      <w:proofErr w:type="spellEnd"/>
      <w:r w:rsidRPr="00566110">
        <w:rPr>
          <w:sz w:val="24"/>
          <w:lang w:val="hr-HR"/>
        </w:rPr>
        <w:t>”, 27. srpnja 2023.</w:t>
      </w:r>
    </w:p>
  </w:footnote>
  <w:footnote w:id="26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hyperlink r:id="rId9" w:history="1">
        <w:r w:rsidRPr="00566110">
          <w:rPr>
            <w:rStyle w:val="Hyperlink"/>
            <w:sz w:val="24"/>
            <w:lang w:val="hr-HR"/>
          </w:rPr>
          <w:t>Vidjeti službene odluke</w:t>
        </w:r>
      </w:hyperlink>
      <w:r w:rsidRPr="00566110">
        <w:rPr>
          <w:sz w:val="24"/>
          <w:lang w:val="hr-HR"/>
        </w:rPr>
        <w:t xml:space="preserve"> o Aktu o digitalnim tržištima: 100044, 100040, 100035, 100027, 100026, 100025, 100024, 100020, 100018, 100017, 100016, 100013, 100011.</w:t>
      </w:r>
    </w:p>
  </w:footnote>
  <w:footnote w:id="27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Europska komisija, „</w:t>
      </w:r>
      <w:proofErr w:type="spellStart"/>
      <w:r w:rsidRPr="00566110">
        <w:rPr>
          <w:sz w:val="24"/>
          <w:lang w:val="hr-HR"/>
        </w:rPr>
        <w:t>Study</w:t>
      </w:r>
      <w:proofErr w:type="spellEnd"/>
      <w:r w:rsidRPr="00566110">
        <w:rPr>
          <w:sz w:val="24"/>
          <w:lang w:val="hr-HR"/>
        </w:rPr>
        <w:t xml:space="preserve"> on </w:t>
      </w:r>
      <w:proofErr w:type="spellStart"/>
      <w:r w:rsidRPr="00566110">
        <w:rPr>
          <w:sz w:val="24"/>
          <w:lang w:val="hr-HR"/>
        </w:rPr>
        <w:t>the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impact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of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recent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developments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in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digital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advertising</w:t>
      </w:r>
      <w:proofErr w:type="spellEnd"/>
      <w:r w:rsidRPr="00566110">
        <w:rPr>
          <w:sz w:val="24"/>
          <w:lang w:val="hr-HR"/>
        </w:rPr>
        <w:t xml:space="preserve"> on </w:t>
      </w:r>
      <w:proofErr w:type="spellStart"/>
      <w:r w:rsidRPr="00566110">
        <w:rPr>
          <w:sz w:val="24"/>
          <w:lang w:val="hr-HR"/>
        </w:rPr>
        <w:t>privacy</w:t>
      </w:r>
      <w:proofErr w:type="spellEnd"/>
      <w:r w:rsidRPr="00566110">
        <w:rPr>
          <w:sz w:val="24"/>
          <w:lang w:val="hr-HR"/>
        </w:rPr>
        <w:t xml:space="preserve">, </w:t>
      </w:r>
      <w:proofErr w:type="spellStart"/>
      <w:r w:rsidRPr="00566110">
        <w:rPr>
          <w:sz w:val="24"/>
          <w:lang w:val="hr-HR"/>
        </w:rPr>
        <w:t>publishers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and</w:t>
      </w:r>
      <w:proofErr w:type="spellEnd"/>
      <w:r w:rsidRPr="00566110">
        <w:rPr>
          <w:sz w:val="24"/>
          <w:lang w:val="hr-HR"/>
        </w:rPr>
        <w:t xml:space="preserve"> </w:t>
      </w:r>
      <w:proofErr w:type="spellStart"/>
      <w:r w:rsidRPr="00566110">
        <w:rPr>
          <w:sz w:val="24"/>
          <w:lang w:val="hr-HR"/>
        </w:rPr>
        <w:t>advertisers</w:t>
      </w:r>
      <w:proofErr w:type="spellEnd"/>
      <w:r w:rsidRPr="00566110">
        <w:rPr>
          <w:sz w:val="24"/>
          <w:lang w:val="hr-HR"/>
        </w:rPr>
        <w:t>” (Studija o utjecaju nedavnih kretanja u digitalnom oglašavanju na privatnost, izdavače i oglašivače), str. 263. – 264.</w:t>
      </w:r>
    </w:p>
  </w:footnote>
  <w:footnote w:id="28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Uredba (EU) 2022/2065 Europskog parlamenta i Vijeća od 19. listopada 2022. o jedinstvenom tržištu digitalnih usluga i izmjeni Direktive 2000/31/EZ (SL L 277, 27.10.2022., str. 1.).</w:t>
      </w:r>
    </w:p>
  </w:footnote>
  <w:footnote w:id="29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Odluka o aktu o digitalnim tržištima. 100015; Akt o digitalnim tržištima. 100028 i Akt o digitalnim tržištima. 100034.</w:t>
      </w:r>
    </w:p>
  </w:footnote>
  <w:footnote w:id="30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Odluka o aktu o digitalnim tržištima 100047 i Akt o digitalnim tržištima. 100022.</w:t>
      </w:r>
    </w:p>
  </w:footnote>
  <w:footnote w:id="31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>Uredba (EU) 2016/679 Europskog parlamenta i Vijeća od 27. travnja 2016. o zaštiti pojedinaca u vezi s obradom osobnih podataka i o slobodnom kretanju takvih podataka te o stavljanju izvan snage Direktive 95/46/EZ (Opća uredba o zaštiti podataka) (SL L 119, 4.5.2016., str. 1.).</w:t>
      </w:r>
    </w:p>
  </w:footnote>
  <w:footnote w:id="32">
    <w:p w:rsidR="00D800F1" w:rsidRPr="00566110" w:rsidRDefault="00D800F1" w:rsidP="00566110">
      <w:pPr>
        <w:pStyle w:val="FootnoteText"/>
        <w:ind w:left="567" w:hanging="567"/>
        <w:rPr>
          <w:sz w:val="24"/>
          <w:lang w:val="hr-HR"/>
        </w:rPr>
      </w:pPr>
      <w:r w:rsidRPr="00566110">
        <w:rPr>
          <w:rStyle w:val="FootnoteReference"/>
          <w:sz w:val="24"/>
          <w:lang w:val="hr-HR"/>
        </w:rPr>
        <w:footnoteRef/>
      </w:r>
      <w:r w:rsidR="00566110" w:rsidRPr="00566110">
        <w:rPr>
          <w:sz w:val="24"/>
          <w:lang w:val="hr-HR"/>
        </w:rPr>
        <w:t xml:space="preserve"> </w:t>
      </w:r>
      <w:r w:rsidR="00566110" w:rsidRPr="00566110">
        <w:rPr>
          <w:sz w:val="24"/>
          <w:lang w:val="hr-HR"/>
        </w:rPr>
        <w:tab/>
      </w:r>
      <w:r w:rsidRPr="00566110">
        <w:rPr>
          <w:sz w:val="24"/>
          <w:lang w:val="hr-HR"/>
        </w:rPr>
        <w:t xml:space="preserve">Sastanak na vrhu skupine G7 u Hirošimi </w:t>
      </w:r>
      <w:hyperlink r:id="rId10" w:history="1">
        <w:r w:rsidRPr="00566110">
          <w:rPr>
            <w:rStyle w:val="Hyperlink"/>
            <w:sz w:val="24"/>
            <w:lang w:val="hr-HR"/>
          </w:rPr>
          <w:t>„</w:t>
        </w:r>
        <w:proofErr w:type="spellStart"/>
        <w:r w:rsidRPr="00566110">
          <w:rPr>
            <w:rStyle w:val="Hyperlink"/>
            <w:sz w:val="24"/>
            <w:lang w:val="hr-HR"/>
          </w:rPr>
          <w:t>Compendium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of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approaches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to </w:t>
        </w:r>
        <w:proofErr w:type="spellStart"/>
        <w:r w:rsidRPr="00566110">
          <w:rPr>
            <w:rStyle w:val="Hyperlink"/>
            <w:sz w:val="24"/>
            <w:lang w:val="hr-HR"/>
          </w:rPr>
          <w:t>improving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competition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in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digital</w:t>
        </w:r>
        <w:proofErr w:type="spellEnd"/>
        <w:r w:rsidRPr="00566110">
          <w:rPr>
            <w:rStyle w:val="Hyperlink"/>
            <w:sz w:val="24"/>
            <w:lang w:val="hr-HR"/>
          </w:rPr>
          <w:t xml:space="preserve"> </w:t>
        </w:r>
        <w:proofErr w:type="spellStart"/>
        <w:r w:rsidRPr="00566110">
          <w:rPr>
            <w:rStyle w:val="Hyperlink"/>
            <w:sz w:val="24"/>
            <w:lang w:val="hr-HR"/>
          </w:rPr>
          <w:t>markets</w:t>
        </w:r>
        <w:proofErr w:type="spellEnd"/>
        <w:r w:rsidRPr="00566110">
          <w:rPr>
            <w:rStyle w:val="Hyperlink"/>
            <w:sz w:val="24"/>
            <w:lang w:val="hr-HR"/>
          </w:rPr>
          <w:t>”</w:t>
        </w:r>
      </w:hyperlink>
      <w:r w:rsidRPr="00566110">
        <w:rPr>
          <w:sz w:val="24"/>
          <w:lang w:val="hr-HR"/>
        </w:rPr>
        <w:t xml:space="preserve"> (Sažetak pristupa poboljšanju tržišnog natjecanja na digitalnim tržištima), 8. studenoga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1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1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61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7/2023"/>
    <w:docVar w:name="dvlangue" w:val="HR"/>
    <w:docVar w:name="dvnumam" w:val="0"/>
    <w:docVar w:name="dvpe" w:val="753.544"/>
    <w:docVar w:name="dvrapporteur" w:val="Izvjestiteljica: "/>
    <w:docVar w:name="dvtitre" w:val="Rezolucija Europskog parlamenta od .... 2024. o politici tržišnog natjecanja – godišnje izvješće za 2023.(2023/2077(INI))"/>
  </w:docVars>
  <w:rsids>
    <w:rsidRoot w:val="009942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1966"/>
    <w:rsid w:val="002767FF"/>
    <w:rsid w:val="002B18FE"/>
    <w:rsid w:val="002B5493"/>
    <w:rsid w:val="00317C0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11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27C"/>
    <w:rsid w:val="009A1A5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0D4"/>
    <w:rsid w:val="00CF071A"/>
    <w:rsid w:val="00D058B8"/>
    <w:rsid w:val="00D56C11"/>
    <w:rsid w:val="00D800F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DF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DBB8C7-D249-4905-86BD-2023B677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800F1"/>
    <w:pPr>
      <w:spacing w:after="240"/>
      <w:ind w:left="567" w:hanging="567"/>
    </w:pPr>
  </w:style>
  <w:style w:type="paragraph" w:customStyle="1" w:styleId="EPComma">
    <w:name w:val="EPComma"/>
    <w:basedOn w:val="Normal"/>
    <w:rsid w:val="00D800F1"/>
    <w:pPr>
      <w:spacing w:before="480" w:after="240"/>
    </w:pPr>
  </w:style>
  <w:style w:type="character" w:styleId="Hyperlink">
    <w:name w:val="Hyperlink"/>
    <w:basedOn w:val="DefaultParagraphFont"/>
    <w:rsid w:val="00D800F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800F1"/>
    <w:rPr>
      <w:sz w:val="24"/>
      <w:lang w:val="hr-HR"/>
    </w:rPr>
  </w:style>
  <w:style w:type="character" w:styleId="FollowedHyperlink">
    <w:name w:val="FollowedHyperlink"/>
    <w:basedOn w:val="DefaultParagraphFont"/>
    <w:rsid w:val="00CC50D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F57D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7DF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commission/presscorner/detail/en/ip_23_3991" TargetMode="External"/><Relationship Id="rId3" Type="http://schemas.openxmlformats.org/officeDocument/2006/relationships/hyperlink" Target="https://www.eesc.europa.eu/en/our-work/opinions-information-reports/opinions/report-competition-policy-2022" TargetMode="External"/><Relationship Id="rId7" Type="http://schemas.openxmlformats.org/officeDocument/2006/relationships/hyperlink" Target="file:///\\ipolbrusncf01\userdocs$\vunguroiu\Documents\DocEP\TEMP\&#8216;Booking%20Holdings\Etraveli%20Group&#8217;" TargetMode="External"/><Relationship Id="rId2" Type="http://schemas.openxmlformats.org/officeDocument/2006/relationships/hyperlink" Target="https://competition-policy.ec.europa.eu/system/files/2023-05/IPCEIs_DG_COMP_code_of_good_practices.pdf" TargetMode="External"/><Relationship Id="rId1" Type="http://schemas.openxmlformats.org/officeDocument/2006/relationships/hyperlink" Target="https://state-of-the-union.ec.europa.eu/index_hr" TargetMode="External"/><Relationship Id="rId6" Type="http://schemas.openxmlformats.org/officeDocument/2006/relationships/hyperlink" Target="https://www.esma.europa.eu/sites/default/files/library/esma80-416-1564_report_on_cra_market_share_calculation_2022.pdf" TargetMode="External"/><Relationship Id="rId5" Type="http://schemas.openxmlformats.org/officeDocument/2006/relationships/hyperlink" Target="https://www.oecd.org/daf/competition/competition-and-inflation-2022.pdf" TargetMode="External"/><Relationship Id="rId10" Type="http://schemas.openxmlformats.org/officeDocument/2006/relationships/hyperlink" Target="https://www.jftc.go.jp/en/pressreleases/yearly-2023/November/231108G7_result2EN.pdf" TargetMode="External"/><Relationship Id="rId4" Type="http://schemas.openxmlformats.org/officeDocument/2006/relationships/hyperlink" Target="https://www.oecd.org/daf/competition/competition-and-inflation-2022.pdf" TargetMode="External"/><Relationship Id="rId9" Type="http://schemas.openxmlformats.org/officeDocument/2006/relationships/hyperlink" Target="https://digital-markets-act-cases.ec.europa.eu/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83991-AD10-4D95-89CE-0278BFC46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4846</Words>
  <Characters>30020</Characters>
  <Application>Microsoft Office Word</Application>
  <DocSecurity>0</DocSecurity>
  <Lines>250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2024-05-28T14:58:00Z</dcterms:created>
  <dcterms:modified xsi:type="dcterms:W3CDTF">2024-05-28T14:58:00Z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P9_TA(2024)0011_</vt:lpwstr>
  </property>
  <property fmtid="{D5CDD505-2E9C-101B-9397-08002B2CF9AE}" pid="4" name="&lt;Type&gt;">
    <vt:lpwstr>RR</vt:lpwstr>
  </property>
</Properties>
</file>