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29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2973" w:rsidRDefault="00E31EAA" w:rsidP="0010095E">
            <w:pPr>
              <w:pStyle w:val="EPName"/>
            </w:pPr>
            <w:r w:rsidRPr="002A2973">
              <w:t>Parlament Europejski</w:t>
            </w:r>
          </w:p>
          <w:p w:rsidR="00751A4A" w:rsidRPr="002A29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297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A2973" w:rsidRDefault="00187494" w:rsidP="0010095E">
            <w:pPr>
              <w:pStyle w:val="EPLogo"/>
            </w:pPr>
            <w:r w:rsidRPr="002A2973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2973" w:rsidRDefault="00D058B8" w:rsidP="004C5D52">
      <w:pPr>
        <w:pStyle w:val="LineTop"/>
      </w:pPr>
    </w:p>
    <w:p w:rsidR="00680577" w:rsidRPr="002A2973" w:rsidRDefault="00E31EAA" w:rsidP="00680577">
      <w:pPr>
        <w:pStyle w:val="EPBodyTA1"/>
      </w:pPr>
      <w:r w:rsidRPr="002A2973">
        <w:t>TEKSTY PRZYJĘTE</w:t>
      </w:r>
    </w:p>
    <w:p w:rsidR="00D058B8" w:rsidRPr="002A2973" w:rsidRDefault="00D058B8" w:rsidP="00D058B8">
      <w:pPr>
        <w:pStyle w:val="LineBottom"/>
      </w:pPr>
    </w:p>
    <w:p w:rsidR="00E31EAA" w:rsidRPr="002A2973" w:rsidRDefault="00E31EAA" w:rsidP="00E31EAA">
      <w:pPr>
        <w:pStyle w:val="ATHeading1"/>
      </w:pPr>
      <w:bookmarkStart w:id="0" w:name="TANumber"/>
      <w:r w:rsidRPr="002A2973">
        <w:t>P9_TA(2024)00</w:t>
      </w:r>
      <w:bookmarkEnd w:id="0"/>
      <w:r w:rsidR="0064334E">
        <w:t>11</w:t>
      </w:r>
    </w:p>
    <w:p w:rsidR="00E31EAA" w:rsidRPr="00325B28" w:rsidRDefault="00325B28" w:rsidP="00E31EAA">
      <w:pPr>
        <w:pStyle w:val="ATHeading2"/>
      </w:pPr>
      <w:r w:rsidRPr="00325B28">
        <w:t>Polityka konkurencji – sprawozdanie roczne za 2023 r.</w:t>
      </w:r>
    </w:p>
    <w:p w:rsidR="00E31EAA" w:rsidRPr="002A2973" w:rsidRDefault="00E31EAA" w:rsidP="00E31EAA">
      <w:pPr>
        <w:rPr>
          <w:i/>
          <w:vanish/>
        </w:rPr>
      </w:pPr>
      <w:r w:rsidRPr="002A2973">
        <w:rPr>
          <w:i/>
        </w:rPr>
        <w:fldChar w:fldCharType="begin"/>
      </w:r>
      <w:r w:rsidRPr="002A2973">
        <w:rPr>
          <w:i/>
        </w:rPr>
        <w:instrText xml:space="preserve"> TC"(</w:instrText>
      </w:r>
      <w:bookmarkStart w:id="1" w:name="DocNumber"/>
      <w:r w:rsidRPr="002A2973">
        <w:rPr>
          <w:i/>
        </w:rPr>
        <w:instrText>A9-0427/2023</w:instrText>
      </w:r>
      <w:bookmarkEnd w:id="1"/>
      <w:r w:rsidRPr="002A2973">
        <w:rPr>
          <w:i/>
        </w:rPr>
        <w:instrText xml:space="preserve"> - Sprawozdawca: Stéphanie Yon</w:instrText>
      </w:r>
      <w:r w:rsidRPr="002A2973">
        <w:rPr>
          <w:i/>
        </w:rPr>
        <w:noBreakHyphen/>
        <w:instrText>Courtin</w:instrText>
      </w:r>
      <w:proofErr w:type="gramStart"/>
      <w:r w:rsidRPr="002A2973">
        <w:rPr>
          <w:i/>
        </w:rPr>
        <w:instrText>)"\l</w:instrText>
      </w:r>
      <w:proofErr w:type="gramEnd"/>
      <w:r w:rsidRPr="002A2973">
        <w:rPr>
          <w:i/>
        </w:rPr>
        <w:instrText xml:space="preserve">3 \n&gt; \* MERGEFORMAT </w:instrText>
      </w:r>
      <w:r w:rsidRPr="002A2973">
        <w:rPr>
          <w:i/>
        </w:rPr>
        <w:fldChar w:fldCharType="end"/>
      </w:r>
    </w:p>
    <w:p w:rsidR="00E31EAA" w:rsidRPr="002A2973" w:rsidRDefault="00E31EAA" w:rsidP="00E31EAA">
      <w:pPr>
        <w:rPr>
          <w:vanish/>
        </w:rPr>
      </w:pPr>
      <w:bookmarkStart w:id="2" w:name="Commission"/>
      <w:r w:rsidRPr="002A2973">
        <w:rPr>
          <w:vanish/>
        </w:rPr>
        <w:t>Komisja Gospodarcza i Monetarna</w:t>
      </w:r>
      <w:bookmarkEnd w:id="2"/>
    </w:p>
    <w:p w:rsidR="00E31EAA" w:rsidRPr="002A2973" w:rsidRDefault="00E31EAA" w:rsidP="00E31EAA">
      <w:pPr>
        <w:rPr>
          <w:vanish/>
        </w:rPr>
      </w:pPr>
      <w:bookmarkStart w:id="3" w:name="PE"/>
      <w:r w:rsidRPr="002A2973">
        <w:rPr>
          <w:vanish/>
        </w:rPr>
        <w:t>PE753.544</w:t>
      </w:r>
      <w:bookmarkEnd w:id="3"/>
    </w:p>
    <w:p w:rsidR="00E31EAA" w:rsidRPr="002A2973" w:rsidRDefault="00E31EAA" w:rsidP="00E31EAA">
      <w:pPr>
        <w:pStyle w:val="ATHeading3"/>
      </w:pPr>
      <w:bookmarkStart w:id="4" w:name="Sujet"/>
      <w:r w:rsidRPr="002A2973">
        <w:t xml:space="preserve">Rezolucja Parlamentu Europejskiego z dnia </w:t>
      </w:r>
      <w:r w:rsidR="00325B28">
        <w:t>16 stycznia</w:t>
      </w:r>
      <w:r w:rsidRPr="002A2973">
        <w:t xml:space="preserve"> 2024 r. w sprawie polityki konkurencji – sprawozdanie roczne za 2023 r.</w:t>
      </w:r>
      <w:bookmarkEnd w:id="4"/>
      <w:r w:rsidRPr="002A2973">
        <w:t xml:space="preserve"> </w:t>
      </w:r>
      <w:bookmarkStart w:id="5" w:name="References"/>
      <w:r w:rsidRPr="002A2973">
        <w:t>(2023/2077(INI))</w:t>
      </w:r>
      <w:bookmarkEnd w:id="5"/>
    </w:p>
    <w:p w:rsidR="00E31EAA" w:rsidRPr="002A2973" w:rsidRDefault="00E31EAA" w:rsidP="00E31EAA"/>
    <w:p w:rsidR="001866A8" w:rsidRPr="002A2973" w:rsidRDefault="001866A8" w:rsidP="001866A8">
      <w:pPr>
        <w:pStyle w:val="EPComma"/>
      </w:pPr>
      <w:bookmarkStart w:id="6" w:name="TextBodyBegin"/>
      <w:bookmarkEnd w:id="6"/>
      <w:r w:rsidRPr="002A2973">
        <w:rPr>
          <w:i/>
        </w:rPr>
        <w:t>Parlament Europejski</w:t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Traktat o funkcjonowaniu Unii Europejskiej (TFUE), w szczególności jego art. 101–109,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stosowne zasady, wytyczne, rezolucje, konsultacje publiczne, komunikaty i dokumenty Komisji dotyczące konkurencji,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sprawozdanie Komisji z 4 kwietnia 2023 r. pt. „Sprawozdanie w sprawie polityki konkurencji za 2022 r</w:t>
      </w:r>
      <w:proofErr w:type="gramStart"/>
      <w:r w:rsidRPr="002A2973">
        <w:t>,” (COM</w:t>
      </w:r>
      <w:proofErr w:type="gramEnd"/>
      <w:r w:rsidRPr="002A2973">
        <w:t>(2023)0184) i towarzyszący mu dokument roboczy służb Komisji (SWD(2023)0076),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swoją rezolucję z 13 czerwca 2023 r. w sprawie polityki konkurencji – sprawozdanie roczne za 2022 r.</w:t>
      </w:r>
      <w:r w:rsidRPr="002A2973">
        <w:rPr>
          <w:rStyle w:val="FootnoteReference"/>
        </w:rPr>
        <w:footnoteReference w:id="1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komunikat Komisji z 11 grudnia 2019 r. pt. „Europejski Zielony Ład” (COM(2019)0640),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zmienione wytyczne Komisji w sprawie pomocy państwa na wspieranie inwestycji w zakresie finansowania ryzyka, opublikowane 6 grudnia 2021 r.,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wyrok Trybunału Sprawiedliwości Unii Europejskiej (TSUE) z 13 lipca 2022 r. w sprawie T-227/21</w:t>
      </w:r>
      <w:r w:rsidRPr="002A2973">
        <w:rPr>
          <w:rStyle w:val="FootnoteReference"/>
        </w:rPr>
        <w:footnoteReference w:id="2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 xml:space="preserve">uwzględniając komunikat Komisji z 24 marca 2022 r. pt. „Tymczasowe ramy kryzysowe dotyczące środków pomocy państwa na rzecz wsparcia gospodarki po </w:t>
      </w:r>
      <w:r w:rsidRPr="002A2973">
        <w:lastRenderedPageBreak/>
        <w:t>agresji Rosji na Ukrainę”</w:t>
      </w:r>
      <w:r w:rsidRPr="002A2973">
        <w:rPr>
          <w:rStyle w:val="FootnoteReference"/>
        </w:rPr>
        <w:footnoteReference w:id="3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rozporządzenie Rady (WE) nr 139/2004 z 20 stycznia 2004 r. w sprawie kontroli koncentracji przedsiębiorstw (rozporządzenie WE w sprawie kontroli łączenia przedsiębiorstw)</w:t>
      </w:r>
      <w:r w:rsidRPr="002A2973">
        <w:rPr>
          <w:rStyle w:val="FootnoteReference"/>
        </w:rPr>
        <w:footnoteReference w:id="4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rozporządzenie Parlamentu Europejskiego i Rady (UE</w:t>
      </w:r>
      <w:proofErr w:type="gramStart"/>
      <w:r w:rsidRPr="002A2973">
        <w:t>) 2022/1925 z</w:t>
      </w:r>
      <w:proofErr w:type="gramEnd"/>
      <w:r w:rsidRPr="002A2973">
        <w:t xml:space="preserve"> 14 września 2022 r. w sprawie kontestowalnych i uczciwych rynków w sektorze cyfrowym oraz zmiany dyrektyw (UE) 2019/1937 i (UE) 2020/1828 (akt o rynkach cyfrowych)</w:t>
      </w:r>
      <w:r w:rsidRPr="002A2973">
        <w:rPr>
          <w:rStyle w:val="FootnoteReference"/>
        </w:rPr>
        <w:footnoteReference w:id="5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dyrektywę Parlamentu Europejskiego i Rady (UE) 2019/1 z 11 grudnia 2018 r. mającą na celu nadanie organom ochrony konkurencji państw członkowskich uprawnień w celu skuteczniejszego egzekwowania prawa i zapewnienia należytego funkcjonowania rynku wewnętrznego</w:t>
      </w:r>
      <w:r w:rsidRPr="002A2973">
        <w:rPr>
          <w:rStyle w:val="FootnoteReference"/>
        </w:rPr>
        <w:footnoteReference w:id="6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rozporządzenie Rady (WE) nr 1/2003 z 16 grudnia 2002 r. w sprawie wprowadzenia w życie reguł konkurencji ustanowionych w art. 81 i 82 Traktatu</w:t>
      </w:r>
      <w:r w:rsidRPr="002A2973">
        <w:rPr>
          <w:rStyle w:val="FootnoteReference"/>
        </w:rPr>
        <w:footnoteReference w:id="7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rozporządzenie Komisji (WE) nr 773/2004 z 7 kwietnia 2004 r. odnoszące się do prowadzenia przez Komisję postępowań zgodnie z art. 81 i art. 82 Traktatu WE</w:t>
      </w:r>
      <w:r w:rsidRPr="002A2973">
        <w:rPr>
          <w:rStyle w:val="FootnoteReference"/>
        </w:rPr>
        <w:footnoteReference w:id="8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komunikat Komisji z 18 lutego 2022 r. pt. „Wytyczne w sprawie pomocy państwa na ochronę klimatu i środowiska oraz cele związane z energią z 2022 r.”</w:t>
      </w:r>
      <w:r w:rsidRPr="002A2973">
        <w:rPr>
          <w:rStyle w:val="FootnoteReference"/>
        </w:rPr>
        <w:footnoteReference w:id="9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komunikat Komisji z 31 stycznia 2023 r. pt. „Wytyczne w sprawie pomocy państwa na sieci szerokopasmowe”</w:t>
      </w:r>
      <w:r w:rsidRPr="002A2973">
        <w:rPr>
          <w:rStyle w:val="FootnoteReference"/>
        </w:rPr>
        <w:footnoteReference w:id="10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projekt zawiadomienia Komisji w sprawie definicji rynku właściwego do celów unijnego prawa konkurencji,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dokument roboczy służb Komisji z 1 grudnia 2022 r. zatytułowany „Ocena zasad dotyczących dotacji państwa na usługi zdrowotne i społeczne świadczone w ogólnym interesie gospodarczym” oraz rozporządzenia w sprawie pomocy de minimis dotyczącej usług świadczonych w ogólnym interesie gospodarczym (SWD(2022)0388),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wejście w życie 1 września 2023 r. pakietu środków przyjętego 20 kwietnia 2023 r. w celu uproszczenia i usprawnienia procedur kontroli niektórych połączeń, które nie budzą obaw w zakresie konkurencji (C</w:t>
      </w:r>
      <w:proofErr w:type="gramStart"/>
      <w:r w:rsidRPr="002A2973">
        <w:t>(2023)2400, C</w:t>
      </w:r>
      <w:proofErr w:type="gramEnd"/>
      <w:r w:rsidRPr="002A2973">
        <w:t>(2023)2401, C(2023)2402),</w:t>
      </w:r>
    </w:p>
    <w:p w:rsidR="001866A8" w:rsidRPr="002A2973" w:rsidRDefault="001866A8" w:rsidP="001866A8">
      <w:pPr>
        <w:pStyle w:val="NormalHanging12a"/>
      </w:pPr>
      <w:r w:rsidRPr="002A2973">
        <w:lastRenderedPageBreak/>
        <w:t>–</w:t>
      </w:r>
      <w:r w:rsidRPr="002A2973">
        <w:tab/>
        <w:t>uwzględniając rozporządzenie Parlamentu Europejskiego i Rady (UE) 2022/2560 z dnia 14 grudnia 2022 r. w sprawie subsydiów zagranicznych zakłócających rynek wewnętrzny</w:t>
      </w:r>
      <w:r w:rsidRPr="002A2973">
        <w:rPr>
          <w:rStyle w:val="FootnoteReference"/>
        </w:rPr>
        <w:footnoteReference w:id="11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orędzie o stanie Unii z 2023 r. wygłoszone przez przewodniczącą Komisji Ursulę von der Leyen</w:t>
      </w:r>
      <w:r w:rsidRPr="002A2973">
        <w:rPr>
          <w:rStyle w:val="FootnoteReference"/>
        </w:rPr>
        <w:footnoteReference w:id="12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decyzję Komisji z 6 września 2023 r. w sprawie wyznaczenia strażników dostępu na podstawie aktu o rynkach cyfrowych,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rozporządzenie wykonawcze Komisji (UE) 2023/914 z 20 kwietnia 2023 r. w sprawie wykonania rozporządzenia Rady (WE) nr 139/2004 w sprawie kontroli koncentracji przedsiębiorstw oraz uchylające rozporządzenie Komisji (WE) nr 802/2004</w:t>
      </w:r>
      <w:r w:rsidRPr="002A2973">
        <w:rPr>
          <w:rStyle w:val="FootnoteReference"/>
        </w:rPr>
        <w:footnoteReference w:id="13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wspólną Europejską deklarację praw i zasad cyfrowych w cyfrowej dekadzie z 23 stycznia 2023 r. wydaną przez Parlament Europejski, Radę i Komisję Europejską</w:t>
      </w:r>
      <w:r w:rsidRPr="002A2973">
        <w:rPr>
          <w:rStyle w:val="FootnoteReference"/>
        </w:rPr>
        <w:footnoteReference w:id="14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wyrok TSUE z 4 lipca 2023 r. w sprawie C-252/21</w:t>
      </w:r>
      <w:r w:rsidRPr="002A2973">
        <w:rPr>
          <w:rStyle w:val="FootnoteReference"/>
        </w:rPr>
        <w:footnoteReference w:id="15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dokument zatytułowany „DG COMP Code of good practices for a transparent, inclusive, faster design and assessment of IPCEIs” [Kodeks dobrych praktyk DG COMP na rzecz przejrzystego, inkluzywnego, szybszego projektowania i oceny projektów IPCEI] z 17 maja 2023 r.</w:t>
      </w:r>
      <w:r w:rsidRPr="002A2973">
        <w:rPr>
          <w:rStyle w:val="FootnoteReference"/>
        </w:rPr>
        <w:footnoteReference w:id="16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sprawozdanie Europejskiego Urzędu Nadzoru Giełd i Papierów Wartościowych (ESMA) z 15 grudnia 2022 r. pt. „Report on CRA Market Share Calculation” [Sprawozdanie dotyczące obliczania udziału agencji ratingowych w rynku],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obwieszczenie Komisji z 27 kwietnia 2004 r. w sprawie nieformalnych wskazówek dotyczących nowych kwestii związanych ze stosowaniem art. 81 i 82 Traktatu WE, które występują w indywidualnych przypadkach (wskazówki pisemne)</w:t>
      </w:r>
      <w:r w:rsidRPr="002A2973">
        <w:rPr>
          <w:rStyle w:val="FootnoteReference"/>
        </w:rPr>
        <w:footnoteReference w:id="17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komunikat Komisji z 21 lipca 2023 r. pt. „Wytyczne w sprawie stosowania art. 101 Traktatu o funkcjonowaniu Unii Europejskiej do horyzontalnych porozumień kooperacyjnych”</w:t>
      </w:r>
      <w:r w:rsidRPr="002A2973">
        <w:rPr>
          <w:rStyle w:val="FootnoteReference"/>
        </w:rPr>
        <w:footnoteReference w:id="18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 xml:space="preserve">uwzględniając decyzję Komisji z 25 września 2023 r., w której Komisja zablokowała </w:t>
      </w:r>
      <w:r w:rsidRPr="002A2973">
        <w:lastRenderedPageBreak/>
        <w:t>przejęcie Flugo Group Holdings AB („eTraveli”) przez Booking Holdings („Booking”),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opinię Europejskiego Komitetu Ekonomiczno-Społecznego</w:t>
      </w:r>
      <w:r w:rsidRPr="002A2973">
        <w:rPr>
          <w:rStyle w:val="FootnoteReference"/>
        </w:rPr>
        <w:footnoteReference w:id="19"/>
      </w:r>
      <w:r w:rsidRPr="002A2973">
        <w:t>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art. 54 Regulaminu,</w:t>
      </w:r>
    </w:p>
    <w:p w:rsidR="001866A8" w:rsidRPr="002A2973" w:rsidRDefault="001866A8" w:rsidP="001866A8">
      <w:pPr>
        <w:pStyle w:val="NormalHanging12a"/>
      </w:pPr>
      <w:r w:rsidRPr="002A2973">
        <w:t>–</w:t>
      </w:r>
      <w:r w:rsidRPr="002A2973">
        <w:tab/>
        <w:t>uwzględniając sprawozdanie Komisji Gospodarczej i Monetarnej (A9-0427/2023),</w:t>
      </w:r>
    </w:p>
    <w:p w:rsidR="001866A8" w:rsidRPr="002A2973" w:rsidRDefault="001866A8" w:rsidP="001866A8">
      <w:pPr>
        <w:pStyle w:val="NormalHanging12a"/>
      </w:pPr>
      <w:r w:rsidRPr="002A2973">
        <w:t>A.</w:t>
      </w:r>
      <w:r w:rsidRPr="002A2973">
        <w:tab/>
      </w:r>
      <w:proofErr w:type="gramStart"/>
      <w:r w:rsidRPr="002A2973">
        <w:t>mając</w:t>
      </w:r>
      <w:proofErr w:type="gramEnd"/>
      <w:r w:rsidRPr="002A2973">
        <w:t xml:space="preserve"> na uwadze, że polityka konkurencji UE odgrywa ważną rolę w tworzeniu sprawiedliwych warunków prowadzenia działalności gospodarczej na jednolitym rynku, aby chronić rynki przed koncentracją i nadmierną akumulacją władzy rynkowej, wspierać innowacje i rozwój przedsiębiorstw, zwłaszcza małych i średnich przedsiębiorstw (MŚP), na jednolitym rynku, a tym samym zwiększyć dobrobyt konsumentów oraz zapewnić konsumentom i przedsiębiorstwom większy wybór;</w:t>
      </w:r>
    </w:p>
    <w:p w:rsidR="001866A8" w:rsidRPr="002A2973" w:rsidRDefault="001866A8" w:rsidP="001866A8">
      <w:pPr>
        <w:pStyle w:val="NormalHanging12a"/>
      </w:pPr>
      <w:r w:rsidRPr="002A2973">
        <w:t>B.</w:t>
      </w:r>
      <w:r w:rsidRPr="002A2973">
        <w:tab/>
        <w:t>mając na uwadze, że konieczna jest owocna współzależność między polityką konkurencji a innymi politykami sektorowymi; mając na uwadze, że polityka konkurencji mogłaby przyczynić się do wzmocnienia odporności, integralności i konkurencyjności rynku wewnętrznego, a także do osiągnięcia celów Europejskiego Zielonego Ładu i cyfrowego kompasu, a także celów UE określonych w art. 3 Traktatu o Unii Europejskiej (TUE);</w:t>
      </w:r>
    </w:p>
    <w:p w:rsidR="001866A8" w:rsidRPr="002A2973" w:rsidRDefault="001866A8" w:rsidP="001866A8">
      <w:pPr>
        <w:pStyle w:val="NormalHanging12a"/>
      </w:pPr>
      <w:r w:rsidRPr="002A2973">
        <w:t>C.</w:t>
      </w:r>
      <w:r w:rsidRPr="002A2973">
        <w:tab/>
      </w:r>
      <w:proofErr w:type="gramStart"/>
      <w:r w:rsidRPr="002A2973">
        <w:t>mając</w:t>
      </w:r>
      <w:proofErr w:type="gramEnd"/>
      <w:r w:rsidRPr="002A2973">
        <w:t xml:space="preserve"> na uwadze, że międzynarodowa wymiana i współpraca mają zasadnicze znaczenie dla osiągnięcia w skali globalnej konkurencyjnych równych warunków działania oraz sprostania wyzwaniom związanym z dwojaką transformacją – ekologiczną i cyfrową – w skoordynowany sposób;</w:t>
      </w:r>
    </w:p>
    <w:p w:rsidR="001866A8" w:rsidRPr="002A2973" w:rsidRDefault="001866A8" w:rsidP="001866A8">
      <w:pPr>
        <w:pStyle w:val="NormalHanging12a"/>
      </w:pPr>
      <w:r w:rsidRPr="002A2973">
        <w:t>D.</w:t>
      </w:r>
      <w:r w:rsidRPr="002A2973">
        <w:tab/>
      </w:r>
      <w:proofErr w:type="gramStart"/>
      <w:r w:rsidRPr="002A2973">
        <w:t>mając</w:t>
      </w:r>
      <w:proofErr w:type="gramEnd"/>
      <w:r w:rsidRPr="002A2973">
        <w:t xml:space="preserve"> na uwadze, że globalna sytuacja geopolityczna wymaga także odpowiedzialnych i konkurencyjnych rozwiązań w dziedzinie polityki konkurencji; mając na uwadze, że w świetle wyzwań, których źródłem są rosnąca liczba konfliktów na świecie, napięcia handlowe między konkurującymi krajami, kryzys klimatyczny oraz presja inflacyjna i niski poziom wzrostu gospodarczego, UE powinna wykorzystywać wszystkie dostępne jej narzędzia polityczne i legislacyjne, aby bronić integralności, odporności i konkurencyjności swojego rynku wewnętrznego; mając na uwadze, że istnieje potrzeba zmniejszenia szkodliwej zależności UE od państw spoza UE i światowych mocarstw w takich dziedzinach jak energia, leki, technologia czy surowce;</w:t>
      </w:r>
    </w:p>
    <w:p w:rsidR="001866A8" w:rsidRPr="002A2973" w:rsidRDefault="001866A8" w:rsidP="001866A8">
      <w:pPr>
        <w:pStyle w:val="NormalHanging12a"/>
      </w:pPr>
      <w:r w:rsidRPr="002A2973">
        <w:t>E.</w:t>
      </w:r>
      <w:r w:rsidRPr="002A2973">
        <w:tab/>
      </w:r>
      <w:proofErr w:type="gramStart"/>
      <w:r w:rsidRPr="002A2973">
        <w:t>mając</w:t>
      </w:r>
      <w:proofErr w:type="gramEnd"/>
      <w:r w:rsidRPr="002A2973">
        <w:t xml:space="preserve"> na uwadze, że Komisja i krajowe organy ochrony konkurencji muszą działać w sposób bezstronny i obiektywny, aby zachować wiarygodność polityki konkurencji UE;</w:t>
      </w:r>
    </w:p>
    <w:p w:rsidR="001866A8" w:rsidRPr="002A2973" w:rsidRDefault="001866A8" w:rsidP="001866A8">
      <w:pPr>
        <w:pStyle w:val="NormalHanging12a"/>
      </w:pPr>
      <w:r w:rsidRPr="002A2973">
        <w:t>F.</w:t>
      </w:r>
      <w:r w:rsidRPr="002A2973">
        <w:tab/>
      </w:r>
      <w:proofErr w:type="gramStart"/>
      <w:r w:rsidRPr="002A2973">
        <w:t>mając</w:t>
      </w:r>
      <w:proofErr w:type="gramEnd"/>
      <w:r w:rsidRPr="002A2973">
        <w:t xml:space="preserve"> na uwadze, że globalna siła i znaczenie jednolitego rynku UE wynikają z jego wewnętrznej konkurencyjności i ujednoliconych równych warunków działania;</w:t>
      </w:r>
    </w:p>
    <w:p w:rsidR="001866A8" w:rsidRPr="002A2973" w:rsidRDefault="001866A8" w:rsidP="001866A8">
      <w:pPr>
        <w:pStyle w:val="NormalHanging12a"/>
        <w:ind w:left="0" w:firstLine="0"/>
        <w:rPr>
          <w:b/>
          <w:i/>
        </w:rPr>
      </w:pPr>
      <w:r w:rsidRPr="002A2973">
        <w:rPr>
          <w:b/>
          <w:i/>
        </w:rPr>
        <w:t>Rola konkurencji i reakcja polityczna na wojnę w Ukrainie, amerykańska ustawa o obniżeniu inflacji i utrzymujące się wyzwania wynikające z pandemii COVID-19</w:t>
      </w:r>
    </w:p>
    <w:p w:rsidR="001866A8" w:rsidRPr="002A2973" w:rsidRDefault="001866A8" w:rsidP="001866A8">
      <w:pPr>
        <w:pStyle w:val="NormalHanging12a"/>
      </w:pPr>
      <w:r w:rsidRPr="002A2973">
        <w:t>1.</w:t>
      </w:r>
      <w:r w:rsidRPr="002A2973">
        <w:tab/>
      </w:r>
      <w:proofErr w:type="gramStart"/>
      <w:r w:rsidRPr="002A2973">
        <w:t>wzywa</w:t>
      </w:r>
      <w:proofErr w:type="gramEnd"/>
      <w:r w:rsidRPr="002A2973">
        <w:t xml:space="preserve"> Komisję do ochrony integralności jednolitego rynku; przypomina, że odpowiedź na amerykańską ustawę o obniżeniu inflacji nie może opierać się wyłącznie na wykorzystaniu pomocy państwa, ale również na stworzeniu korzystniejszego otoczenia </w:t>
      </w:r>
      <w:r w:rsidRPr="002A2973">
        <w:lastRenderedPageBreak/>
        <w:t>dla działalności gospodarczej oraz na odnowionych ramach konkurencji, zapewniających szybkość i elastyczność przedsiębiorstwom inwestującym i konkurującym uczciwie w Europie, z uwzględnieniem celów klimatycznych UE;</w:t>
      </w:r>
    </w:p>
    <w:p w:rsidR="001866A8" w:rsidRPr="002A2973" w:rsidRDefault="001866A8" w:rsidP="001866A8">
      <w:pPr>
        <w:pStyle w:val="NormalHanging12a"/>
      </w:pPr>
      <w:r w:rsidRPr="002A2973">
        <w:t>2.</w:t>
      </w:r>
      <w:r w:rsidRPr="002A2973">
        <w:tab/>
      </w:r>
      <w:proofErr w:type="gramStart"/>
      <w:r w:rsidRPr="002A2973">
        <w:t>odnotowuje</w:t>
      </w:r>
      <w:proofErr w:type="gramEnd"/>
      <w:r w:rsidRPr="002A2973">
        <w:t xml:space="preserve"> tymczasowe ramy pomocy państwa w sytuacjach kryzysowych i w okresie transformacji (TCTF), a także aktualizację zbioru przepisów dotyczących pomocy państwa, który umożliwia inwestycje na rzecz transformacji ekologicznej i cyfrowej; odnotowuje, że w 2023 r. przyjęto i włączono do tych ram „klauzulę dopasowania”; wzywa Komisję, aby unikała tworzenia warunków dla wyścigu o dotacje oraz aby wykorzystywała dostępne jej narzędzia w celu zapobiegania i przeciwdziałania nieuczciwej konkurencji opartej na dotacjach; podkreśla, że wszelkie dodatkowe wsparcie państwa musi mieć charakter ukierunkowany i tymczasowy; utrzymuje, że pomoc państwa powinna być spójna z celami polityki UE, np. z celami Zielonego Ładu i Europejskiego filaru praw </w:t>
      </w:r>
      <w:proofErr w:type="gramStart"/>
      <w:r w:rsidRPr="002A2973">
        <w:t>socjalnych</w:t>
      </w:r>
      <w:proofErr w:type="gramEnd"/>
      <w:r w:rsidRPr="002A2973">
        <w:t>; wzywa Komisję do zbadania kwestii braku harmonizacji mechanizmów wycofania pomocy w państwach członkowskich;</w:t>
      </w:r>
    </w:p>
    <w:p w:rsidR="001866A8" w:rsidRPr="002A2973" w:rsidRDefault="001866A8" w:rsidP="001866A8">
      <w:pPr>
        <w:pStyle w:val="NormalHanging12a"/>
      </w:pPr>
      <w:r w:rsidRPr="002A2973">
        <w:t>3.</w:t>
      </w:r>
      <w:r w:rsidRPr="002A2973">
        <w:tab/>
      </w:r>
      <w:proofErr w:type="gramStart"/>
      <w:r w:rsidRPr="002A2973">
        <w:t>wzywa</w:t>
      </w:r>
      <w:proofErr w:type="gramEnd"/>
      <w:r w:rsidRPr="002A2973">
        <w:t xml:space="preserve"> Komisję do zagwarantowania, by wszystkie tymczasowe instrumenty pomocy państwa były dostatecznie ukierunkowane, aby uniknąć fragmentacji jednolitego rynku;</w:t>
      </w:r>
    </w:p>
    <w:p w:rsidR="001866A8" w:rsidRPr="002A2973" w:rsidRDefault="001866A8" w:rsidP="001866A8">
      <w:pPr>
        <w:pStyle w:val="NormalHanging12a"/>
      </w:pPr>
      <w:r w:rsidRPr="002A2973">
        <w:t>4.</w:t>
      </w:r>
      <w:r w:rsidRPr="002A2973">
        <w:tab/>
      </w:r>
      <w:proofErr w:type="gramStart"/>
      <w:r w:rsidRPr="002A2973">
        <w:t>podkreśla</w:t>
      </w:r>
      <w:proofErr w:type="gramEnd"/>
      <w:r w:rsidRPr="002A2973">
        <w:t>, że aby stawić czoła nowym wyzwaniom, konieczne będą dodatkowe inwestycje publiczne i prywatne; podkreśla, że należy zapewnić odpowiednie środki w budżecie UE, aby sprostać wyzwaniom przyszłości, w tym rozwiązać problem fragmentacji rynku wewnętrznego, wspierać strategię przemysłową UE, zmniejszyć nasze krytyczne zależności i zapewnić nam otwartą strategiczną autonomię; podkreśla, że wyzwaniom tym nie uda się sprostać wyłącznie za pomocą wydatków publicznych;</w:t>
      </w:r>
    </w:p>
    <w:p w:rsidR="001866A8" w:rsidRPr="002A2973" w:rsidRDefault="001866A8" w:rsidP="001866A8">
      <w:pPr>
        <w:pStyle w:val="NormalHanging12a"/>
      </w:pPr>
      <w:r w:rsidRPr="002A2973">
        <w:t>5.</w:t>
      </w:r>
      <w:r w:rsidRPr="002A2973">
        <w:tab/>
      </w:r>
      <w:proofErr w:type="gramStart"/>
      <w:r w:rsidRPr="002A2973">
        <w:t>przypomina</w:t>
      </w:r>
      <w:proofErr w:type="gramEnd"/>
      <w:r w:rsidRPr="002A2973">
        <w:t>, że fragmentaryczne podejście do pomocy państwa może stworzyć nierówne warunki działania na rynku wewnętrznym UE, ponieważ nie wszystkie państwa członkowskie mają taką samą przestrzeń fiskalną do udzielania wsparcia; apeluje zatem o monitorowanie potencjalnych skutków zakłócających oraz o to, aby ewentualne uelastycznienie wsparcia publicznego dotyczyło wyłącznie wsparcia udzielanego na szczeblu UE;</w:t>
      </w:r>
    </w:p>
    <w:p w:rsidR="001866A8" w:rsidRPr="002A2973" w:rsidRDefault="001866A8" w:rsidP="001866A8">
      <w:pPr>
        <w:pStyle w:val="NormalHanging12a"/>
      </w:pPr>
      <w:r w:rsidRPr="002A2973">
        <w:t>6.</w:t>
      </w:r>
      <w:r w:rsidRPr="002A2973">
        <w:tab/>
      </w:r>
      <w:proofErr w:type="gramStart"/>
      <w:r w:rsidRPr="002A2973">
        <w:t>wzywa</w:t>
      </w:r>
      <w:proofErr w:type="gramEnd"/>
      <w:r w:rsidRPr="002A2973">
        <w:t xml:space="preserve"> Komisję do zbadania, w jaki sposób inflacja wpływa na konkurencję, tworząc zachęty dla przedsiębiorstw do współpracy z konkurentami w celu koordynowania cen</w:t>
      </w:r>
      <w:r w:rsidRPr="002A2973">
        <w:rPr>
          <w:rStyle w:val="FootnoteReference"/>
        </w:rPr>
        <w:footnoteReference w:id="20"/>
      </w:r>
      <w:r w:rsidRPr="002A2973">
        <w:t xml:space="preserve">, a także w jaki sposób wpływa ona na rynki i dobrobyt konsumentów; podkreśla potrzebę uzyskania dokładniejszych danych dotyczących zysków, aby skutecznie przeciwdziałać ewentualnym konsekwencjom, ponieważ z badań Europejskiego Banku Centralnego i Międzynarodowego Funduszu Walutowego wynika, że zyski przedsiębiorstw były ważnymi tymczasowymi czynnikami napędzającymi inflację; wzywa Komisję, aby wraz z krajowymi organami ds. konkurencji ściśle monitorowała skutki zachowań antykonkurencyjnych i ich rolę w rozwoju inflacji; ponownie stwierdza, że Komisja musi wykorzystywać wszystkie narzędzia dostępne na mocy prawa konkurencji, </w:t>
      </w:r>
      <w:proofErr w:type="gramStart"/>
      <w:r w:rsidRPr="002A2973">
        <w:t>aby</w:t>
      </w:r>
      <w:proofErr w:type="gramEnd"/>
      <w:r w:rsidRPr="002A2973">
        <w:t xml:space="preserve"> zażegnać kryzys kosztów utrzymania;</w:t>
      </w:r>
    </w:p>
    <w:p w:rsidR="001866A8" w:rsidRPr="002A2973" w:rsidRDefault="001866A8" w:rsidP="001866A8">
      <w:pPr>
        <w:pStyle w:val="NormalHanging12a"/>
      </w:pPr>
      <w:r w:rsidRPr="002A2973">
        <w:t>7.</w:t>
      </w:r>
      <w:r w:rsidRPr="002A2973">
        <w:tab/>
      </w:r>
      <w:proofErr w:type="gramStart"/>
      <w:r w:rsidRPr="002A2973">
        <w:t>z</w:t>
      </w:r>
      <w:proofErr w:type="gramEnd"/>
      <w:r w:rsidRPr="002A2973">
        <w:t xml:space="preserve"> zadowoleniem przyjmuje inicjatywy organów ds. konkurencji w kilku państwach </w:t>
      </w:r>
      <w:r w:rsidRPr="002A2973">
        <w:lastRenderedPageBreak/>
        <w:t>członkowskich</w:t>
      </w:r>
      <w:r w:rsidRPr="002A2973">
        <w:rPr>
          <w:rStyle w:val="FootnoteReference"/>
        </w:rPr>
        <w:footnoteReference w:id="21"/>
      </w:r>
      <w:r w:rsidRPr="002A2973">
        <w:t xml:space="preserve"> mające na celu wprowadzenie nowych uprawnień w zakresie badania rynku, o ile nie prowadzą one do fragmentacji rynku wewnętrznego; wzywa Komisję do wprowadzenia podobnego narzędzia badania rynku, aby uniknąć luk w egzekwowaniu przepisów w przypadku praktyk transgranicznych w UE, oraz do przyjęcia w razie konieczności sektorowych środków zaradczych w celu skutecznego przeciwdziałania zachowaniom antykonkurencyjnym; przypomina o inicjatywie Komisji na rzecz „nowego narzędzia ochrony konkurencji”, której celem było wyeliminowanie luk między unijnymi zasadami konkurencji a narzędziami interwencji w odpowiedzi na strukturalne problemy w obszarze konkurencji na rynkach; zauważa, że dzięki </w:t>
      </w:r>
      <w:proofErr w:type="gramStart"/>
      <w:r w:rsidRPr="002A2973">
        <w:t>nowemu</w:t>
      </w:r>
      <w:proofErr w:type="gramEnd"/>
      <w:r w:rsidRPr="002A2973">
        <w:t xml:space="preserve"> narzędziu ochrony konkurencji Komisja byłaby w stanie badać problemy związane z konkurencją w całych sektorach; wzywa Komisję do ponownej oceny „nowego narzędzia ochrony konkurencji”;</w:t>
      </w:r>
    </w:p>
    <w:p w:rsidR="001866A8" w:rsidRPr="002A2973" w:rsidRDefault="001866A8" w:rsidP="001866A8">
      <w:pPr>
        <w:pStyle w:val="NormalHanging12a"/>
      </w:pPr>
      <w:r w:rsidRPr="002A2973">
        <w:t>8.</w:t>
      </w:r>
      <w:r w:rsidRPr="002A2973">
        <w:tab/>
      </w:r>
      <w:proofErr w:type="gramStart"/>
      <w:r w:rsidRPr="002A2973">
        <w:t>podkreśla</w:t>
      </w:r>
      <w:proofErr w:type="gramEnd"/>
      <w:r w:rsidRPr="002A2973">
        <w:t xml:space="preserve"> znaczenie ważnych projektów stanowiących przedmiot wspólnego europejskiego zainteresowania (IPCEI) dla finansowania dużych projektów transnarodowych i realizacji priorytetów strategicznych UE; zwraca uwagę na specyficzne kryteria dla projektów IPCEI, służące do analizy zgodności pomocy państwa z rynkiem wewnętrznym; ubolewa nad tym, że wymagane długie i złożone procedury są często zbyt uciążliwe dla MŚP; wzywa Komisję i państwa członkowskie do dopilnowania, aby każda procedura zgłoszenia została zakończona najpóźniej w ciągu sześciu miesięcy; podkreśla, że projekty IPCEI powinny przynosić rzeczywistą europejską wartość dodaną;</w:t>
      </w:r>
    </w:p>
    <w:p w:rsidR="001866A8" w:rsidRPr="002A2973" w:rsidRDefault="001866A8" w:rsidP="001866A8">
      <w:pPr>
        <w:pStyle w:val="NormalHanging12a"/>
      </w:pPr>
      <w:r w:rsidRPr="002A2973">
        <w:t>9.</w:t>
      </w:r>
      <w:r w:rsidRPr="002A2973">
        <w:tab/>
      </w:r>
      <w:proofErr w:type="gramStart"/>
      <w:r w:rsidRPr="002A2973">
        <w:t>wzywa</w:t>
      </w:r>
      <w:proofErr w:type="gramEnd"/>
      <w:r w:rsidRPr="002A2973">
        <w:t xml:space="preserve"> Komisję, aby oceniła, jak zasady konkurencji UE wpłynęły na świadczenie usług w ogólnym interesie gospodarczym (UOIG), również w świetle kryzysu związanego z COVID-19 i wzrostu kosztów utrzymania; wzywa Komisję, aby dokonała oceny pozycji usług socjalnych świadczonych w interesie ogólnym oraz wyłączenia z tytułu UOIG dotyczącego przystępnych cenowo mieszkań;</w:t>
      </w:r>
    </w:p>
    <w:p w:rsidR="001866A8" w:rsidRPr="002A2973" w:rsidRDefault="001866A8" w:rsidP="001866A8">
      <w:pPr>
        <w:pStyle w:val="NormalHanging12a"/>
      </w:pPr>
      <w:r w:rsidRPr="002A2973">
        <w:t>10.</w:t>
      </w:r>
      <w:r w:rsidRPr="002A2973">
        <w:tab/>
      </w:r>
      <w:proofErr w:type="gramStart"/>
      <w:r w:rsidRPr="002A2973">
        <w:t>z</w:t>
      </w:r>
      <w:proofErr w:type="gramEnd"/>
      <w:r w:rsidRPr="002A2973">
        <w:t xml:space="preserve"> zadowoleniem przyjmuje wytyczne Komisji w sprawie stosowania prawa konkurencji UE do układów zbiorowych, w których wyjaśniono, że prawo konkurencji UE nie zabrania osobom prowadzącym jednoosobową działalność gospodarczą udziału w rokowań zbiorowych; przypomina, że osoby samozatrudnione często mają ograniczony dostęp do rokowań zbiorowych lub w ogóle nie mają takiego dostępu, co może prowadzić do niepewnych warunków pracy;</w:t>
      </w:r>
    </w:p>
    <w:p w:rsidR="001866A8" w:rsidRPr="002A2973" w:rsidRDefault="001866A8" w:rsidP="001866A8">
      <w:pPr>
        <w:pStyle w:val="NormalHanging12a"/>
      </w:pPr>
      <w:r w:rsidRPr="002A2973">
        <w:t>11.</w:t>
      </w:r>
      <w:r w:rsidRPr="002A2973">
        <w:tab/>
      </w:r>
      <w:proofErr w:type="gramStart"/>
      <w:r w:rsidRPr="002A2973">
        <w:t>przypomina</w:t>
      </w:r>
      <w:proofErr w:type="gramEnd"/>
      <w:r w:rsidRPr="002A2973">
        <w:t xml:space="preserve"> o nieodłącznym związku między polityką konkurencji a rynkiem wewnętrznym, co jasno wynika z samego tekstu artykułów 101 i 102 TFUE, które regulują politykę konkurencji UE; z zadowoleniem stwierdza, że Komisja, zarówno w swoich pracach legislacyjnych, jak i w działalności politycznej, uznała potrzebę zintegrowania polityki konkurencji z celami rynku wewnętrznego, które ją kształtują;</w:t>
      </w:r>
    </w:p>
    <w:p w:rsidR="001866A8" w:rsidRPr="002A2973" w:rsidRDefault="001866A8" w:rsidP="001866A8">
      <w:pPr>
        <w:pStyle w:val="NormalHanging12a"/>
      </w:pPr>
      <w:r w:rsidRPr="002A2973">
        <w:t>12.</w:t>
      </w:r>
      <w:r w:rsidRPr="002A2973">
        <w:tab/>
      </w:r>
      <w:proofErr w:type="gramStart"/>
      <w:r w:rsidRPr="002A2973">
        <w:t>zwraca</w:t>
      </w:r>
      <w:proofErr w:type="gramEnd"/>
      <w:r w:rsidRPr="002A2973">
        <w:t xml:space="preserve"> uwagę na konieczność skutecznego przeciwdziałania zakłóceniom i niedoskonałościom na rynku oraz wspierania konkurencji dzięki usunięciu istniejących nieuzasadnionych barier regulacyjnych i redukcji zbędnych obciążeń administracyjnych, aby ułatwić wejście na rynek nowym konkurentom; </w:t>
      </w:r>
    </w:p>
    <w:p w:rsidR="001866A8" w:rsidRPr="002A2973" w:rsidRDefault="001866A8" w:rsidP="001866A8">
      <w:pPr>
        <w:pStyle w:val="NormalHanging12a"/>
      </w:pPr>
      <w:r w:rsidRPr="002A2973">
        <w:t>13.</w:t>
      </w:r>
      <w:r w:rsidRPr="002A2973">
        <w:rPr>
          <w:b/>
        </w:rPr>
        <w:tab/>
      </w:r>
      <w:proofErr w:type="gramStart"/>
      <w:r w:rsidRPr="002A2973">
        <w:t>podkreśla</w:t>
      </w:r>
      <w:proofErr w:type="gramEnd"/>
      <w:r w:rsidRPr="002A2973">
        <w:t xml:space="preserve"> znaczenie wyroków TSUE w sprawach C-555/21 (UniCredit Bank Austria) i C-383/18 (Lexitor sp. z o.</w:t>
      </w:r>
      <w:proofErr w:type="gramStart"/>
      <w:r w:rsidRPr="002A2973">
        <w:t>o</w:t>
      </w:r>
      <w:proofErr w:type="gramEnd"/>
      <w:r w:rsidRPr="002A2973">
        <w:t xml:space="preserve">.) </w:t>
      </w:r>
      <w:proofErr w:type="gramStart"/>
      <w:r w:rsidRPr="002A2973">
        <w:t>dla</w:t>
      </w:r>
      <w:proofErr w:type="gramEnd"/>
      <w:r w:rsidRPr="002A2973">
        <w:t xml:space="preserve"> zapewnienia równych warunków działania na rynku </w:t>
      </w:r>
      <w:r w:rsidRPr="002A2973">
        <w:lastRenderedPageBreak/>
        <w:t>kredytów konsumenckich i uniknięcia zakłóceń konkurencji na tym rynku;</w:t>
      </w:r>
    </w:p>
    <w:p w:rsidR="001866A8" w:rsidRPr="002A2973" w:rsidRDefault="001866A8" w:rsidP="001866A8">
      <w:pPr>
        <w:pStyle w:val="NormalHanging12a"/>
        <w:rPr>
          <w:b/>
          <w:i/>
        </w:rPr>
      </w:pPr>
      <w:r w:rsidRPr="002A2973">
        <w:rPr>
          <w:b/>
          <w:i/>
        </w:rPr>
        <w:t>Egzekwowanie polityki konkurencji i tendencje globalne</w:t>
      </w:r>
    </w:p>
    <w:p w:rsidR="001866A8" w:rsidRPr="002A2973" w:rsidRDefault="001866A8" w:rsidP="001866A8">
      <w:pPr>
        <w:pStyle w:val="NormalHanging12a"/>
      </w:pPr>
      <w:r w:rsidRPr="002A2973">
        <w:t>14.</w:t>
      </w:r>
      <w:r w:rsidRPr="002A2973">
        <w:tab/>
      </w:r>
      <w:proofErr w:type="gramStart"/>
      <w:r w:rsidRPr="002A2973">
        <w:t>przyjmuje</w:t>
      </w:r>
      <w:proofErr w:type="gramEnd"/>
      <w:r w:rsidRPr="002A2973">
        <w:t xml:space="preserve"> do wiadomości zapowiedź Komisji, że rozpocznie dochodzenie antysubsydyjne w sprawie chińskich pojazdów elektrycznych na podstawie rozporządzenia (UE) 2016/1037 w sprawie ochrony przed przywozem towarów subsydiowanych z krajów niebędących członkami Unii Europejskiej</w:t>
      </w:r>
      <w:r w:rsidRPr="002A2973">
        <w:rPr>
          <w:rStyle w:val="FootnoteReference"/>
        </w:rPr>
        <w:footnoteReference w:id="22"/>
      </w:r>
      <w:r w:rsidRPr="002A2973">
        <w:t>; podkreśla, że skuteczne wdrożenie instrumentów UE w sprawie subsydiów zagranicznych, w tym rozporządzenia (UE) 2022/2560 w sprawie subsydiów zagranicznych, ma ogromne znaczenie dla złagodzenia potencjalnie zakłócających skutków na jednolitym rynku; zwraca uwagę na brak zasobów, o czym świadczy jedynie osiem etatów w Komisji w tym obszarze;</w:t>
      </w:r>
    </w:p>
    <w:p w:rsidR="001866A8" w:rsidRPr="002A2973" w:rsidRDefault="001866A8" w:rsidP="001866A8">
      <w:pPr>
        <w:pStyle w:val="NormalHanging12a"/>
      </w:pPr>
      <w:r w:rsidRPr="002A2973">
        <w:t>15.</w:t>
      </w:r>
      <w:r w:rsidRPr="002A2973">
        <w:tab/>
      </w:r>
      <w:proofErr w:type="gramStart"/>
      <w:r w:rsidRPr="002A2973">
        <w:t>wzywa</w:t>
      </w:r>
      <w:proofErr w:type="gramEnd"/>
      <w:r w:rsidRPr="002A2973">
        <w:t xml:space="preserve"> Komisję do unowocześnienia przepisów dotyczących zamówień publicznych, aby móc realizować nowe priorytety i sprostać nowym wyzwaniom operacyjnym, a także przyczynić się do zwiększenia ekologiczności przemysłu i ulepszenia norm europejskich;</w:t>
      </w:r>
    </w:p>
    <w:p w:rsidR="001866A8" w:rsidRPr="002A2973" w:rsidRDefault="001866A8" w:rsidP="001866A8">
      <w:pPr>
        <w:pStyle w:val="NormalHanging12a"/>
      </w:pPr>
      <w:r w:rsidRPr="002A2973">
        <w:t>16.</w:t>
      </w:r>
      <w:r w:rsidRPr="002A2973">
        <w:tab/>
      </w:r>
      <w:proofErr w:type="gramStart"/>
      <w:r w:rsidRPr="002A2973">
        <w:t>podkreśla</w:t>
      </w:r>
      <w:proofErr w:type="gramEnd"/>
      <w:r w:rsidRPr="002A2973">
        <w:t>, że unijne reguły konkurencji powinny przyczyniać się do realizacji celu Unii określonego w art. 3 TUE; podkreśla, że „uczciwa cena” produktów nie jest najniższą możliwą ceną dla konsumenta, lecz ceną, która pozwala na godziwe wynagrodzenie wszystkich stron w łańcuchu dostaw, bez powodowania jednocześnie negatywnych efektów zewnętrznych; podkreśla, że egzekwowanie polityki konkurencji w interesie konsumentów powinno obejmować nie tylko kwestie dotyczące poziomów cen, ale także kwestie zrównoważonego rozwoju i wpływu na prywatność obywateli;</w:t>
      </w:r>
    </w:p>
    <w:p w:rsidR="001866A8" w:rsidRPr="002A2973" w:rsidRDefault="001866A8" w:rsidP="001866A8">
      <w:pPr>
        <w:pStyle w:val="NormalHanging12a"/>
      </w:pPr>
      <w:r w:rsidRPr="002A2973">
        <w:t>17.</w:t>
      </w:r>
      <w:r w:rsidRPr="002A2973">
        <w:tab/>
      </w:r>
      <w:proofErr w:type="gramStart"/>
      <w:r w:rsidRPr="002A2973">
        <w:t>podkreśla</w:t>
      </w:r>
      <w:proofErr w:type="gramEnd"/>
      <w:r w:rsidRPr="002A2973">
        <w:t xml:space="preserve"> kluczową rolę Europejskiej Sieci Konkurencji (ECN) jako forum wspierania współpracy i współdziałania między europejskimi organami ochrony konkurencji; wzywa Komisję, aby dążyła do dalszego konstruktywnego dialogu i współpracy na szczeblu międzynarodowym; podkreśla potrzebę zacieśnienia współpracy między organami ochrony konkurencji a innymi sektorowymi organami regulacyjnymi, takimi jak organy zajmujące się prywatnością danych, aby kontrolować niewłaściwe wykorzystywanie danych przedsiębiorstw oraz uniemożliwić przedsiębiorstwom wykorzystywanie danych konsumentów w celu uzyskania nieuczciwej przewagi konkurencyjnej; z zadowoleniem przyjmuje fakt, że właściwe organy krajowe odgrywają znaczącą rolę w egzekwowaniu przepisów aktu o rynkach cyfrowych, i pozytywnie odnosi się do krajowych inicjatyw ustawodawczych mających na celu zwalczanie antykonkurencyjnych </w:t>
      </w:r>
      <w:proofErr w:type="gramStart"/>
      <w:r w:rsidRPr="002A2973">
        <w:t>zachowań</w:t>
      </w:r>
      <w:proofErr w:type="gramEnd"/>
      <w:r w:rsidRPr="002A2973">
        <w:t xml:space="preserve"> dużych platform internetowych w sektorach cyfrowych; w tym kontekście podkreśla znaczenie skoordynowanych i jednolitych działań, które nie podważają stosowania aktu o rynkach cyfrowych ani krajowych reguł konkurencji w sektorze cyfrowym, jak przewidziano w art. 1 ust. 6 aktu o rynkach cyfrowych;</w:t>
      </w:r>
    </w:p>
    <w:p w:rsidR="001866A8" w:rsidRPr="002A2973" w:rsidRDefault="001866A8" w:rsidP="001866A8">
      <w:pPr>
        <w:pStyle w:val="NormalHanging12a"/>
      </w:pPr>
      <w:r w:rsidRPr="002A2973">
        <w:t>18.</w:t>
      </w:r>
      <w:r w:rsidRPr="002A2973">
        <w:tab/>
      </w:r>
      <w:proofErr w:type="gramStart"/>
      <w:r w:rsidRPr="002A2973">
        <w:t>wskazuje</w:t>
      </w:r>
      <w:proofErr w:type="gramEnd"/>
      <w:r w:rsidRPr="002A2973">
        <w:t xml:space="preserve">, że w zglobalizowanym świecie współpraca międzynarodowa ma kluczowe znaczenie dla skutecznego egzekwowania prawa konkurencji; podkreśla, że ​​specjalne umowy o współpracy z państwami spoza UE w obszarze polityki konkurencji mogą </w:t>
      </w:r>
      <w:r w:rsidRPr="002A2973">
        <w:lastRenderedPageBreak/>
        <w:t>znacząco przyczynić się do jej skuteczności; zwraca się do Komisji o zwiększenie wpływu polityki konkurencji na świecie, zwłaszcza przez zacieśnienie współpracy z państwami spoza UE w drodze umów o współpracy drugiej generacji, umożliwiających skuteczniejszą wymianę informacji między organami ds. konkurencji;</w:t>
      </w:r>
    </w:p>
    <w:p w:rsidR="001866A8" w:rsidRPr="002A2973" w:rsidRDefault="001866A8" w:rsidP="001866A8">
      <w:pPr>
        <w:pStyle w:val="NormalHanging12a"/>
      </w:pPr>
      <w:r w:rsidRPr="002A2973">
        <w:t>19.</w:t>
      </w:r>
      <w:r w:rsidRPr="002A2973">
        <w:tab/>
      </w:r>
      <w:proofErr w:type="gramStart"/>
      <w:r w:rsidRPr="002A2973">
        <w:t>wzywa</w:t>
      </w:r>
      <w:proofErr w:type="gramEnd"/>
      <w:r w:rsidRPr="002A2973">
        <w:t xml:space="preserve"> Komisję, aby w większym stopniu korzystała z dodatkowych narzędzi gromadzenia dowodów, takich jak wiedza behawioralna i analityka finansowa, a także szerzej angażowała w egzekwowanie prawa konkurencji naukowców zajmujących się danymi, informatyką i sztuczną inteligencją oraz ekonomistów behawioralnych;</w:t>
      </w:r>
    </w:p>
    <w:p w:rsidR="001866A8" w:rsidRPr="002A2973" w:rsidRDefault="001866A8" w:rsidP="001866A8">
      <w:pPr>
        <w:pStyle w:val="NormalHanging12a"/>
      </w:pPr>
      <w:r w:rsidRPr="002A2973">
        <w:t>20.</w:t>
      </w:r>
      <w:r w:rsidRPr="002A2973">
        <w:tab/>
      </w:r>
      <w:proofErr w:type="gramStart"/>
      <w:r w:rsidRPr="002A2973">
        <w:t>zwraca</w:t>
      </w:r>
      <w:proofErr w:type="gramEnd"/>
      <w:r w:rsidRPr="002A2973">
        <w:t xml:space="preserve"> uwagę, że w przypadku agencji ratingowych nadal mamy do czynienia z wysokim poziomem koncentracji rynku, o czym świadczy fakt, że trzy największe agencje ratingowe mają ponad 90 %</w:t>
      </w:r>
      <w:r w:rsidRPr="002A2973">
        <w:rPr>
          <w:rStyle w:val="FootnoteReference"/>
        </w:rPr>
        <w:footnoteReference w:id="23"/>
      </w:r>
      <w:r w:rsidRPr="002A2973">
        <w:t xml:space="preserve"> udziału w rynku; ponownie podkreśla potrzebę zwiększenia konkurencji na tym rynku, aby zapewnić bezstronność i zaufanie;</w:t>
      </w:r>
    </w:p>
    <w:p w:rsidR="001866A8" w:rsidRPr="002A2973" w:rsidRDefault="001866A8" w:rsidP="001866A8">
      <w:pPr>
        <w:pStyle w:val="NormalHanging12a"/>
      </w:pPr>
      <w:r w:rsidRPr="002A2973">
        <w:t>21.</w:t>
      </w:r>
      <w:r w:rsidRPr="002A2973">
        <w:tab/>
      </w:r>
      <w:proofErr w:type="gramStart"/>
      <w:r w:rsidRPr="002A2973">
        <w:t>ubolewa</w:t>
      </w:r>
      <w:proofErr w:type="gramEnd"/>
      <w:r w:rsidRPr="002A2973">
        <w:t xml:space="preserve"> nad decyzją Ernst &amp; Young o zaprzestaniu procesu rozdzielania działalności audytorskiej i doradczej; zauważa, że połączenie działalności audytorskiej i doradczej może prowadzić do konfliktu interesów i zwiększyć dominację rynkową każdej z firm z „wielkiej czwórki”; zwraca się do Komisji o zbadanie łączenia działalności audytorskiej i doradczej oraz ewentualne przedstawienie środków zapobiegających konfliktom interesów i dominacji rynkowej;</w:t>
      </w:r>
    </w:p>
    <w:p w:rsidR="001866A8" w:rsidRPr="002A2973" w:rsidRDefault="001866A8" w:rsidP="001866A8">
      <w:pPr>
        <w:pStyle w:val="NormalHanging12a"/>
        <w:rPr>
          <w:b/>
          <w:i/>
        </w:rPr>
      </w:pPr>
      <w:r w:rsidRPr="002A2973">
        <w:rPr>
          <w:b/>
          <w:i/>
        </w:rPr>
        <w:t>Kontrola łączenia przedsiębiorstw</w:t>
      </w:r>
    </w:p>
    <w:p w:rsidR="001866A8" w:rsidRPr="002A2973" w:rsidRDefault="001866A8" w:rsidP="001866A8">
      <w:pPr>
        <w:pStyle w:val="NormalHanging12a"/>
      </w:pPr>
      <w:r w:rsidRPr="002A2973">
        <w:t>22.</w:t>
      </w:r>
      <w:r w:rsidRPr="002A2973">
        <w:tab/>
      </w:r>
      <w:proofErr w:type="gramStart"/>
      <w:r w:rsidRPr="002A2973">
        <w:t>zauważa</w:t>
      </w:r>
      <w:proofErr w:type="gramEnd"/>
      <w:r w:rsidRPr="002A2973">
        <w:t>, że wykupowanie start-upów przez podmioty dominujące może ograniczyć innowacyjność, a w efekcie konkurencję; podkreśla, że istotne jest, aby Komisja zwracała szczególną uwagę na zjawisko „zabójczych przejęć” w sektorze cyfrowym, które należy zgłaszać na mocy aktu o rynkach cyfrowych, i w stosownych przypadkach podejmowała zdecydowane działania zgodnie art. 22 rozporządzenia WE w sprawie kontroli łączenia przedsiębiorstw;</w:t>
      </w:r>
    </w:p>
    <w:p w:rsidR="001866A8" w:rsidRPr="002A2973" w:rsidRDefault="001866A8" w:rsidP="001866A8">
      <w:pPr>
        <w:pStyle w:val="NormalHanging12a"/>
      </w:pPr>
      <w:r w:rsidRPr="002A2973">
        <w:t>23.</w:t>
      </w:r>
      <w:r w:rsidRPr="002A2973">
        <w:tab/>
      </w:r>
      <w:proofErr w:type="gramStart"/>
      <w:r w:rsidRPr="002A2973">
        <w:t>z</w:t>
      </w:r>
      <w:proofErr w:type="gramEnd"/>
      <w:r w:rsidRPr="002A2973">
        <w:t xml:space="preserve"> zadowoleniem przyjmuje niedawne decyzje Komisji w sprawach dotyczących połączeń przedsiębiorstw</w:t>
      </w:r>
      <w:r w:rsidRPr="002A2973">
        <w:rPr>
          <w:rStyle w:val="FootnoteReference"/>
        </w:rPr>
        <w:footnoteReference w:id="24"/>
      </w:r>
      <w:r w:rsidRPr="002A2973">
        <w:t>; podkreśla, że przy podejmowaniu decyzji o łączeniu przedsiębiorstw ważne są strukturalne środki zaradcze; zauważa, że największe i najbardziej wpływowe platformy internetowe mają wpływ na codzienne funkcjonowanie dziesiątek tysięcy MŚP; podkreśla, że przejęcie nie może prowadzić do wzmocnienia dominującej pozycji przedsiębiorstwa na rynku hotelarskim poprzez umożliwienie mu krzyżowej sprzedaży różnych usług;</w:t>
      </w:r>
    </w:p>
    <w:p w:rsidR="001866A8" w:rsidRPr="002A2973" w:rsidRDefault="001866A8" w:rsidP="001866A8">
      <w:pPr>
        <w:pStyle w:val="NormalHanging12a"/>
      </w:pPr>
      <w:r w:rsidRPr="002A2973">
        <w:t>24.</w:t>
      </w:r>
      <w:r w:rsidRPr="002A2973">
        <w:tab/>
      </w:r>
      <w:proofErr w:type="gramStart"/>
      <w:r w:rsidRPr="002A2973">
        <w:t>z</w:t>
      </w:r>
      <w:proofErr w:type="gramEnd"/>
      <w:r w:rsidRPr="002A2973">
        <w:t xml:space="preserve"> zadowoleniem przyjmuje inicjatywę Komisji dotyczącą przeglądu jej komunikatu w sprawie definicji „rynku właściwego” i oczekuje na wyniki konsultacji publicznych; podkreśla potrzebę przyjęcia bardziej dynamicznego podejścia, które wykracza poza podejście tradycyjne, szczególnie w przypadku nowych rynków wschodzących, takich jak sektor cyfrowy, i uwzględnia perspektywę długoterminową, obejmującą wymiar globalny i potencjalną przyszłą konkurencję; ubolewa nad faktem, że ​​w przeszłości </w:t>
      </w:r>
      <w:r w:rsidRPr="002A2973">
        <w:lastRenderedPageBreak/>
        <w:t xml:space="preserve">Komisja przyjmowała niekiedy zbyt wąską perspektywę rynku właściwego, pozbawiając w ten sposób europejskie przedsiębiorstwa możliwości skutecznego konkurowania w zglobalizowanym otoczeniu; popiera propozycję Komisji, aby w sytuacji, gdy ekspansja na sąsiednie rynki skutkowałaby dalszym wzmocnieniem dominującej pozycji spółki przejmującej na jej rynku głównym, </w:t>
      </w:r>
      <w:proofErr w:type="gramStart"/>
      <w:r w:rsidRPr="002A2973">
        <w:t>w</w:t>
      </w:r>
      <w:proofErr w:type="gramEnd"/>
      <w:r w:rsidRPr="002A2973">
        <w:t xml:space="preserve"> ocenie połączenia przedsiębiorstw w większym stopniu uwzględniać potencjalne szkody dla konkurencji;</w:t>
      </w:r>
    </w:p>
    <w:p w:rsidR="001866A8" w:rsidRPr="002A2973" w:rsidRDefault="001866A8" w:rsidP="001866A8">
      <w:pPr>
        <w:pStyle w:val="NormalHanging12a"/>
      </w:pPr>
      <w:r w:rsidRPr="002A2973">
        <w:t>25.</w:t>
      </w:r>
      <w:r w:rsidRPr="002A2973">
        <w:tab/>
      </w:r>
      <w:proofErr w:type="gramStart"/>
      <w:r w:rsidRPr="002A2973">
        <w:t>jest</w:t>
      </w:r>
      <w:proofErr w:type="gramEnd"/>
      <w:r w:rsidRPr="002A2973">
        <w:t xml:space="preserve"> zaniepokojony daleko idącą koncentracją w niektórych częściach łańcucha dostaw żywności, która przynosi szkody dla konsumentów, rolników, środowiska i różnorodności biologicznej;</w:t>
      </w:r>
    </w:p>
    <w:p w:rsidR="001866A8" w:rsidRPr="002A2973" w:rsidRDefault="001866A8" w:rsidP="001866A8">
      <w:pPr>
        <w:pStyle w:val="NormalHanging12a"/>
      </w:pPr>
      <w:r w:rsidRPr="002A2973">
        <w:t>26.</w:t>
      </w:r>
      <w:r w:rsidRPr="002A2973">
        <w:tab/>
      </w:r>
      <w:proofErr w:type="gramStart"/>
      <w:r w:rsidRPr="002A2973">
        <w:t>przypomina</w:t>
      </w:r>
      <w:proofErr w:type="gramEnd"/>
      <w:r w:rsidRPr="002A2973">
        <w:t>, że zgodnie z rozporządzeniem WE w sprawie kontroli łączenia przedsiębiorstw państwa członkowskie mogą podejmować odpowiednie środki w celu ochrony kwestii leżących w interesie publicznym, takich jak ochrona klimatu, zrównoważony rozwój i praworządność, i zwraca się do Komisji o zapewnienie takiej samej możliwości przy badaniu wpływu koncentracji na rynek wewnętrzny;</w:t>
      </w:r>
    </w:p>
    <w:p w:rsidR="001866A8" w:rsidRPr="002A2973" w:rsidRDefault="001866A8" w:rsidP="001866A8">
      <w:pPr>
        <w:pStyle w:val="NormalHanging12a"/>
        <w:rPr>
          <w:b/>
          <w:i/>
        </w:rPr>
      </w:pPr>
      <w:r w:rsidRPr="002A2973">
        <w:rPr>
          <w:b/>
          <w:i/>
        </w:rPr>
        <w:t>Przeciwdziałanie praktykom monopolistycznym i kartele</w:t>
      </w:r>
    </w:p>
    <w:p w:rsidR="001866A8" w:rsidRPr="002A2973" w:rsidRDefault="001866A8" w:rsidP="001866A8">
      <w:pPr>
        <w:pStyle w:val="NormalHanging12a"/>
      </w:pPr>
      <w:r w:rsidRPr="002A2973">
        <w:t>27.</w:t>
      </w:r>
      <w:r w:rsidRPr="002A2973">
        <w:tab/>
      </w:r>
      <w:proofErr w:type="gramStart"/>
      <w:r w:rsidRPr="002A2973">
        <w:t>wzywa</w:t>
      </w:r>
      <w:proofErr w:type="gramEnd"/>
      <w:r w:rsidRPr="002A2973">
        <w:t xml:space="preserve"> Komisję do lepszego wykorzystywania instrumentu środków tymczasowych, aby powstrzymać wszelkie praktyki, które mogłyby poważnie zaszkodzić konkurencji, zwłaszcza w odniesieniu do dynamicznych i szybko rozwijających się rynków, takich jak rynki cyfrowe;</w:t>
      </w:r>
    </w:p>
    <w:p w:rsidR="001866A8" w:rsidRPr="002A2973" w:rsidRDefault="001866A8" w:rsidP="001866A8">
      <w:pPr>
        <w:pStyle w:val="NormalHanging12a"/>
      </w:pPr>
      <w:r w:rsidRPr="002A2973">
        <w:t>28.</w:t>
      </w:r>
      <w:r w:rsidRPr="002A2973">
        <w:tab/>
      </w:r>
      <w:proofErr w:type="gramStart"/>
      <w:r w:rsidRPr="002A2973">
        <w:t>z</w:t>
      </w:r>
      <w:proofErr w:type="gramEnd"/>
      <w:r w:rsidRPr="002A2973">
        <w:t xml:space="preserve"> zadowoleniem przyjmuje nowe podejście zastosowane w najnowszych sprawach antymonopolowych, w których Komisja po raz pierwszy i pod pewnymi warunkami przewidziała nałożenie strukturalnych środków zaradczych, aby doprowadzić do zaprzestania działań sprzecznych z zasadami konkurencji, szczególnie w sytuacji, gdy zachowań tych na przestrzeni lat dopuszczało się to samo przedsiębiorstwo w innych segmentach rynku; w związku z tym zachęca Komisję, aby nadal podążała w tym kierunku z myślą o skutecznym egzekwowaniu prawa ochrony konkurencji ex post;</w:t>
      </w:r>
    </w:p>
    <w:p w:rsidR="001866A8" w:rsidRPr="002A2973" w:rsidRDefault="001866A8" w:rsidP="001866A8">
      <w:pPr>
        <w:pStyle w:val="NormalHanging12a"/>
      </w:pPr>
      <w:r w:rsidRPr="002A2973">
        <w:t>29.</w:t>
      </w:r>
      <w:r w:rsidRPr="002A2973">
        <w:tab/>
      </w:r>
      <w:proofErr w:type="gramStart"/>
      <w:r w:rsidRPr="002A2973">
        <w:t>wzywa</w:t>
      </w:r>
      <w:proofErr w:type="gramEnd"/>
      <w:r w:rsidRPr="002A2973">
        <w:t xml:space="preserve"> Komisję do przyspieszenia procedur antymonopolowych, określenia odpowiednich terminów procedur i zapewnienia skutecznego monitorowania decyzji, aby uniknąć długotrwałych procedur, takich jak w przypadku Spotify, które złożyło skargę na Apple w 2019 r., gdzie pomimo pisemnego zgłoszenia zastrzeżeń przez Komisję nie podjęto żadnych konkretnych działań w celu zaradzenia ograniczeniom wprowadzonym przez Apple, co uniemożliwiło twórcom aplikacji swobodną komunikację z własnymi użytkownikami;</w:t>
      </w:r>
    </w:p>
    <w:p w:rsidR="001866A8" w:rsidRPr="002A2973" w:rsidRDefault="001866A8" w:rsidP="001866A8">
      <w:pPr>
        <w:pStyle w:val="NormalHanging12a"/>
      </w:pPr>
      <w:r w:rsidRPr="002A2973">
        <w:t>30.</w:t>
      </w:r>
      <w:r w:rsidRPr="002A2973">
        <w:tab/>
      </w:r>
      <w:proofErr w:type="gramStart"/>
      <w:r w:rsidRPr="002A2973">
        <w:t>z</w:t>
      </w:r>
      <w:proofErr w:type="gramEnd"/>
      <w:r w:rsidRPr="002A2973">
        <w:t xml:space="preserve"> zadowoleniem przyjmuje rozpoczęcie prac nad wytycznymi w sprawie wykluczających nadużyć pozycji dominującej, które zostaną opracowane w 2024 r. i przyjęte w 2025 r., a także zobowiązanie Komisji do zdecydowanego, skutecznego i szybkiego stosowania art. 102 TFUE w obszarze nadużyć wykluczających; wzywa Komisję, aby w sposób konkretny potwierdziła, że prawo ochrony konkurencji będzie egzekwowane w oparciu o analizę skutków, a w szczególności by potwierdziła znaczenie dowodów o charakterze ekonomicznym w stosownych przypadkach; wzywa do uwzględnienia podatności konsumentów na zagrożenia przy ocenie nadużyć pozycji dominującej, takich jak zbyt wysokie ceny i nieuczciwe warunki;</w:t>
      </w:r>
    </w:p>
    <w:p w:rsidR="001866A8" w:rsidRPr="002A2973" w:rsidRDefault="001866A8" w:rsidP="001866A8">
      <w:pPr>
        <w:pStyle w:val="NormalHanging12a"/>
      </w:pPr>
      <w:r w:rsidRPr="002A2973">
        <w:t>31.</w:t>
      </w:r>
      <w:r w:rsidRPr="002A2973">
        <w:tab/>
      </w:r>
      <w:proofErr w:type="gramStart"/>
      <w:r w:rsidRPr="002A2973">
        <w:t>odnotowuje</w:t>
      </w:r>
      <w:proofErr w:type="gramEnd"/>
      <w:r w:rsidRPr="002A2973">
        <w:t xml:space="preserve"> wszczęcie formalnego dochodzenia w sprawie domniemanych praktyk </w:t>
      </w:r>
      <w:r w:rsidRPr="002A2973">
        <w:lastRenderedPageBreak/>
        <w:t>antykonkurencyjnych stosowanych przez jednego ze strażników dostępu, polegających na połączeniu lub powiązaniu platformy komunikacji i współpracy z jego własnym dominującym i popularnym oprogramowaniem</w:t>
      </w:r>
      <w:r w:rsidRPr="002A2973">
        <w:rPr>
          <w:rStyle w:val="FootnoteReference"/>
        </w:rPr>
        <w:footnoteReference w:id="25"/>
      </w:r>
      <w:r w:rsidRPr="002A2973">
        <w:t>; wzywa Komisję, aby wspólnie z zainteresowanymi przedsiębiorstwami starannie oceniła ustępstwa zaoferowane jednostronnie przez to przedsiębiorstwo celem upewnienia się, że rozwiewają one obawy uczestników rynku dotyczące nowych i obecnych użytkowników, a także rozwiązują kwestie interoperacyjności i cen;</w:t>
      </w:r>
    </w:p>
    <w:p w:rsidR="001866A8" w:rsidRPr="002A2973" w:rsidRDefault="001866A8" w:rsidP="001866A8">
      <w:pPr>
        <w:pStyle w:val="NormalHanging12a"/>
      </w:pPr>
      <w:r w:rsidRPr="002A2973">
        <w:t>32.</w:t>
      </w:r>
      <w:r w:rsidRPr="002A2973">
        <w:tab/>
      </w:r>
      <w:proofErr w:type="gramStart"/>
      <w:r w:rsidRPr="002A2973">
        <w:t>nalega</w:t>
      </w:r>
      <w:proofErr w:type="gramEnd"/>
      <w:r w:rsidRPr="002A2973">
        <w:t xml:space="preserve"> na skuteczne środki zaradcze, które wymagają większej koordynacji między organami odpowiedzialnymi za egzekwowanie prawa oraz dalszego dialogu ze stronami trzecimi, a także odpowiedniego egzekwowania przepisów; przypomina, że przedsiębiorstwa wskazane jako strażnicy dostępu były już wcześniej przedmiotem orzeczeń antymonopolowych, które nie doprowadziły do skutecznej zmiany zachowań, zwłaszcza rezygnacji z faworyzowania własnych produktów lub usług na rynkach cyfrowych; zachęca Komisję, aby lepiej wykorzystywała strukturalne środki zaradcze jako środki ostateczne; ponawia swój apel do Komisji, aby położyła kres prymatowi behawioralnych środków zaradczych w prawie UE;</w:t>
      </w:r>
    </w:p>
    <w:p w:rsidR="001866A8" w:rsidRPr="002A2973" w:rsidRDefault="001866A8" w:rsidP="001866A8">
      <w:pPr>
        <w:pStyle w:val="NormalHanging12a"/>
      </w:pPr>
      <w:r w:rsidRPr="002A2973">
        <w:t>33.</w:t>
      </w:r>
      <w:r w:rsidRPr="002A2973">
        <w:tab/>
      </w:r>
      <w:proofErr w:type="gramStart"/>
      <w:r w:rsidRPr="002A2973">
        <w:t>ponawia</w:t>
      </w:r>
      <w:proofErr w:type="gramEnd"/>
      <w:r w:rsidRPr="002A2973">
        <w:t xml:space="preserve"> apel do Komisji, by zareagowała na antykonkurencyjny skutek terytorialnych ograniczeń dostaw w celu zapewnienia w pełni funkcjonalnego jednolitego rynku i wykorzystania jego potencjalnych korzyści dla konsumentów; </w:t>
      </w:r>
    </w:p>
    <w:p w:rsidR="001866A8" w:rsidRPr="002A2973" w:rsidRDefault="001866A8" w:rsidP="001866A8">
      <w:pPr>
        <w:pStyle w:val="NormalHanging12a"/>
      </w:pPr>
      <w:r w:rsidRPr="002A2973">
        <w:t xml:space="preserve">34. </w:t>
      </w:r>
      <w:r w:rsidRPr="002A2973">
        <w:tab/>
      </w:r>
      <w:proofErr w:type="gramStart"/>
      <w:r w:rsidRPr="002A2973">
        <w:t>ponawia</w:t>
      </w:r>
      <w:proofErr w:type="gramEnd"/>
      <w:r w:rsidRPr="002A2973">
        <w:t xml:space="preserve"> ponadto swój apel do Komisji o dalsze aktywne monitorowanie i usuwanie nieuzasadnionego blokowania geograficznego i innych ograniczeń w transgranicznej sprzedaży przez internet oraz o kierowanie się podejściem prokonsumenckim w tych działaniach, aby umożliwić konsumentom dostęp do większego wyboru produktów i usług w całej UE; </w:t>
      </w:r>
    </w:p>
    <w:p w:rsidR="001866A8" w:rsidRPr="002A2973" w:rsidRDefault="001866A8" w:rsidP="001866A8">
      <w:pPr>
        <w:pStyle w:val="NormalHanging12a"/>
        <w:rPr>
          <w:b/>
          <w:i/>
        </w:rPr>
      </w:pPr>
      <w:r w:rsidRPr="002A2973">
        <w:rPr>
          <w:b/>
          <w:i/>
        </w:rPr>
        <w:t>Polityka konkurencji w erze cyfrowej</w:t>
      </w:r>
    </w:p>
    <w:p w:rsidR="001866A8" w:rsidRPr="002A2973" w:rsidRDefault="001866A8" w:rsidP="001866A8">
      <w:pPr>
        <w:pStyle w:val="NormalHanging12a"/>
      </w:pPr>
      <w:r w:rsidRPr="002A2973">
        <w:t>35.</w:t>
      </w:r>
      <w:r w:rsidRPr="002A2973">
        <w:tab/>
      </w:r>
      <w:proofErr w:type="gramStart"/>
      <w:r w:rsidRPr="002A2973">
        <w:t>z</w:t>
      </w:r>
      <w:proofErr w:type="gramEnd"/>
      <w:r w:rsidRPr="002A2973">
        <w:t xml:space="preserve"> zadowoleniem przyjmuje wyznaczenie sześciu strażników dostępu (Alphabet, Amazon, Apple, ByteDance, Meta, Microsoft</w:t>
      </w:r>
      <w:r w:rsidRPr="002A2973">
        <w:rPr>
          <w:rStyle w:val="FootnoteReference"/>
        </w:rPr>
        <w:footnoteReference w:id="26"/>
      </w:r>
      <w:r w:rsidRPr="002A2973">
        <w:t xml:space="preserve">) dla 22 podstawowych usług platformowych na podstawie aktu o rynkach cyfrowych, a także cztery badania rynku dotyczące kwalifikacji usług oraz pierwsze badanie rynku na podstawie art. 3 ust. 8 aktu o rynkach cyfrowych; zachęca Komisję do szybkiego przyjęcia aktów delegowanych, aby przedłużyć warunki stosowania lub określić warunki wypełnienia obowiązków, o których mowa w art. 5, 6, 7 i 12 aktu o rynkach cyfrowych; wzywa Komisję, aby przed 6 marca 2024 r. przeprowadziła rygorystyczną ocenę, czy strażnicy dostępu wywiązują się z obowiązków wynikających z aktu o rynkach cyfrowych, oraz by zwróciła się do stron trzecich o informacje </w:t>
      </w:r>
      <w:proofErr w:type="gramStart"/>
      <w:r w:rsidRPr="002A2973">
        <w:t>zwrotne</w:t>
      </w:r>
      <w:proofErr w:type="gramEnd"/>
      <w:r w:rsidRPr="002A2973">
        <w:t xml:space="preserve"> na temat tego, czy rozwiązania w zakresie zgodności proponowane przez strażników dostępu prowadzą do bardziej sprawiedliwych i konkurencyjnych rynków cyfrowych; wzywa Komisję do zadbania o to, aby niezależne osoby trzecie sprawdzały stosowane przez strażników dostępu środki w zakresie bezpieczeństwa i integralności ich platform mogące mieć wpływ na </w:t>
      </w:r>
      <w:r w:rsidRPr="002A2973">
        <w:lastRenderedPageBreak/>
        <w:t>zgodność z aktem o rynkach cyfrowych i aby nie polegać wyłącznie na ocenie tych środków przez samych strażników dostępu;</w:t>
      </w:r>
    </w:p>
    <w:p w:rsidR="001866A8" w:rsidRPr="002A2973" w:rsidRDefault="001866A8" w:rsidP="001866A8">
      <w:pPr>
        <w:pStyle w:val="NormalHanging12a"/>
      </w:pPr>
      <w:r w:rsidRPr="002A2973">
        <w:t>36.</w:t>
      </w:r>
      <w:r w:rsidRPr="002A2973">
        <w:tab/>
      </w:r>
      <w:proofErr w:type="gramStart"/>
      <w:r w:rsidRPr="002A2973">
        <w:t>zwraca</w:t>
      </w:r>
      <w:proofErr w:type="gramEnd"/>
      <w:r w:rsidRPr="002A2973">
        <w:t xml:space="preserve"> uwagę, że – jak wynika z opracowanej przez Komisję analizy dotyczącej wpływu ostatnich zmian na rynku reklamy cyfrowej na prywatność, wydawców i reklamodawców – gromadzenie i przetwarzanie danych osobowych na dużą skalę do celów reklamowych oraz nieprzejrzystość rynku reklamy cyfrowej mogą prowadzić do nadużyć</w:t>
      </w:r>
      <w:r w:rsidRPr="002A2973">
        <w:rPr>
          <w:rStyle w:val="FootnoteReference"/>
        </w:rPr>
        <w:footnoteReference w:id="27"/>
      </w:r>
      <w:r w:rsidRPr="002A2973">
        <w:t>; wzywa Komisję, aby zgodnie z zaleceniami zawartymi w tej analizie dalej badała warianty legislacyjne dotyczące przyszłych interwencji politycznych, w tym wprowadzenia strukturalnych środków zaradczych, w celu rozwiązania problemu zachowań antykonkurencyjnych poprzez uzupełnienie aktu o rynkach cyfrowych i aktu o usługach cyfrowych</w:t>
      </w:r>
      <w:r w:rsidRPr="002A2973">
        <w:rPr>
          <w:rStyle w:val="FootnoteReference"/>
        </w:rPr>
        <w:footnoteReference w:id="28"/>
      </w:r>
      <w:r w:rsidRPr="002A2973">
        <w:t xml:space="preserve"> w tym zakresie;</w:t>
      </w:r>
    </w:p>
    <w:p w:rsidR="001866A8" w:rsidRPr="002A2973" w:rsidRDefault="001866A8" w:rsidP="001866A8">
      <w:pPr>
        <w:pStyle w:val="NormalHanging12a"/>
      </w:pPr>
      <w:r w:rsidRPr="002A2973">
        <w:t>37.</w:t>
      </w:r>
      <w:r w:rsidRPr="002A2973">
        <w:tab/>
        <w:t>z zadowoleniem przyjmuje badania rynku dotyczące przeglądarki Edge i wyszukiwarki Bing (Microsoft</w:t>
      </w:r>
      <w:proofErr w:type="gramStart"/>
      <w:r w:rsidRPr="002A2973">
        <w:t>)</w:t>
      </w:r>
      <w:r w:rsidRPr="002A2973">
        <w:rPr>
          <w:rStyle w:val="FootnoteReference"/>
        </w:rPr>
        <w:footnoteReference w:id="29"/>
      </w:r>
      <w:r w:rsidRPr="002A2973">
        <w:t xml:space="preserve"> oraz</w:t>
      </w:r>
      <w:proofErr w:type="gramEnd"/>
      <w:r w:rsidRPr="002A2973">
        <w:t xml:space="preserve"> systemu iOS i usługi iMessage (Apple)</w:t>
      </w:r>
      <w:r w:rsidRPr="002A2973">
        <w:rPr>
          <w:rStyle w:val="FootnoteReference"/>
        </w:rPr>
        <w:footnoteReference w:id="30"/>
      </w:r>
      <w:r w:rsidRPr="002A2973">
        <w:t xml:space="preserve">, mające na celu ocenę ich roli jako punktu dostępu i ich silnej pozycji na rynku w świetle decyzji o wyznaczeniu Apple i Microsoftu jako strażników dostępu na mocy aktu o rynkach cyfrowych; podkreśla domyślną obecność usługi iMessage na wszystkich urządzeniach iOS u ponad 144 mln użytkowników; podkreśla, że smartfony stanowią podstawowe narzędzie do użytku osobistego i zawodowego; podkreśla, że dzisiejszy rynek jest zdominowany przez dwa systemy operacyjne posiadające własne nieinteroperacyjne usługi przesyłania komunikatów, co ogranicza użytkownikom i firmom możliwość swobodnego przechodzenia z </w:t>
      </w:r>
      <w:proofErr w:type="gramStart"/>
      <w:r w:rsidRPr="002A2973">
        <w:t>jednego</w:t>
      </w:r>
      <w:proofErr w:type="gramEnd"/>
      <w:r w:rsidRPr="002A2973">
        <w:t xml:space="preserve"> ekosystemu do drugiego oraz płynnej komunikacji między sobą niezależnie od systemu operacyjnego, i jest zasadniczo sprzeczne z duchem i literą aktu o rynkach cyfrowych; wzywa zatem Komisję do sprawnego przeprowadzenia badania i jego skutecznego wdrożenia, aby na czas zapewnić wszystkim korzyści wynikające z interoperacyjności usługi przesyłania wiadomości;</w:t>
      </w:r>
    </w:p>
    <w:p w:rsidR="001866A8" w:rsidRPr="002A2973" w:rsidRDefault="001866A8" w:rsidP="001866A8">
      <w:pPr>
        <w:pStyle w:val="NormalHanging12a"/>
      </w:pPr>
      <w:r w:rsidRPr="002A2973">
        <w:t>38.</w:t>
      </w:r>
      <w:r w:rsidRPr="002A2973">
        <w:tab/>
      </w:r>
      <w:proofErr w:type="gramStart"/>
      <w:r w:rsidRPr="002A2973">
        <w:t>zwraca</w:t>
      </w:r>
      <w:proofErr w:type="gramEnd"/>
      <w:r w:rsidRPr="002A2973">
        <w:t xml:space="preserve"> uwagę na decyzję TSUE w sprawie </w:t>
      </w:r>
      <w:r w:rsidRPr="002A2973">
        <w:rPr>
          <w:i/>
          <w:iCs/>
        </w:rPr>
        <w:t>Meta przeciwko Bundeskartellamt</w:t>
      </w:r>
      <w:r w:rsidRPr="002A2973">
        <w:t>, w której Trybunał potwierdził kompetencje krajowych organów ochrony konkurencji w zakresie egzekwowania przepisów o ochronie danych na mocy prawa antymonopolowego; zwraca uwagę, że zdaniem TSUE ochrona danych osobowych jest ważnym czynnikiem w badaniu nadużywania pozycji dominującej oraz nakłada wymogi dotyczące wykorzystywania danych osobowych osób fizycznych do reklamy ukierunkowanej; zachęca organy ochrony konkurencji do prowadzenia dochodzeń w sprawie naruszeń ogólnego rozporządzenia o ochronie danych</w:t>
      </w:r>
      <w:r w:rsidRPr="002A2973">
        <w:rPr>
          <w:rStyle w:val="FootnoteReference"/>
        </w:rPr>
        <w:footnoteReference w:id="31"/>
      </w:r>
      <w:r w:rsidRPr="002A2973">
        <w:t xml:space="preserve">, a organy ochrony danych – do karania </w:t>
      </w:r>
      <w:r w:rsidRPr="002A2973">
        <w:lastRenderedPageBreak/>
        <w:t>takich naruszeń;</w:t>
      </w:r>
    </w:p>
    <w:p w:rsidR="001866A8" w:rsidRPr="002A2973" w:rsidRDefault="001866A8" w:rsidP="001866A8">
      <w:pPr>
        <w:pStyle w:val="NormalHanging12a"/>
      </w:pPr>
      <w:r w:rsidRPr="002A2973">
        <w:t>39.</w:t>
      </w:r>
      <w:r w:rsidRPr="002A2973">
        <w:tab/>
      </w:r>
      <w:proofErr w:type="gramStart"/>
      <w:r w:rsidRPr="002A2973">
        <w:t>zwraca</w:t>
      </w:r>
      <w:proofErr w:type="gramEnd"/>
      <w:r w:rsidRPr="002A2973">
        <w:t xml:space="preserve"> uwagę na wnioski z postępowania Bundeskartellamt w sprawie Alphabet Inc., </w:t>
      </w:r>
      <w:proofErr w:type="gramStart"/>
      <w:r w:rsidRPr="002A2973">
        <w:t>dzięki</w:t>
      </w:r>
      <w:proofErr w:type="gramEnd"/>
      <w:r w:rsidRPr="002A2973">
        <w:t xml:space="preserve"> którym użytkownicy Google zyskują większe możliwości wyboru sposobu, w jaki Google przetwarza ich dane; uważa, że konsumenci w UE muszą mieć wybór, czy zezwalają na łączenie i przetwarzanie swoich danych osobowych między usługami; zachęca Komisję, aby nadal koordynowała działania w zakresie egzekwowania prawa i współpracy z krajowymi organami ochrony konkurencji w celu ułatwienia efektywnego współdziałania prawa konkurencji i aktu o rynkach cyfrowych, zwłaszcza w kontekście „dodatkowych obowiązków” na podstawie aktu o rynkach cyfrowych; </w:t>
      </w:r>
    </w:p>
    <w:p w:rsidR="001866A8" w:rsidRPr="002A2973" w:rsidRDefault="001866A8" w:rsidP="001866A8">
      <w:pPr>
        <w:pStyle w:val="NormalHanging12a"/>
      </w:pPr>
      <w:r w:rsidRPr="002A2973">
        <w:t>40.</w:t>
      </w:r>
      <w:r w:rsidRPr="002A2973">
        <w:tab/>
      </w:r>
      <w:proofErr w:type="gramStart"/>
      <w:r w:rsidRPr="002A2973">
        <w:t>zwraca</w:t>
      </w:r>
      <w:proofErr w:type="gramEnd"/>
      <w:r w:rsidRPr="002A2973">
        <w:t xml:space="preserve"> uwagę, że internet rzeczy jest rynkiem rosnącym; ponadto zwraca uwagę, że inteligentne urządzenia domowe, takie jak odkurzacze–roboty, są ważnym źródłem danych o konsumentach; zauważa, że połączenia i przejęcia w tym sektorze mogą spowodować znaczną szkodę dla konkurencji; wzywa Komisję, aby przy ocenie spraw dotyczących fuzji i przejęć w tym sektorze uwzględniała dane jako źródła władzy rynkowej, zwłaszcza jeśli sprawy te dotyczą uznanych dużych firm technologicznych; ponadto apeluje, aby w razie potrzeby obłożyć wykorzystywanie danych pewnymi warunkami; </w:t>
      </w:r>
    </w:p>
    <w:p w:rsidR="001866A8" w:rsidRPr="002A2973" w:rsidRDefault="001866A8" w:rsidP="001866A8">
      <w:pPr>
        <w:pStyle w:val="NormalHanging12a"/>
      </w:pPr>
      <w:r w:rsidRPr="002A2973">
        <w:t>41.</w:t>
      </w:r>
      <w:r w:rsidRPr="002A2973">
        <w:tab/>
      </w:r>
      <w:proofErr w:type="gramStart"/>
      <w:r w:rsidRPr="002A2973">
        <w:t>ubolewa</w:t>
      </w:r>
      <w:proofErr w:type="gramEnd"/>
      <w:r w:rsidRPr="002A2973">
        <w:t xml:space="preserve"> nad brakiem dostawców usług chmurowych na liście strażników dostępu; wzywa Komisję, aby rozważyła rozpoczęcie badań rynku w tym sektorze na mocy art. 3 ust. 8 aktu o rynkach cyfrowych (ocena jakościowa), w szczególności biorąc pod uwagę skoncentrowaną strukturę rynku oraz szkodliwe praktyki antykonkurencyjne podkreślane przez krajowe organy ochrony konkurencji; podkreśla, że europejski rynek usług chmurowych jest zdominowany przez kilka bardzo dużych podmiotów; wzywa Komisję do dopilnowania, aby wskazaniem objęto wszystkie kwalifikujące się usługi, aby przywrócić uczciwą i równą konkurencję na europejskim rynku usług chmurowych;</w:t>
      </w:r>
    </w:p>
    <w:p w:rsidR="001866A8" w:rsidRPr="002A2973" w:rsidRDefault="001866A8" w:rsidP="001866A8">
      <w:pPr>
        <w:pStyle w:val="NormalHanging12a"/>
      </w:pPr>
      <w:r w:rsidRPr="002A2973">
        <w:t>42.</w:t>
      </w:r>
      <w:r w:rsidRPr="002A2973">
        <w:tab/>
      </w:r>
      <w:proofErr w:type="gramStart"/>
      <w:r w:rsidRPr="002A2973">
        <w:t>wzywa</w:t>
      </w:r>
      <w:proofErr w:type="gramEnd"/>
      <w:r w:rsidRPr="002A2973">
        <w:t xml:space="preserve"> Komisję, by w związku z najnowszymi zmianami technologicznymi mogącymi doprowadzić do powstania nowych rodzajów usług, które nie będą mieścić się w obecnych kategoriach, takimi jak generatywna sztuczna inteligencja, oceniła potrzebę rozpoczęcia badania rynku na podstawie art. 19 aktu o rynkach cyfrowych i dodania nowych kategorii podstawowych usług platformowych, o których mowa w art. 2 pkt 2 aktu o rynkach cyfrowych; uznaje, że nowe funkcje napędzane generatywną sztuczną inteligencją mogą zostać włączone do istniejących usług cyfrowych, takich jak wyszukiwarki internetowe, i mogą być ujęte w istniejącym wykazie podstawowych usług platformowych, co mogłoby doprowadzić do wzmocnienia istniejących strażników dostępu;</w:t>
      </w:r>
    </w:p>
    <w:p w:rsidR="001866A8" w:rsidRPr="002A2973" w:rsidRDefault="001866A8" w:rsidP="001866A8">
      <w:pPr>
        <w:pStyle w:val="NormalHanging12a"/>
      </w:pPr>
      <w:r w:rsidRPr="002A2973">
        <w:t xml:space="preserve">43. </w:t>
      </w:r>
      <w:r w:rsidRPr="002A2973">
        <w:tab/>
      </w:r>
      <w:proofErr w:type="gramStart"/>
      <w:r w:rsidRPr="002A2973">
        <w:t>odnotowuje</w:t>
      </w:r>
      <w:proofErr w:type="gramEnd"/>
      <w:r w:rsidRPr="002A2973">
        <w:t xml:space="preserve"> wspólne oświadczenie organów ds. konkurencji grupy G7 w sprawie konkurencji i sztucznej inteligencji, w którym podkreślono znaczenie współpracy w promowaniu konkurencji na rynkach cyfrowych</w:t>
      </w:r>
      <w:r w:rsidRPr="002A2973">
        <w:rPr>
          <w:rStyle w:val="FootnoteReference"/>
        </w:rPr>
        <w:footnoteReference w:id="32"/>
      </w:r>
      <w:r w:rsidRPr="002A2973">
        <w:t>; wzywa Komisję do zachowania czujności w odniesieniu do umów o współpracy w kontekście rozwoju sztucznej inteligencji, aby zagwarantować, że takie umowy o współpracy nie będą potencjalnie ukrytymi połączeniami przedsiębiorstw ani zabójczymi przejęciami;</w:t>
      </w:r>
    </w:p>
    <w:p w:rsidR="001866A8" w:rsidRPr="002A2973" w:rsidRDefault="001866A8" w:rsidP="001866A8">
      <w:pPr>
        <w:pStyle w:val="NormalHanging12a"/>
      </w:pPr>
      <w:r w:rsidRPr="002A2973">
        <w:lastRenderedPageBreak/>
        <w:t>44.</w:t>
      </w:r>
      <w:r w:rsidRPr="002A2973">
        <w:tab/>
      </w:r>
      <w:proofErr w:type="gramStart"/>
      <w:r w:rsidRPr="002A2973">
        <w:t>ponownie</w:t>
      </w:r>
      <w:proofErr w:type="gramEnd"/>
      <w:r w:rsidRPr="002A2973">
        <w:t xml:space="preserve"> podkreśla, że akt o rynkach cyfrowych ma inną podstawę prawną niż przepisy dotyczące konkurencji; podkreśla, że egzekwowanie ex post prawa konkurencji i egzekwowanie ex ante aktu o rynkach cyfrowych muszą skutecznie współistnieć, biorąc pod uwagę ich komplementarny charakter; podkreśla potrzebę zapewnienia wystarczających zasobów ludzkich i synergii, by skutecznie wdrażać przepisy i unikać nakładania się lub dublowania istniejących struktur i środków;</w:t>
      </w:r>
    </w:p>
    <w:p w:rsidR="001866A8" w:rsidRPr="002A2973" w:rsidRDefault="001866A8" w:rsidP="001866A8">
      <w:pPr>
        <w:pStyle w:val="NormalHanging12a"/>
      </w:pPr>
      <w:r w:rsidRPr="002A2973">
        <w:t>45.</w:t>
      </w:r>
      <w:r w:rsidRPr="002A2973">
        <w:tab/>
      </w:r>
      <w:proofErr w:type="gramStart"/>
      <w:r w:rsidRPr="002A2973">
        <w:t>podkreśla</w:t>
      </w:r>
      <w:proofErr w:type="gramEnd"/>
      <w:r w:rsidRPr="002A2973">
        <w:t xml:space="preserve"> przyszłe potrzeby UE w zakresie łączności pod względem infrastruktury i inwestycji; wzywa Komisję, by rozważyła przegląd obecnych praktyk konkurencyjnych na rynku telekomunikacyjnym, aby ułatwić stworzenie w pełni zintegrowanego jednolitego rynku usług telekomunikacyjnych; zauważa, że konsolidacja rynku może być jedynym sposobem, by uniknąć sprzedaży poszczególnych części infrastruktury zagranicznym przedsiębiorstwom spoza UE oraz by skutecznie konkurować na arenie globalnej; zwraca uwagę, że w ciągu ostatniej dekady ten sektor w Europie odnotowywał bardzo niewielki wzrost i główną przyczyną tego jest fragmentacja rynku; w tym kontekście z zadowoleniem przyjmuje zapowiedź komisarza Bretona dotyczącą prac Komisji nad nowym wnioskiem dotyczącym aktu o sieciach cyfrowych, </w:t>
      </w:r>
      <w:proofErr w:type="gramStart"/>
      <w:r w:rsidRPr="002A2973">
        <w:t>który</w:t>
      </w:r>
      <w:proofErr w:type="gramEnd"/>
      <w:r w:rsidRPr="002A2973">
        <w:t xml:space="preserve"> ma zaradzić fragmentacji rynku, przyciągnąć inwestycje i zabezpieczyć infrastrukturę telekomunikacyjną i innowacje bez dodatkowych kosztów po stronie konsumentów i bez ryzyka dla </w:t>
      </w:r>
      <w:r w:rsidR="0064334E" w:rsidRPr="00F5716E">
        <w:t>neutralności sieci i</w:t>
      </w:r>
      <w:r w:rsidR="0064334E" w:rsidRPr="00315C11">
        <w:rPr>
          <w:b/>
          <w:i/>
        </w:rPr>
        <w:t xml:space="preserve"> </w:t>
      </w:r>
      <w:r w:rsidRPr="002A2973">
        <w:t>uczciwej rynkowej konkurencji pomiędzy wszystkimi podmiotami;</w:t>
      </w:r>
    </w:p>
    <w:p w:rsidR="001866A8" w:rsidRPr="002A2973" w:rsidRDefault="001866A8" w:rsidP="001866A8">
      <w:pPr>
        <w:pStyle w:val="NormalHanging12a"/>
      </w:pPr>
      <w:r w:rsidRPr="002A2973">
        <w:t xml:space="preserve">46. </w:t>
      </w:r>
      <w:r w:rsidRPr="002A2973">
        <w:tab/>
      </w:r>
      <w:proofErr w:type="gramStart"/>
      <w:r w:rsidRPr="002A2973">
        <w:t>zauważa</w:t>
      </w:r>
      <w:proofErr w:type="gramEnd"/>
      <w:r w:rsidRPr="002A2973">
        <w:t xml:space="preserve"> z niepokojem, że strażnicy dostępu, którzy zyskują nad rywalami przewagę w zakresie danych, mogą osiągnąć krytyczne korzyści skali, które przyczyniają się do większego zachwiania równowagi konkurencyjnej na rynkach cyfrowych i hamują innowacje; </w:t>
      </w:r>
    </w:p>
    <w:p w:rsidR="001866A8" w:rsidRPr="002A2973" w:rsidRDefault="001866A8" w:rsidP="001866A8">
      <w:pPr>
        <w:pStyle w:val="NormalHanging12a"/>
      </w:pPr>
      <w:r w:rsidRPr="002A2973">
        <w:t>47.</w:t>
      </w:r>
      <w:r w:rsidRPr="002A2973">
        <w:tab/>
      </w:r>
      <w:proofErr w:type="gramStart"/>
      <w:r w:rsidRPr="002A2973">
        <w:t>podkreśla</w:t>
      </w:r>
      <w:proofErr w:type="gramEnd"/>
      <w:r w:rsidRPr="002A2973">
        <w:t xml:space="preserve">, że przy podejmowaniu decyzji w sprawie połączeń i przejęć przedsiębiorstw cyfrowych aktywa będące danymi osobowymi powinny być traktowane i oceniane w taki sam sposób jak inne tradycyjne aktywa; ponadto podkreśla, że konsolidacja danych w wyniku połączeń i przejęć może wzmocnić pozycję dominującą; </w:t>
      </w:r>
    </w:p>
    <w:p w:rsidR="001866A8" w:rsidRPr="002A2973" w:rsidRDefault="001866A8" w:rsidP="001866A8">
      <w:pPr>
        <w:pStyle w:val="NormalHanging12a"/>
        <w:rPr>
          <w:b/>
          <w:i/>
        </w:rPr>
      </w:pPr>
      <w:r w:rsidRPr="002A2973">
        <w:rPr>
          <w:b/>
          <w:i/>
        </w:rPr>
        <w:t>Podatki</w:t>
      </w:r>
    </w:p>
    <w:p w:rsidR="001866A8" w:rsidRPr="002A2973" w:rsidRDefault="001866A8" w:rsidP="001866A8">
      <w:pPr>
        <w:pStyle w:val="NormalHanging12a"/>
      </w:pPr>
      <w:r w:rsidRPr="002A2973">
        <w:t>48.</w:t>
      </w:r>
      <w:r w:rsidRPr="002A2973">
        <w:tab/>
      </w:r>
      <w:proofErr w:type="gramStart"/>
      <w:r w:rsidRPr="002A2973">
        <w:t>ubolewa</w:t>
      </w:r>
      <w:proofErr w:type="gramEnd"/>
      <w:r w:rsidRPr="002A2973">
        <w:t xml:space="preserve"> nad zakłóceniami uczciwej konkurencji powodowanymi przez agresywne planowanie podatkowe i systemy podatkowe niektórych państw członkowskich, ponieważ mogą one hamować innowacje i zagrażać kontestowalności rynków, zwłaszcza dla MŚP; apeluje, aby przedsiębiorstwa, które unikają opodatkowania z wykorzystaniem państw spoza UE będących rajami podatkowymi, zostały wykluczone z procedur udzielania zamówień publicznych i otrzymały zakaz korzystania z pomocy państwa, ponieważ przedsiębiorstwa te konkurują na nieuczciwych warunkach z przedsiębiorstwami mającymi siedzibę w krajach niebędących rajami podatkowymi; z zadowoleniem przyjmuje zalecenie Komisji z 14 lipca 2020 r., aby nie udzielać wsparcia finansowego przedsiębiorstwom mającym powiązania z rajami podatkowymi i jednocześnie chronić uczciwych podatników;</w:t>
      </w:r>
    </w:p>
    <w:p w:rsidR="001866A8" w:rsidRPr="002A2973" w:rsidRDefault="001866A8" w:rsidP="001866A8">
      <w:pPr>
        <w:pStyle w:val="NormalHanging12a"/>
      </w:pPr>
      <w:r w:rsidRPr="002A2973">
        <w:t>49.</w:t>
      </w:r>
      <w:r w:rsidRPr="002A2973">
        <w:tab/>
      </w:r>
      <w:proofErr w:type="gramStart"/>
      <w:r w:rsidRPr="002A2973">
        <w:t>apeluje</w:t>
      </w:r>
      <w:proofErr w:type="gramEnd"/>
      <w:r w:rsidRPr="002A2973">
        <w:t xml:space="preserve"> do Komisji o przeanalizowanie możliwości nakładania kar finansowych na państwa naruszające zasady pomocy państwa UE; zachęca Komisję do kontynuowania dochodzeń w sprawie praktyk państw członkowskich dotyczących indywidualnej interpretacji prawa podatkowego; </w:t>
      </w:r>
    </w:p>
    <w:p w:rsidR="001866A8" w:rsidRPr="002A2973" w:rsidRDefault="001866A8" w:rsidP="001866A8">
      <w:pPr>
        <w:pStyle w:val="NormalHanging12a"/>
      </w:pPr>
      <w:r w:rsidRPr="002A2973">
        <w:lastRenderedPageBreak/>
        <w:t>50.</w:t>
      </w:r>
      <w:r w:rsidRPr="002A2973">
        <w:tab/>
      </w:r>
      <w:proofErr w:type="gramStart"/>
      <w:r w:rsidRPr="002A2973">
        <w:t>odnotowuje</w:t>
      </w:r>
      <w:proofErr w:type="gramEnd"/>
      <w:r w:rsidRPr="002A2973">
        <w:t xml:space="preserve"> zobowiązanie wiceprzewodniczącego Šefčovicia i komisarza Hoekstry do rozpoczęcia dyskusji na temat stopniowego wycofywania dopłat do paliw kopalnych; przypomina swój apel o wdrożenie konkretnych strategii politycznych, harmonogramów i środków w celu jak najszybszego wycofania dopłat do paliw kopalnych za pomocą środków podatkowych; </w:t>
      </w:r>
    </w:p>
    <w:p w:rsidR="001866A8" w:rsidRPr="002A2973" w:rsidRDefault="001866A8" w:rsidP="001866A8">
      <w:pPr>
        <w:pStyle w:val="NormalHanging12a"/>
      </w:pPr>
      <w:r w:rsidRPr="002A2973">
        <w:t>51.</w:t>
      </w:r>
      <w:r w:rsidRPr="002A2973">
        <w:tab/>
      </w:r>
      <w:proofErr w:type="gramStart"/>
      <w:r w:rsidRPr="002A2973">
        <w:t>wyraża</w:t>
      </w:r>
      <w:proofErr w:type="gramEnd"/>
      <w:r w:rsidRPr="002A2973">
        <w:t xml:space="preserve"> zadowolenie, że Komisja z uwagą czuwa nad egzekwowaniem zasad pomocy państwa w obszarze opodatkowania; </w:t>
      </w:r>
    </w:p>
    <w:p w:rsidR="001866A8" w:rsidRPr="002A2973" w:rsidRDefault="001866A8" w:rsidP="001866A8">
      <w:pPr>
        <w:pStyle w:val="NormalHanging12a"/>
      </w:pPr>
      <w:r w:rsidRPr="002A2973">
        <w:t xml:space="preserve">52. </w:t>
      </w:r>
      <w:r w:rsidRPr="002A2973">
        <w:tab/>
      </w:r>
      <w:proofErr w:type="gramStart"/>
      <w:r w:rsidRPr="002A2973">
        <w:t>ubolewa</w:t>
      </w:r>
      <w:proofErr w:type="gramEnd"/>
      <w:r w:rsidRPr="002A2973">
        <w:t xml:space="preserve"> jednocześnie, że kilka niedawnych decyzji Komisji w głośnych sprawach dotyczących konkurencji w dziedzinie opodatkowania zostało uchylonych przez TSUE; wzywa Komisję do staranniejszego przygotowywania spraw z zakresu polityki konkurencji, aby skutecznie przekonywać sądy do swoich racji; z niepokojem zauważa, że anulowanie kar finansowych, jak również wsteczna wypłata odsetek za zwłokę w sprawach zakończonych unieważnieniem decyzji również stanowi ryzyko budżetowe dla UE; </w:t>
      </w:r>
    </w:p>
    <w:p w:rsidR="001866A8" w:rsidRPr="002A2973" w:rsidRDefault="001866A8" w:rsidP="001866A8">
      <w:pPr>
        <w:pStyle w:val="NormalHanging12a"/>
        <w:rPr>
          <w:b/>
          <w:i/>
        </w:rPr>
      </w:pPr>
      <w:r w:rsidRPr="002A2973">
        <w:rPr>
          <w:b/>
          <w:i/>
        </w:rPr>
        <w:t>Rola Parlamentu</w:t>
      </w:r>
    </w:p>
    <w:p w:rsidR="001866A8" w:rsidRPr="002A2973" w:rsidRDefault="001866A8" w:rsidP="001866A8">
      <w:pPr>
        <w:pStyle w:val="NormalHanging12a"/>
      </w:pPr>
      <w:r w:rsidRPr="002A2973">
        <w:t>53.</w:t>
      </w:r>
      <w:r w:rsidRPr="002A2973">
        <w:tab/>
      </w:r>
      <w:proofErr w:type="gramStart"/>
      <w:r w:rsidRPr="002A2973">
        <w:t>podkreśla</w:t>
      </w:r>
      <w:proofErr w:type="gramEnd"/>
      <w:r w:rsidRPr="002A2973">
        <w:t>, że Parlament powinien odgrywać aktywną rolę w kształtowaniu polityki konkurencji i powinien być bardziej zaangażowany w działalność grup roboczych i grup ekspertów; uważa, że należy częściej korzystać z prawa Parlamentu do interweniowania w postępowaniach sądowych dotyczących prawa konkurencji;</w:t>
      </w:r>
    </w:p>
    <w:p w:rsidR="001866A8" w:rsidRPr="002A2973" w:rsidRDefault="001866A8" w:rsidP="001866A8">
      <w:pPr>
        <w:pStyle w:val="NormalHanging12a"/>
      </w:pPr>
      <w:r w:rsidRPr="002A2973">
        <w:t>54.</w:t>
      </w:r>
      <w:r w:rsidRPr="002A2973">
        <w:tab/>
      </w:r>
      <w:proofErr w:type="gramStart"/>
      <w:r w:rsidRPr="002A2973">
        <w:t>wzywa</w:t>
      </w:r>
      <w:proofErr w:type="gramEnd"/>
      <w:r w:rsidRPr="002A2973">
        <w:t xml:space="preserve"> komisarza odpowiedzialnego za politykę konkurencji, by pozostawał w ścisłym kontakcie z właściwą komisją Parlamentu i jej grupą roboczą ds. konkurencji;</w:t>
      </w:r>
    </w:p>
    <w:p w:rsidR="001866A8" w:rsidRPr="002A2973" w:rsidRDefault="001866A8" w:rsidP="001866A8">
      <w:pPr>
        <w:pStyle w:val="NormalHanging12a"/>
        <w:jc w:val="center"/>
      </w:pPr>
      <w:r w:rsidRPr="002A2973">
        <w:t>°</w:t>
      </w:r>
    </w:p>
    <w:p w:rsidR="001866A8" w:rsidRPr="002A2973" w:rsidRDefault="001866A8" w:rsidP="001866A8">
      <w:pPr>
        <w:pStyle w:val="NormalHanging12a"/>
        <w:jc w:val="center"/>
      </w:pPr>
      <w:r w:rsidRPr="002A2973">
        <w:t>°</w:t>
      </w:r>
      <w:r w:rsidRPr="002A2973">
        <w:tab/>
        <w:t>°</w:t>
      </w:r>
    </w:p>
    <w:p w:rsidR="001866A8" w:rsidRPr="002A2973" w:rsidRDefault="001866A8" w:rsidP="001866A8">
      <w:pPr>
        <w:pStyle w:val="NormalHanging12a"/>
      </w:pPr>
      <w:r w:rsidRPr="002A2973">
        <w:t>55.</w:t>
      </w:r>
      <w:r w:rsidRPr="002A2973">
        <w:tab/>
      </w:r>
      <w:proofErr w:type="gramStart"/>
      <w:r w:rsidRPr="002A2973">
        <w:t>zobowiązuje</w:t>
      </w:r>
      <w:proofErr w:type="gramEnd"/>
      <w:r w:rsidRPr="002A2973">
        <w:t xml:space="preserve"> swoją przewodniczącą do przekazania niniejszej rezolucji Radzie i Komisji, a także parlamentom i organom ochrony konkurencji państw członkowskich.</w:t>
      </w:r>
    </w:p>
    <w:p w:rsidR="001866A8" w:rsidRPr="002A2973" w:rsidRDefault="001866A8" w:rsidP="001866A8"/>
    <w:p w:rsidR="00E365E1" w:rsidRPr="002A2973" w:rsidRDefault="00E365E1" w:rsidP="00E31EAA">
      <w:bookmarkStart w:id="8" w:name="TextBodyEnd"/>
      <w:bookmarkEnd w:id="8"/>
    </w:p>
    <w:sectPr w:rsidR="00E365E1" w:rsidRPr="002A2973" w:rsidSect="002A29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EAA" w:rsidRPr="002A2973" w:rsidRDefault="00E31EAA">
      <w:r w:rsidRPr="002A2973">
        <w:separator/>
      </w:r>
    </w:p>
  </w:endnote>
  <w:endnote w:type="continuationSeparator" w:id="0">
    <w:p w:rsidR="00E31EAA" w:rsidRPr="002A2973" w:rsidRDefault="00E31EAA">
      <w:r w:rsidRPr="002A29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9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9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9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EAA" w:rsidRPr="002A2973" w:rsidRDefault="00E31EAA">
      <w:r w:rsidRPr="002A2973">
        <w:separator/>
      </w:r>
    </w:p>
  </w:footnote>
  <w:footnote w:type="continuationSeparator" w:id="0">
    <w:p w:rsidR="00E31EAA" w:rsidRPr="002A2973" w:rsidRDefault="00E31EAA">
      <w:r w:rsidRPr="002A2973">
        <w:continuationSeparator/>
      </w:r>
    </w:p>
  </w:footnote>
  <w:footnote w:id="1">
    <w:p w:rsidR="001866A8" w:rsidRPr="002A2973" w:rsidRDefault="001866A8" w:rsidP="002A2973">
      <w:pPr>
        <w:pStyle w:val="FootnoteText"/>
        <w:ind w:left="567" w:hanging="567"/>
        <w:rPr>
          <w:sz w:val="24"/>
          <w:szCs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>Teksty przyjęte, P9_TA(2023)0227.</w:t>
      </w:r>
    </w:p>
  </w:footnote>
  <w:footnote w:id="2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Wyrok Sądu z 13 lipca 2022 r., </w:t>
      </w:r>
      <w:r w:rsidRPr="002A2973">
        <w:rPr>
          <w:i/>
          <w:sz w:val="24"/>
          <w:lang w:val="pl-PL"/>
        </w:rPr>
        <w:t>Ilumina, Inc.</w:t>
      </w:r>
      <w:r w:rsidRPr="002A2973">
        <w:rPr>
          <w:sz w:val="24"/>
          <w:lang w:val="pl-PL"/>
        </w:rPr>
        <w:t xml:space="preserve"> przeciwko </w:t>
      </w:r>
      <w:r w:rsidRPr="002A2973">
        <w:rPr>
          <w:i/>
          <w:sz w:val="24"/>
          <w:lang w:val="pl-PL"/>
        </w:rPr>
        <w:t>Komisji Europejskiej</w:t>
      </w:r>
      <w:r w:rsidRPr="002A2973">
        <w:rPr>
          <w:sz w:val="24"/>
          <w:lang w:val="pl-PL"/>
        </w:rPr>
        <w:t>, T-227/21, ECLI</w:t>
      </w:r>
      <w:proofErr w:type="gramStart"/>
      <w:r w:rsidRPr="002A2973">
        <w:rPr>
          <w:sz w:val="24"/>
          <w:lang w:val="pl-PL"/>
        </w:rPr>
        <w:t>:EU</w:t>
      </w:r>
      <w:proofErr w:type="gramEnd"/>
      <w:r w:rsidRPr="002A2973">
        <w:rPr>
          <w:sz w:val="24"/>
          <w:lang w:val="pl-PL"/>
        </w:rPr>
        <w:t>:T:2022:447.</w:t>
      </w:r>
    </w:p>
  </w:footnote>
  <w:footnote w:id="3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</w:t>
      </w:r>
      <w:r w:rsidRPr="002A2973">
        <w:rPr>
          <w:sz w:val="24"/>
          <w:lang w:val="pl-PL"/>
        </w:rPr>
        <w:t>C 131</w:t>
      </w:r>
      <w:r w:rsidR="00AD1F49">
        <w:rPr>
          <w:sz w:val="24"/>
          <w:lang w:val="pl-PL"/>
        </w:rPr>
        <w:t xml:space="preserve"> </w:t>
      </w:r>
      <w:bookmarkStart w:id="7" w:name="_GoBack"/>
      <w:bookmarkEnd w:id="7"/>
      <w:r w:rsidRPr="002A2973">
        <w:rPr>
          <w:sz w:val="24"/>
          <w:lang w:val="pl-PL"/>
        </w:rPr>
        <w:t>I z 24.3.2022, s. 1.</w:t>
      </w:r>
    </w:p>
  </w:footnote>
  <w:footnote w:id="4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L 24 z 29.1.2004,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1.</w:t>
      </w:r>
    </w:p>
  </w:footnote>
  <w:footnote w:id="5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L 265 z 12.10.2022,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1.</w:t>
      </w:r>
    </w:p>
  </w:footnote>
  <w:footnote w:id="6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L 11 z 14.1.2019,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3.</w:t>
      </w:r>
    </w:p>
  </w:footnote>
  <w:footnote w:id="7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L 1 z 4.1.2003,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1.</w:t>
      </w:r>
    </w:p>
  </w:footnote>
  <w:footnote w:id="8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L 123 z 27.4.2004,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18.</w:t>
      </w:r>
    </w:p>
  </w:footnote>
  <w:footnote w:id="9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C 80 z 18.2.2022,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1.</w:t>
      </w:r>
    </w:p>
  </w:footnote>
  <w:footnote w:id="10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C 36 z 31.1.2023,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1.</w:t>
      </w:r>
    </w:p>
  </w:footnote>
  <w:footnote w:id="11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L 330 z 23.12.2022,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1.</w:t>
      </w:r>
    </w:p>
  </w:footnote>
  <w:footnote w:id="12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>Komisja Europejska, „</w:t>
      </w:r>
      <w:hyperlink r:id="rId1" w:history="1">
        <w:r w:rsidRPr="002A2973">
          <w:rPr>
            <w:rStyle w:val="Hyperlink"/>
            <w:sz w:val="24"/>
            <w:lang w:val="pl-PL"/>
          </w:rPr>
          <w:t>Orędzie o stanie Unii</w:t>
        </w:r>
      </w:hyperlink>
      <w:r w:rsidRPr="002A2973">
        <w:rPr>
          <w:sz w:val="24"/>
          <w:lang w:val="pl-PL"/>
        </w:rPr>
        <w:t>”, 13 września 2023 r.</w:t>
      </w:r>
    </w:p>
  </w:footnote>
  <w:footnote w:id="13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L 119 z 5.5.2023,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22.</w:t>
      </w:r>
    </w:p>
  </w:footnote>
  <w:footnote w:id="14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C 23 z 23.1.2023,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1.</w:t>
      </w:r>
    </w:p>
  </w:footnote>
  <w:footnote w:id="15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Wyrok Trybunału (wielka izba) z 4 lipca 2023 r., </w:t>
      </w:r>
      <w:r w:rsidRPr="002A2973">
        <w:rPr>
          <w:i/>
          <w:sz w:val="24"/>
          <w:lang w:val="pl-PL"/>
        </w:rPr>
        <w:t>Meta Platforms Inc i inni</w:t>
      </w:r>
      <w:r w:rsidRPr="002A2973">
        <w:rPr>
          <w:sz w:val="24"/>
          <w:lang w:val="pl-PL"/>
        </w:rPr>
        <w:t xml:space="preserve"> przeciwko</w:t>
      </w:r>
      <w:r w:rsidRPr="002A2973">
        <w:rPr>
          <w:i/>
          <w:sz w:val="24"/>
          <w:lang w:val="pl-PL"/>
        </w:rPr>
        <w:t xml:space="preserve"> Bundeskartellamt</w:t>
      </w:r>
      <w:r w:rsidRPr="002A2973">
        <w:rPr>
          <w:sz w:val="24"/>
          <w:lang w:val="pl-PL"/>
        </w:rPr>
        <w:t>, C-252/21, ECLI</w:t>
      </w:r>
      <w:proofErr w:type="gramStart"/>
      <w:r w:rsidRPr="002A2973">
        <w:rPr>
          <w:sz w:val="24"/>
          <w:lang w:val="pl-PL"/>
        </w:rPr>
        <w:t>:EU</w:t>
      </w:r>
      <w:proofErr w:type="gramEnd"/>
      <w:r w:rsidRPr="002A2973">
        <w:rPr>
          <w:sz w:val="24"/>
          <w:lang w:val="pl-PL"/>
        </w:rPr>
        <w:t>:C:2023:537.</w:t>
      </w:r>
    </w:p>
  </w:footnote>
  <w:footnote w:id="16">
    <w:p w:rsidR="001866A8" w:rsidRPr="0064334E" w:rsidRDefault="001866A8" w:rsidP="002A2973">
      <w:pPr>
        <w:pStyle w:val="FootnoteText"/>
        <w:ind w:left="567" w:hanging="567"/>
        <w:rPr>
          <w:color w:val="0563C1" w:themeColor="hyperlink"/>
          <w:sz w:val="24"/>
          <w:u w:val="single"/>
          <w:lang w:val="en-GB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64334E">
        <w:rPr>
          <w:sz w:val="24"/>
          <w:lang w:val="en-GB"/>
        </w:rPr>
        <w:t xml:space="preserve"> </w:t>
      </w:r>
      <w:r w:rsidR="002A2973" w:rsidRPr="0064334E">
        <w:rPr>
          <w:sz w:val="24"/>
          <w:lang w:val="en-GB"/>
        </w:rPr>
        <w:tab/>
      </w:r>
      <w:hyperlink r:id="rId2" w:history="1">
        <w:r w:rsidRPr="0064334E">
          <w:rPr>
            <w:rStyle w:val="Hyperlink"/>
            <w:sz w:val="24"/>
            <w:lang w:val="en-GB"/>
          </w:rPr>
          <w:t>DG COMP Code of good practices for a transparent, inclusive, faster design and assessment of IPCEIs</w:t>
        </w:r>
      </w:hyperlink>
      <w:r w:rsidRPr="0064334E">
        <w:rPr>
          <w:sz w:val="24"/>
          <w:lang w:val="en-GB"/>
        </w:rPr>
        <w:t>.</w:t>
      </w:r>
    </w:p>
  </w:footnote>
  <w:footnote w:id="17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C 101 z 27.4.2004,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78.</w:t>
      </w:r>
    </w:p>
  </w:footnote>
  <w:footnote w:id="18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Dz.U. C 259 z 21.7.2023,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1.</w:t>
      </w:r>
    </w:p>
  </w:footnote>
  <w:footnote w:id="19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>Europejski Komitet Ekonomiczno-Społeczny, „</w:t>
      </w:r>
      <w:hyperlink r:id="rId3" w:history="1">
        <w:r w:rsidRPr="002A2973">
          <w:rPr>
            <w:rStyle w:val="Hyperlink"/>
            <w:sz w:val="24"/>
            <w:lang w:val="pl-PL"/>
          </w:rPr>
          <w:t>Sprawozdanie w sprawie polityki konkurencji za 2022 r.</w:t>
        </w:r>
      </w:hyperlink>
      <w:r w:rsidRPr="002A2973">
        <w:rPr>
          <w:sz w:val="24"/>
          <w:lang w:val="pl-PL"/>
        </w:rPr>
        <w:t>”, 25 października 2023 r.</w:t>
      </w:r>
    </w:p>
  </w:footnote>
  <w:footnote w:id="20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>OECD, „</w:t>
      </w:r>
      <w:hyperlink r:id="rId4" w:history="1">
        <w:r w:rsidRPr="002A2973">
          <w:rPr>
            <w:rStyle w:val="Hyperlink"/>
            <w:sz w:val="24"/>
            <w:lang w:val="pl-PL"/>
          </w:rPr>
          <w:t>Competition and Inflation: OECD Competition Policy Roundtable Background Note</w:t>
        </w:r>
      </w:hyperlink>
      <w:r w:rsidRPr="002A2973">
        <w:rPr>
          <w:sz w:val="24"/>
          <w:lang w:val="pl-PL"/>
        </w:rPr>
        <w:t>” [Konkurencja a inflacja: nota informacyjna na potrzeby okrągłego stołu OECD na temat polityki konkurencji], 2022 r.</w:t>
      </w:r>
    </w:p>
  </w:footnote>
  <w:footnote w:id="21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>Grecja, Niemcy.</w:t>
      </w:r>
    </w:p>
  </w:footnote>
  <w:footnote w:id="22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Rozporządzenie Parlamentu Europejskiego i Rady (UE) 2016/1037 z dnia 8 czerwca 2016 r. w sprawie ochrony przed przywozem towarów subsydiowanych z krajów niebędących członkami Unii Europejskiej, Dz.U. L 176 z 30.6.2016,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 55.</w:t>
      </w:r>
    </w:p>
  </w:footnote>
  <w:footnote w:id="23">
    <w:p w:rsidR="001866A8" w:rsidRPr="002A2973" w:rsidRDefault="001866A8" w:rsidP="002A2973">
      <w:pPr>
        <w:pStyle w:val="FootnoteText"/>
        <w:ind w:left="567" w:hanging="567"/>
        <w:rPr>
          <w:color w:val="0563C1" w:themeColor="hyperlink"/>
          <w:sz w:val="24"/>
          <w:u w:val="single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>Europejski Urząd Nadzoru Giełd i Papierów Wartościowych, „</w:t>
      </w:r>
      <w:hyperlink r:id="rId5" w:history="1">
        <w:r w:rsidRPr="002A2973">
          <w:rPr>
            <w:rStyle w:val="Hyperlink"/>
            <w:sz w:val="24"/>
            <w:lang w:val="pl-PL"/>
          </w:rPr>
          <w:t>Report on CRA Market Share Calculation</w:t>
        </w:r>
      </w:hyperlink>
      <w:r w:rsidRPr="002A2973">
        <w:rPr>
          <w:sz w:val="24"/>
          <w:lang w:val="pl-PL"/>
        </w:rPr>
        <w:t>’” [Sprawozdanie dotyczące obliczania udziału agencji ratingowych w rynku], 15 grudnia 2022 r.</w:t>
      </w:r>
    </w:p>
  </w:footnote>
  <w:footnote w:id="24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>Komisja Europejska, „</w:t>
      </w:r>
      <w:hyperlink r:id="rId6" w:history="1">
        <w:r w:rsidRPr="002A2973">
          <w:rPr>
            <w:rStyle w:val="Hyperlink"/>
            <w:sz w:val="24"/>
            <w:lang w:val="pl-PL"/>
          </w:rPr>
          <w:t>Booking Holdings/Etraveli Group</w:t>
        </w:r>
      </w:hyperlink>
      <w:r w:rsidRPr="002A2973">
        <w:rPr>
          <w:sz w:val="24"/>
          <w:lang w:val="pl-PL"/>
        </w:rPr>
        <w:t>”, data decyzji: 25 września 2023 r.</w:t>
      </w:r>
    </w:p>
  </w:footnote>
  <w:footnote w:id="25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>Komisja Europejska, „</w:t>
      </w:r>
      <w:hyperlink r:id="rId7" w:history="1">
        <w:r w:rsidRPr="002A2973">
          <w:rPr>
            <w:rStyle w:val="Hyperlink"/>
            <w:sz w:val="24"/>
            <w:lang w:val="pl-PL"/>
          </w:rPr>
          <w:t>Antitrust: Commission opens investigation into possible anticompetitive practices by Microsoft regarding Teams</w:t>
        </w:r>
      </w:hyperlink>
      <w:r w:rsidRPr="002A2973">
        <w:rPr>
          <w:sz w:val="24"/>
          <w:lang w:val="pl-PL"/>
        </w:rPr>
        <w:t>” [Ochrona konkurencji: Komisja wszczyna dochodzenie w sprawie domniemanych praktyk antykonkurencyjnych Microsoftu w związku z Teams], 27 lipca 2023 r.</w:t>
      </w:r>
    </w:p>
  </w:footnote>
  <w:footnote w:id="26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hyperlink r:id="rId8" w:history="1">
        <w:r w:rsidRPr="002A2973">
          <w:rPr>
            <w:rStyle w:val="Hyperlink"/>
            <w:sz w:val="24"/>
            <w:lang w:val="pl-PL"/>
          </w:rPr>
          <w:t>Zob. oficjalne decyzje</w:t>
        </w:r>
      </w:hyperlink>
      <w:r w:rsidRPr="002A2973">
        <w:rPr>
          <w:sz w:val="24"/>
          <w:lang w:val="pl-PL"/>
        </w:rPr>
        <w:t xml:space="preserve"> DMA. 100044, 100040, 100035, 100027, 100026, 100025, 100024, 100020, 100018, 100017, 100016, 100013, 100011.</w:t>
      </w:r>
    </w:p>
  </w:footnote>
  <w:footnote w:id="27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>Komisja Europejska, „Analiza wpływu ostatnich zmian na rynku reklamy cyfrowej na prywatność, wydawców i reklamodawców”, s. 263–264.</w:t>
      </w:r>
    </w:p>
  </w:footnote>
  <w:footnote w:id="28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Rozporządzenie Parlamentu Europejskiego i Rady (UE) 2022/2065 z dnia 19 października 2022 r. w sprawie jednolitego rynku usług cyfrowych oraz zmiany dyrektywy 2000/31/WE, Dz.U. L 277 z 27.10.2022,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1.</w:t>
      </w:r>
    </w:p>
  </w:footnote>
  <w:footnote w:id="29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Decyzje DMA.100015; DMA.100028 </w:t>
      </w:r>
      <w:proofErr w:type="gramStart"/>
      <w:r w:rsidRPr="002A2973">
        <w:rPr>
          <w:sz w:val="24"/>
          <w:lang w:val="pl-PL"/>
        </w:rPr>
        <w:t>i</w:t>
      </w:r>
      <w:proofErr w:type="gramEnd"/>
      <w:r w:rsidRPr="002A2973">
        <w:rPr>
          <w:sz w:val="24"/>
          <w:lang w:val="pl-PL"/>
        </w:rPr>
        <w:t xml:space="preserve"> DMA.100034.</w:t>
      </w:r>
    </w:p>
  </w:footnote>
  <w:footnote w:id="30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Decyzje DMA.100047 </w:t>
      </w:r>
      <w:proofErr w:type="gramStart"/>
      <w:r w:rsidRPr="002A2973">
        <w:rPr>
          <w:sz w:val="24"/>
          <w:lang w:val="pl-PL"/>
        </w:rPr>
        <w:t>i</w:t>
      </w:r>
      <w:proofErr w:type="gramEnd"/>
      <w:r w:rsidRPr="002A2973">
        <w:rPr>
          <w:sz w:val="24"/>
          <w:lang w:val="pl-PL"/>
        </w:rPr>
        <w:t xml:space="preserve"> DMA.100022.</w:t>
      </w:r>
    </w:p>
  </w:footnote>
  <w:footnote w:id="31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Dz.U. L 119 z 4.5.2016, </w:t>
      </w:r>
      <w:proofErr w:type="gramStart"/>
      <w:r w:rsidRPr="002A2973">
        <w:rPr>
          <w:sz w:val="24"/>
          <w:lang w:val="pl-PL"/>
        </w:rPr>
        <w:t>s</w:t>
      </w:r>
      <w:proofErr w:type="gramEnd"/>
      <w:r w:rsidRPr="002A2973">
        <w:rPr>
          <w:sz w:val="24"/>
          <w:lang w:val="pl-PL"/>
        </w:rPr>
        <w:t>. 1.</w:t>
      </w:r>
    </w:p>
  </w:footnote>
  <w:footnote w:id="32">
    <w:p w:rsidR="001866A8" w:rsidRPr="002A2973" w:rsidRDefault="001866A8" w:rsidP="002A2973">
      <w:pPr>
        <w:pStyle w:val="FootnoteText"/>
        <w:ind w:left="567" w:hanging="567"/>
        <w:rPr>
          <w:sz w:val="24"/>
          <w:lang w:val="pl-PL"/>
        </w:rPr>
      </w:pPr>
      <w:r w:rsidRPr="002A2973">
        <w:rPr>
          <w:rStyle w:val="FootnoteReference"/>
          <w:sz w:val="24"/>
          <w:lang w:val="pl-PL"/>
        </w:rPr>
        <w:footnoteRef/>
      </w:r>
      <w:r w:rsidR="002A2973" w:rsidRPr="002A2973">
        <w:rPr>
          <w:sz w:val="24"/>
          <w:lang w:val="pl-PL"/>
        </w:rPr>
        <w:t xml:space="preserve"> </w:t>
      </w:r>
      <w:r w:rsidR="002A2973" w:rsidRPr="002A2973">
        <w:rPr>
          <w:sz w:val="24"/>
          <w:lang w:val="pl-PL"/>
        </w:rPr>
        <w:tab/>
      </w:r>
      <w:r w:rsidRPr="002A2973">
        <w:rPr>
          <w:sz w:val="24"/>
          <w:lang w:val="pl-PL"/>
        </w:rPr>
        <w:t>Szczyt G7 w Hiroszimie, „</w:t>
      </w:r>
      <w:hyperlink r:id="rId9" w:history="1">
        <w:r w:rsidRPr="002A2973">
          <w:rPr>
            <w:rStyle w:val="Hyperlink"/>
            <w:sz w:val="24"/>
            <w:lang w:val="pl-PL"/>
          </w:rPr>
          <w:t>Compendium of approaches to improving competition in digital markets</w:t>
        </w:r>
      </w:hyperlink>
      <w:r w:rsidRPr="002A2973">
        <w:rPr>
          <w:sz w:val="24"/>
          <w:lang w:val="pl-PL"/>
        </w:rPr>
        <w:t>” [Kompendium podejść do poprawy konkurencji na rynkach cyfrowych], 8 listopada 2023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9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9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9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7/2023"/>
    <w:docVar w:name="dvlangue" w:val="PL"/>
    <w:docVar w:name="dvnumam" w:val="0"/>
    <w:docVar w:name="dvpe" w:val="753.544"/>
    <w:docVar w:name="dvrapporteur" w:val="Sprawozdawca: "/>
    <w:docVar w:name="dvstar" w:val="??"/>
    <w:docVar w:name="dvtitre" w:val="Rezolucja Parlamentu Europejskiego z dnia  2024 r. w sprawie polityki konkurencji – sprawozdanie roczne za 2023 r.(2023/2077(INI))"/>
  </w:docVars>
  <w:rsids>
    <w:rsidRoot w:val="00E31EAA"/>
    <w:rsid w:val="00002272"/>
    <w:rsid w:val="00064002"/>
    <w:rsid w:val="000677B9"/>
    <w:rsid w:val="000831BA"/>
    <w:rsid w:val="000A42CC"/>
    <w:rsid w:val="000E7DD9"/>
    <w:rsid w:val="0010095E"/>
    <w:rsid w:val="00125B37"/>
    <w:rsid w:val="001866A8"/>
    <w:rsid w:val="00187494"/>
    <w:rsid w:val="001F32AE"/>
    <w:rsid w:val="002767FF"/>
    <w:rsid w:val="002A2973"/>
    <w:rsid w:val="002B18FE"/>
    <w:rsid w:val="002B5493"/>
    <w:rsid w:val="00325B2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334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1F4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EA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16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5CA965"/>
  <w15:chartTrackingRefBased/>
  <w15:docId w15:val="{AE0860C7-B650-4A09-8E80-BC34D8ABB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866A8"/>
    <w:pPr>
      <w:spacing w:after="240"/>
      <w:ind w:left="567" w:hanging="567"/>
    </w:pPr>
  </w:style>
  <w:style w:type="paragraph" w:customStyle="1" w:styleId="EPComma">
    <w:name w:val="EPComma"/>
    <w:basedOn w:val="Normal"/>
    <w:rsid w:val="001866A8"/>
    <w:pPr>
      <w:spacing w:before="480" w:after="240"/>
    </w:pPr>
  </w:style>
  <w:style w:type="character" w:styleId="Hyperlink">
    <w:name w:val="Hyperlink"/>
    <w:basedOn w:val="DefaultParagraphFont"/>
    <w:rsid w:val="001866A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866A8"/>
    <w:rPr>
      <w:sz w:val="24"/>
      <w:lang w:val="pl-PL"/>
    </w:rPr>
  </w:style>
  <w:style w:type="paragraph" w:styleId="BalloonText">
    <w:name w:val="Balloon Text"/>
    <w:basedOn w:val="Normal"/>
    <w:link w:val="BalloonTextChar"/>
    <w:rsid w:val="006433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334E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-markets-act-cases.ec.europa.eu/search" TargetMode="External"/><Relationship Id="rId3" Type="http://schemas.openxmlformats.org/officeDocument/2006/relationships/hyperlink" Target="https://www.eesc.europa.eu/en/our-work/opinions-information-reports/opinions/report-competition-policy-2022" TargetMode="External"/><Relationship Id="rId7" Type="http://schemas.openxmlformats.org/officeDocument/2006/relationships/hyperlink" Target="https://ec.europa.eu/commission/presscorner/detail/en/ip_23_3991" TargetMode="External"/><Relationship Id="rId2" Type="http://schemas.openxmlformats.org/officeDocument/2006/relationships/hyperlink" Target="https://competition-policy.ec.europa.eu/system/files/2023-05/IPCEIs_DG_COMP_code_of_good_practices.pdf" TargetMode="External"/><Relationship Id="rId1" Type="http://schemas.openxmlformats.org/officeDocument/2006/relationships/hyperlink" Target="https://state-of-the-union.ec.europa.eu/index_pl" TargetMode="External"/><Relationship Id="rId6" Type="http://schemas.openxmlformats.org/officeDocument/2006/relationships/hyperlink" Target="file:///\\ipolbrusncf01\userdocs$\vunguroiu\Documents\DocEP\TEMP\&#8216;Booking%20Holdings\Etraveli%20Group&#8217;" TargetMode="External"/><Relationship Id="rId5" Type="http://schemas.openxmlformats.org/officeDocument/2006/relationships/hyperlink" Target="https://www.esma.europa.eu/sites/default/files/library/esma80-416-1564_report_on_cra_market_share_calculation_2022.pdf" TargetMode="External"/><Relationship Id="rId4" Type="http://schemas.openxmlformats.org/officeDocument/2006/relationships/hyperlink" Target="https://www.oecd.org/daf/competition/competition-and-inflation-2022.pdf" TargetMode="External"/><Relationship Id="rId9" Type="http://schemas.openxmlformats.org/officeDocument/2006/relationships/hyperlink" Target="https://www.jftc.go.jp/en/pressreleases/yearly-2023/November/231108G7_result2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E842F-6727-4893-AFA8-E5BACAF75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4790</Words>
  <Characters>32240</Characters>
  <Application>Microsoft Office Word</Application>
  <DocSecurity>0</DocSecurity>
  <Lines>268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2024-01-31T07:42:00Z</dcterms:created>
  <dcterms:modified xsi:type="dcterms:W3CDTF">2024-01-31T07:42:00Z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A9-0427/2023</vt:lpwstr>
  </property>
  <property fmtid="{D5CDD505-2E9C-101B-9397-08002B2CF9AE}" pid="4" name="&lt;Type&gt;">
    <vt:lpwstr>RR</vt:lpwstr>
  </property>
</Properties>
</file>