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</w:t>
      </w:r>
      <w:bookmarkEnd w:id="1"/>
      <w:r>
        <w:t>011</w:t>
      </w:r>
    </w:p>
    <w:p>
      <w:pPr>
        <w:pStyle w:val="ATHeading2"/>
      </w:pPr>
      <w:bookmarkStart w:id="2" w:name="title"/>
      <w:r>
        <w:t>Politika hospodárskej súťaže – výročná správa za rok 2023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A9-0427/2023</w:instrText>
      </w:r>
      <w:bookmarkEnd w:id="3"/>
      <w:r>
        <w:rPr>
          <w:i/>
        </w:rPr>
        <w:instrText xml:space="preserve"> - Spravodajkyňa: Stéphanie Yon</w:instrText>
      </w:r>
      <w:r>
        <w:rPr>
          <w:i/>
        </w:rPr>
        <w:noBreakHyphen/>
        <w:instrText xml:space="preserve">Courtin)"\l3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hospodárske a menové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PE753.544</w:t>
      </w:r>
      <w:bookmarkEnd w:id="5"/>
    </w:p>
    <w:p>
      <w:pPr>
        <w:pStyle w:val="ATHeading3"/>
      </w:pPr>
      <w:bookmarkStart w:id="6" w:name="Sujet"/>
      <w:r>
        <w:t>Uznesenie Európskeho parlamentu zo 16. januára 2024 o politike hospodárskej súťaže – výročná správa za rok 2023</w:t>
      </w:r>
      <w:bookmarkEnd w:id="6"/>
      <w:r>
        <w:t xml:space="preserve"> </w:t>
      </w:r>
      <w:bookmarkStart w:id="7" w:name="References"/>
      <w:r>
        <w:t>(2023/2077(INI))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Zmluvu o fungovaní Európskej únie, a najmä na jej články 101 až 109,</w:t>
      </w:r>
    </w:p>
    <w:p>
      <w:pPr>
        <w:pStyle w:val="NormalHanging12a"/>
      </w:pPr>
      <w:r>
        <w:t>–</w:t>
      </w:r>
      <w:r>
        <w:tab/>
        <w:t>so zreteľom na príslušné pravidlá, usmernenia, uznesenia, verejné konzultácie, oznámenia a dokumenty Komisie týkajúce sa hospodárskej súťaže,</w:t>
      </w:r>
    </w:p>
    <w:p>
      <w:pPr>
        <w:pStyle w:val="NormalHanging12a"/>
      </w:pPr>
      <w:r>
        <w:t>–</w:t>
      </w:r>
      <w:r>
        <w:tab/>
        <w:t>so zreteľom na správu Komisie zo 4. apríla 2023 s názvom Správa o politike hospodárskej súťaže za rok 2022 (COM(2023)0184) a na sprievodný pracovný dokument útvarov Komisie (SWD(2023)0076),</w:t>
      </w:r>
    </w:p>
    <w:p>
      <w:pPr>
        <w:pStyle w:val="NormalHanging12a"/>
      </w:pPr>
      <w:r>
        <w:t>–</w:t>
      </w:r>
      <w:r>
        <w:tab/>
        <w:t>so zreteľom na svoje uznesenie z 13. júna 2023 o politike hospodárskej súťaže – výročná správa za rok 2022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oznámenie Komisie z 11. decembra 2019 s názvom Európska zelená dohoda (COM(2019)0640),</w:t>
      </w:r>
    </w:p>
    <w:p>
      <w:pPr>
        <w:pStyle w:val="NormalHanging12a"/>
      </w:pPr>
      <w:r>
        <w:t>–</w:t>
      </w:r>
      <w:r>
        <w:tab/>
        <w:t>so zreteľom na revidované usmernenia Komisie o štátnej pomoci na podporu rizikových finančných investícií uverejnené 6. decembra 2021,</w:t>
      </w:r>
    </w:p>
    <w:p>
      <w:pPr>
        <w:pStyle w:val="NormalHanging12a"/>
      </w:pPr>
      <w:r>
        <w:t>–</w:t>
      </w:r>
      <w:r>
        <w:tab/>
        <w:t>so zreteľom na rozsudok Súdneho dvora Európskej únie z 13. júla 2022 vo veci T-227/21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oznámenie Komisie z 24. marca 2022 s názvom Dočasný krízový rámec pre opatrenia štátnej pomoci na podporu hospodárstva v dôsledku agresie Ruska proti Ukrajine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  <w:t>so zreteľom na nariadenie Rady (ES) č. 139/2004 z 20. januára 2004 o kontrole koncentrácií medzi podnikmi (nariadenie ES o fúziách)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lastRenderedPageBreak/>
        <w:t>–</w:t>
      </w:r>
      <w:r>
        <w:tab/>
        <w:t xml:space="preserve">so zreteľom na nariadenie Európskeho parlamentu a Rady (EÚ) 2022/1925 zo 14. septembra 2022 o </w:t>
      </w:r>
      <w:proofErr w:type="spellStart"/>
      <w:r>
        <w:t>súťažeschopných</w:t>
      </w:r>
      <w:proofErr w:type="spellEnd"/>
      <w:r>
        <w:t xml:space="preserve"> a spravodlivých trhoch digitálneho sektora a o zmene smerníc (EÚ) 2019/1937 a (EÚ) 2020/1828 (akt o digitálnych trhoch)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  <w:t>so zreteľom na smernicu Európskeho parlamentu a Rady (EÚ) 2019/1 z 11. decembra 2018 o posilnení právomocí orgánov na ochranu hospodárskej súťaže v členských štátoch na účely účinnejšieho presadzovania práva a o zabezpečení riadneho fungovania vnútorného trhu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  <w:t>so zreteľom na nariadenie Rady (ES) č. 1/2003 zo 16. decembra 2002 o vykonávaní pravidiel hospodárskej súťaže stanovených v článkoch 81 a 82 Zmluvy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  <w:t>so zreteľom na nariadenie Komisie (ES) č. 773/2004 zo 7. apríla 2004, ktoré sa týka vedenia konania Komisiou podľa článkov 81 a 82 Zmluvy o založení ES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  <w:t>so zreteľom na oznámenie Komisie zo 18. februára 2022 s názvom Usmernenia o štátnej pomoci v oblasti klímy, ochrany životného prostredia a energetiky na rok 2022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  <w:t>so zreteľom na oznámenie Komisie z 31. januára 2023 s názvom Usmernenia o štátnej pomoci pre širokopásmové siete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  <w:t>so zreteľom na návrh oznámenia Komisie o definícii relevantného trhu na účely práva hospodárskej súťaže Únie,</w:t>
      </w:r>
    </w:p>
    <w:p>
      <w:pPr>
        <w:pStyle w:val="NormalHanging12a"/>
      </w:pPr>
      <w:r>
        <w:t>–</w:t>
      </w:r>
      <w:r>
        <w:tab/>
        <w:t xml:space="preserve">so zreteľom na pracovný dokument útvarov Komisie z 1. decembra 2022 s názvom Hodnotenie pravidiel štátnych dotácií na zdravotnícke a sociálne služby všeobecného hospodárskeho záujmu a nariadenia o pomoci de </w:t>
      </w:r>
      <w:proofErr w:type="spellStart"/>
      <w:r>
        <w:t>minimis</w:t>
      </w:r>
      <w:proofErr w:type="spellEnd"/>
      <w:r>
        <w:t xml:space="preserve"> v súvislosti s poskytovaním služieb všeobecného hospodárskeho záujmu (SWD(2022)0388),</w:t>
      </w:r>
    </w:p>
    <w:p>
      <w:pPr>
        <w:pStyle w:val="NormalHanging12a"/>
      </w:pPr>
      <w:r>
        <w:t>–</w:t>
      </w:r>
      <w:r>
        <w:tab/>
        <w:t>so zreteľom na to, že 1. septembra 2023 nadobudol účinnosť balík opatrení prijatý 20. apríla 2023 s cieľom zjednodušiť a zefektívniť postupy preskúmania určitých fúzií, ktoré nevyvolávajú obavy týkajúce sa hospodárskej súťaže (C(2023)2400, C(2023)2401, C(2023)2402),</w:t>
      </w:r>
    </w:p>
    <w:p>
      <w:pPr>
        <w:pStyle w:val="NormalHanging12a"/>
      </w:pPr>
      <w:r>
        <w:t>–</w:t>
      </w:r>
      <w:r>
        <w:tab/>
        <w:t>so zreteľom na nariadenie Európskeho parlamentu a Rady (EÚ) 2022/2560 zo 14. decembra 2022 o zahraničných subvenciách narúšajúcich vnútorný trh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správu predsedníčky Komisie </w:t>
      </w:r>
      <w:proofErr w:type="spellStart"/>
      <w:r>
        <w:t>Ursuly</w:t>
      </w:r>
      <w:proofErr w:type="spellEnd"/>
      <w:r>
        <w:t xml:space="preserve"> von der </w:t>
      </w:r>
      <w:proofErr w:type="spellStart"/>
      <w:r>
        <w:t>Leyenovej</w:t>
      </w:r>
      <w:proofErr w:type="spellEnd"/>
      <w:r>
        <w:t xml:space="preserve"> o stave Únie za rok 2023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rozhodnutie Komisie zo 6. septembra 2023 o určení strážcov prístupu </w:t>
      </w:r>
      <w:r>
        <w:lastRenderedPageBreak/>
        <w:t>podľa aktu o digitálnych trhoch (DMA),</w:t>
      </w:r>
    </w:p>
    <w:p>
      <w:pPr>
        <w:pStyle w:val="NormalHanging12a"/>
      </w:pPr>
      <w:r>
        <w:t>–</w:t>
      </w:r>
      <w:r>
        <w:tab/>
        <w:t>so zreteľom na vykonávacie nariadenie Komisie (EÚ) 2023/914 z 20. apríla 2023, ktorým sa vykonáva nariadenie Rady (ES) č. 139/2004 o kontrole koncentrácií medzi podnikmi a zrušuje nariadenie Komisie (ES) č. 802/2004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  <w:t>so zreteľom na spoločné európske vyhlásenie Európskeho parlamentu, Rady a Európskej komisie o digitálnych právach a zásadách v digitálnom desaťročí z 23. januára 2023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  <w:t>so zreteľom na rozsudok Súdneho dvora EÚ zo 4. júla 2023 vo veci C-252/21</w:t>
      </w:r>
      <w:r>
        <w:rPr>
          <w:rStyle w:val="FootnoteReference"/>
        </w:rPr>
        <w:footnoteReference w:id="15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dokument s názvom Kódex osvedčených postupov GR COMP pre transparentné, </w:t>
      </w:r>
      <w:proofErr w:type="spellStart"/>
      <w:r>
        <w:t>inkluzívne</w:t>
      </w:r>
      <w:proofErr w:type="spellEnd"/>
      <w:r>
        <w:t>, rýchlejšie navrhovanie a posudzovanie dôležitých projektov spoločného európskeho záujmu zo 17. mája 2023</w:t>
      </w:r>
      <w:r>
        <w:rPr>
          <w:rStyle w:val="FootnoteReference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správu Európskeho orgánu pre cenné papiere a trhy (ESMA) s názvom Report on CRA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Calculation</w:t>
      </w:r>
      <w:proofErr w:type="spellEnd"/>
      <w:r>
        <w:t xml:space="preserve"> (Správa o výpočte podielu ratingových agentúr na trhu) z 15. decembra 2022,</w:t>
      </w:r>
    </w:p>
    <w:p>
      <w:pPr>
        <w:pStyle w:val="NormalHanging12a"/>
      </w:pPr>
      <w:r>
        <w:t>–</w:t>
      </w:r>
      <w:r>
        <w:tab/>
        <w:t>so zreteľom na oznámenie Komisie z 27. apríla 2004 o neformálnych usmerneniach týkajúcich sa nových otázok, ktoré vznikajú v súvislosti s článkami 81 a 82 Zmluvy o ES v jednotlivých prípadoch (usmerňujúce listy)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  <w:t>so zreteľom na oznámenie Komisie z 21. júla 2023 s názvom Usmernenia o uplatňovaní článku 101 Zmluvy o fungovaní Európskej únie na dohody o horizontálnej spolupráci</w:t>
      </w:r>
      <w:r>
        <w:rPr>
          <w:rStyle w:val="FootnoteReference"/>
        </w:rPr>
        <w:footnoteReference w:id="18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rozhodnutie Komisie z 25. septembra 2023, ktorým sa zakazuje navrhované nadobudnutie spoločnosti </w:t>
      </w:r>
      <w:proofErr w:type="spellStart"/>
      <w:r>
        <w:t>Flugo</w:t>
      </w:r>
      <w:proofErr w:type="spellEnd"/>
      <w:r>
        <w:t xml:space="preserve"> Group Holdings AB („</w:t>
      </w:r>
      <w:proofErr w:type="spellStart"/>
      <w:r>
        <w:t>eTraveli</w:t>
      </w:r>
      <w:proofErr w:type="spellEnd"/>
      <w:r>
        <w:t xml:space="preserve">“) spoločnosťou </w:t>
      </w:r>
      <w:proofErr w:type="spellStart"/>
      <w:r>
        <w:t>Booking</w:t>
      </w:r>
      <w:proofErr w:type="spellEnd"/>
      <w:r>
        <w:t xml:space="preserve"> Holdings („</w:t>
      </w:r>
      <w:proofErr w:type="spellStart"/>
      <w:r>
        <w:t>Booking</w:t>
      </w:r>
      <w:proofErr w:type="spellEnd"/>
      <w:r>
        <w:t>“),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  <w:t>so zreteľom na článok 54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(A9-0427/2023),</w:t>
      </w:r>
    </w:p>
    <w:p>
      <w:pPr>
        <w:pStyle w:val="NormalHanging12a"/>
      </w:pPr>
      <w:r>
        <w:t>A.</w:t>
      </w:r>
      <w:r>
        <w:tab/>
        <w:t xml:space="preserve">keďže politika hospodárskej súťaže EÚ zohráva dôležitú úlohu pri vytváraní spravodlivých podmienok podnikania na jednotnom trhu s cieľom chrániť trhy pred koncentráciami a neprimeranou akumuláciou trhovej sily a podporovať inovácie a rast spoločností – najmä malých a stredných podnikov (ďalej len „MSP“) – na jednotnom </w:t>
      </w:r>
      <w:r>
        <w:lastRenderedPageBreak/>
        <w:t>trhu a tým zvyšovať blahobyt spotrebiteľov a poskytovať spotrebiteľom a podnikom väčší výber;</w:t>
      </w:r>
    </w:p>
    <w:p>
      <w:pPr>
        <w:pStyle w:val="NormalHanging12a"/>
      </w:pPr>
      <w:r>
        <w:t>B.</w:t>
      </w:r>
      <w:r>
        <w:tab/>
        <w:t>keďže je potrebná plodná súhra medzi politikou hospodárskej súťaže a ostatnými odvetvovými politikami; keďže politika hospodárskej súťaže by mohla prispieť k posilneniu odolnosti, integrity a konkurencieschopnosti vnútorného trhu, ako aj k dosiahnutiu cieľov Európskej zelenej dohody a Digitálneho kompasu a cieľov EÚ zakotvených v článku 3 Zmluvy o Európskej únii (ďalej len „Zmluva o EÚ“);</w:t>
      </w:r>
    </w:p>
    <w:p>
      <w:pPr>
        <w:pStyle w:val="NormalHanging12a"/>
      </w:pPr>
      <w:r>
        <w:t>C.</w:t>
      </w:r>
      <w:r>
        <w:tab/>
        <w:t>keďže medzinárodná výmena a spolupráca majú zásadný význam na dosiahnutie konkurenčného prostredia s rovnakými podmienkami na celosvetovej úrovni a na koordinované riešenie výziev spojených s dvojakou, digitálnou a zelenou transformáciou;</w:t>
      </w:r>
    </w:p>
    <w:p>
      <w:pPr>
        <w:pStyle w:val="NormalHanging12a"/>
      </w:pPr>
      <w:r>
        <w:t>D.</w:t>
      </w:r>
      <w:r>
        <w:tab/>
        <w:t>keďže globálna geopolitická situácia si vyžaduje zodpovedné a konkurencieschopné riešenia aj v oblasti politiky hospodárskej súťaže; keďže EÚ by mala využiť všetky politické a legislatívne nástroje, ktoré má k dispozícii, na ochranu integrity, odolnosti a konkurencieschopnosti svojho vnútorného trhu vzhľadom na výzvy, ktoré predstavuje rastúci počet konfliktov vo svete, obchodné napätie medzi konkurenčnými krajinami, kríza súvisiaca so zmenou klímy a tlak inflácie a nízkej úrovne hospodárskeho rastu; keďže je potrebné znížiť škodlivú závislosť EÚ od nečlenských krajín a svetových mocností v oblastiach, ako sú energia, lieky, technológie alebo suroviny;</w:t>
      </w:r>
    </w:p>
    <w:p>
      <w:pPr>
        <w:pStyle w:val="NormalHanging12a"/>
      </w:pPr>
      <w:r>
        <w:t>E.</w:t>
      </w:r>
      <w:r>
        <w:tab/>
        <w:t>keďže Komisia a vnútroštátne orgány na ochranu hospodárskej súťaže musia konať nestranne a objektívne, aby sa zachovala dôveryhodnosť politiky hospodárskej súťaže EÚ;</w:t>
      </w:r>
    </w:p>
    <w:p>
      <w:pPr>
        <w:pStyle w:val="NormalHanging12a"/>
      </w:pPr>
      <w:r>
        <w:t>F.</w:t>
      </w:r>
      <w:r>
        <w:tab/>
        <w:t>keďže globálna sila a dôležitosť jednotného trhu EÚ vyplývajú z jeho vnútornej konkurencieschopnosti a rovnakých podmienok;</w:t>
      </w:r>
    </w:p>
    <w:p>
      <w:pPr>
        <w:pStyle w:val="NormalHanging12a"/>
        <w:ind w:left="0" w:firstLine="0"/>
        <w:rPr>
          <w:b/>
          <w:i/>
        </w:rPr>
      </w:pPr>
      <w:r>
        <w:rPr>
          <w:b/>
          <w:i/>
        </w:rPr>
        <w:t>Úloha hospodárskej súťaže a politická reakcia na vojnu na Ukrajine, zákon USA o znižovaní inflácie a pretrvávajúce výzvy vyplývajúce z pandémie ochorenia COVID-19</w:t>
      </w:r>
    </w:p>
    <w:p>
      <w:pPr>
        <w:pStyle w:val="NormalHanging12a"/>
      </w:pPr>
      <w:r>
        <w:t>1.</w:t>
      </w:r>
      <w:r>
        <w:tab/>
        <w:t>vyzýva Komisiu, aby zabezpečila integritu jednotného trhu; pripomína, že reakcia na zákon USA o znižovaní inflácie nesmie byť založená len na využívaní štátnej pomoci, ale aj na vytvorení priaznivejšieho prostredia pre podnikanie a na obnovenom rámci hospodárskej súťaže, ktorý spoločnostiam, ktoré v Európe investujú a súťažia spravodlivo, poskytne rýchlosť a flexibilitu, a zároveň musí byť v súlade s cieľmi EÚ v oblasti klímy;</w:t>
      </w:r>
    </w:p>
    <w:p>
      <w:pPr>
        <w:pStyle w:val="NormalHanging12a"/>
      </w:pPr>
      <w:r>
        <w:t>2.</w:t>
      </w:r>
      <w:r>
        <w:tab/>
        <w:t>berie na vedomie dočasný krízový a transformačný rámec, ako aj aktualizáciu súboru pravidiel štátnej pomoci, ktorý umožňuje investície do zelenej a digitálnej transformácie; berie na vedomie prijatie a zahrnutie tzv. doložky o zhode v roku 2023; vyzýva Komisiu, aby starostlivo zabránila vytváraniu podmienok pre preteky v poskytovaní dotácií a aby využila nástroje, ktoré má k dispozícii, na predchádzanie nekalej dotačnej súťaži a jej potláčanie; zdôrazňuje, že akákoľvek dodatočná štátna podpora musí byť cielená a dočasná; zastáva názor, že štátna pomoc by mala byť v súlade s politickými cieľmi EÚ, ako je napríklad Zelená dohoda a Európsky pilier sociálnych práv; vyzýva Komisiu, aby preskúmala nedostatočnú harmonizáciu mechanizmov vracania finančných prostriedkov v členských štátoch;</w:t>
      </w:r>
    </w:p>
    <w:p>
      <w:pPr>
        <w:pStyle w:val="NormalHanging12a"/>
      </w:pPr>
      <w:r>
        <w:lastRenderedPageBreak/>
        <w:t>3.</w:t>
      </w:r>
      <w:r>
        <w:tab/>
        <w:t>vyzýva Komisiu, aby zabezpečila, že všetky dočasné nástroje štátnej pomoci budú dostatočne cielené, aby sa zabránilo fragmentácii jednotného trhu;</w:t>
      </w:r>
    </w:p>
    <w:p>
      <w:pPr>
        <w:pStyle w:val="NormalHanging12a"/>
      </w:pPr>
      <w:r>
        <w:t>4.</w:t>
      </w:r>
      <w:r>
        <w:tab/>
        <w:t>zdôrazňuje, že na riešenie nových výziev budú potrebné ďalšie verejné a súkromné investície; zdôrazňuje, že rozpočet EÚ musí byť riadne vybavený v záujme riešenia výziev budúcnosti vrátane fragmentácie vnútorného trhu, musí podporovať priemyselnú stratégiu EÚ, znižovať našu kritickú závislosť a zabezpečiť našu otvorenú strategickú autonómiu; zdôrazňuje, že tieto výzvy nemožno riešiť len prostredníctvom verejných výdavkov;</w:t>
      </w:r>
    </w:p>
    <w:p>
      <w:pPr>
        <w:pStyle w:val="NormalHanging12a"/>
      </w:pPr>
      <w:r>
        <w:t>5.</w:t>
      </w:r>
      <w:r>
        <w:tab/>
        <w:t>pripomína, že nesúrodý prístup k štátnej pomoci môže vytvoriť nerovnaké podmienky na vnútornom trhu EÚ, keďže nie všetky členské štáty majú rovnaký fiškálny priestor na poskytovanie podpory; žiada preto, aby sa monitorovali možné rušivé účinky a aby sa prípadná flexibilita verejnej podpory uplatňovala výlučne na podporu poskytovanú na úrovni EÚ;</w:t>
      </w:r>
    </w:p>
    <w:p>
      <w:pPr>
        <w:pStyle w:val="NormalHanging12a"/>
      </w:pPr>
      <w:r>
        <w:t>6.</w:t>
      </w:r>
      <w:r>
        <w:tab/>
        <w:t>vyzýva Komisiu, aby preskúmala, ako inflácia ovplyvňuje hospodársku súťaž tým, že vytvára stimuly pre spoločnosti, aby spolupracovali s konkurentmi na koordinácii cien</w:t>
      </w:r>
      <w:r>
        <w:rPr>
          <w:rStyle w:val="FootnoteReference"/>
        </w:rPr>
        <w:footnoteReference w:id="20"/>
      </w:r>
      <w:r>
        <w:t>, ako aj jej dôsledky pre trhy a blahobyt spotrebiteľov; upozorňuje na potrebu zlepšiť údaje o ziskoch s cieľom účinne riešiť potenciálne dôsledky, keďže výskum Európskej centrálnej banky a Medzinárodného menového fondu naznačuje, že zisky podnikov boli dôležitými dočasnými hnacími silami inflácie; vyzýva Komisiu, aby spolu s vnútroštátnymi orgánmi na ochranu hospodárskej súťaže pozorne monitorovala dôsledky protisúťažného správania a jeho úlohu pri vývoji inflácie; opakuje, že Komisia musí využiť všetky dostupné nástroje v rámci práva hospodárskej súťaže na riešenie krízy v oblasti životných nákladov;</w:t>
      </w:r>
    </w:p>
    <w:p>
      <w:pPr>
        <w:pStyle w:val="NormalHanging12a"/>
      </w:pPr>
      <w:r>
        <w:t>7.</w:t>
      </w:r>
      <w:r>
        <w:tab/>
        <w:t>víta iniciatívy orgánov na ochranu hospodárskej súťaže vo viacerých členských štátoch</w:t>
      </w:r>
      <w:r>
        <w:rPr>
          <w:rStyle w:val="FootnoteReference"/>
        </w:rPr>
        <w:footnoteReference w:id="21"/>
      </w:r>
      <w:r>
        <w:t xml:space="preserve"> týkajúce sa zavedenia nových právomocí v oblasti prieskumu trhu, pokiaľ nepovedú k fragmentácii vnútorného trhu; vyzýva Komisiu, aby zaviedla podobný nástroj na prieskum trhu, aby sa predišlo nedostatkom v presadzovaní práva v prípadoch, keď praktiky presahujú hranice štátov v rámci EÚ, a aby v prípade potreby prijala nápravné opatrenia pre celé odvetvie s cieľom účinne riešiť protisúťažné správanie; pripomína iniciatívu Komisie týkajúcu sa „nového nástroja hospodárskej súťaže“, ktorej cieľom bolo odstrániť nedostatky medzi pravidlami EÚ v oblasti hospodárskej súťaže a nástrojmi na zásah proti štrukturálnym problémom hospodárskej súťaže na trhoch; konštatuje, že vďaka novému nástroju hospodárskej súťaže by Komisia mohla skúmať problémy hospodárskej súťaže v celých odvetviach; vyzýva Komisiu, aby prehodnotila „nový nástroj hospodárskej súťaže“;</w:t>
      </w:r>
    </w:p>
    <w:p>
      <w:pPr>
        <w:pStyle w:val="NormalHanging12a"/>
      </w:pPr>
      <w:r>
        <w:t>8.</w:t>
      </w:r>
      <w:r>
        <w:tab/>
        <w:t xml:space="preserve">zdôrazňuje význam dôležitých projektov spoločného európskeho záujmu na financovanie veľkých nadnárodných projektov a dosiahnutie strategických priorít EÚ; berie na vedomie osobitné kritériá pre dôležité projekty spoločného európskeho záujmu na analýzu zlučiteľnosti štátnej pomoci s vnútorným trhom; vyjadruje poľutovanie nad tým, že požadované zdĺhavé a zložité postupy sú pre MSP často príliš zaťažujúce; vyzýva Komisiu a členské štáty, aby zabezpečili, aby bolo každé oznámenie dokončené </w:t>
      </w:r>
      <w:r>
        <w:lastRenderedPageBreak/>
        <w:t>najneskôr do šiestich mesiacov; zdôrazňuje, že dôležité projekty spoločného európskeho záujmu by mali mať skutočnú európsku pridanú hodnotu;</w:t>
      </w:r>
    </w:p>
    <w:p>
      <w:pPr>
        <w:pStyle w:val="NormalHanging12a"/>
      </w:pPr>
      <w:r>
        <w:t>9.</w:t>
      </w:r>
      <w:r>
        <w:tab/>
        <w:t>vyzýva Komisiu, aby posúdila, ako zásady hospodárskej súťaže EÚ ovplyvnili poskytovanie služieb všeobecného hospodárskeho záujmu, a to aj vzhľadom na krízu spôsobenú pandémiou ochorenia COVID-19 a zvýšené životné náklady; vyzýva Komisiu, aby posúdila postavenie sociálnych služieb všeobecného záujmu a výnimku zo služieb všeobecného hospodárskeho záujmu pre dostupné bývanie;</w:t>
      </w:r>
    </w:p>
    <w:p>
      <w:pPr>
        <w:pStyle w:val="NormalHanging12a"/>
      </w:pPr>
      <w:r>
        <w:t>10.</w:t>
      </w:r>
      <w:r>
        <w:tab/>
        <w:t>víta usmernenia Komisie o uplatňovaní práva EÚ v oblasti hospodárskej súťaže na kolektívne zmluvy, v ktorých sa objasňuje, že právo hospodárskej súťaže EÚ nebráni jednotlivým samostatne zárobkovo činným osobám v zapojení do kolektívneho vyjednávania; pripomína, že samostatne zárobkovo činné osoby majú často obmedzený alebo nemajú žiadny prístup ku kolektívnemu vyjednávaniu, čo môže viesť k neistým pracovným podmienkam;</w:t>
      </w:r>
    </w:p>
    <w:p>
      <w:pPr>
        <w:pStyle w:val="NormalHanging12a"/>
      </w:pPr>
      <w:r>
        <w:t>11.</w:t>
      </w:r>
      <w:r>
        <w:tab/>
        <w:t>pripomína neoddeliteľnú súvislosť medzi politikou hospodárskej súťaže a vnútorným trhom, čo jasne vyplýva zo samotného znenia článkov 101 a 102 ZFEÚ, ktorými sa riadi politika hospodárskej súťaže EÚ; víta skutočnosť, že Komisia vo svojej legislatívnej aj politickej činnosti uznala potrebu začleniť politiku hospodárskej súťaže do cieľov vnútorného trhu, ktoré vymedzujú jej rámec;</w:t>
      </w:r>
    </w:p>
    <w:p>
      <w:pPr>
        <w:pStyle w:val="NormalHanging12a"/>
      </w:pPr>
      <w:r>
        <w:t>12.</w:t>
      </w:r>
      <w:r>
        <w:tab/>
        <w:t xml:space="preserve">upozorňuje na potrebu účinne riešiť narušenia a zlyhania trhu a posilniť hospodársku súťaž odstránením existujúcich neodôvodnených regulačných prekážok a znížením zbytočnej administratívnej záťaže s cieľom uľahčiť vstup nových konkurentov na trh; </w:t>
      </w:r>
    </w:p>
    <w:p>
      <w:pPr>
        <w:pStyle w:val="NormalHanging12a"/>
      </w:pPr>
      <w:r>
        <w:t>13.</w:t>
      </w:r>
      <w:r>
        <w:rPr>
          <w:b/>
        </w:rPr>
        <w:tab/>
      </w:r>
      <w:r>
        <w:t xml:space="preserve">zdôrazňuje význam rozsudkov SDEÚ vo veciach C-555/21 (UniCredit Bank </w:t>
      </w:r>
      <w:proofErr w:type="spellStart"/>
      <w:r>
        <w:t>Austria</w:t>
      </w:r>
      <w:proofErr w:type="spellEnd"/>
      <w:r>
        <w:t>) a C-383/18 (</w:t>
      </w:r>
      <w:proofErr w:type="spellStart"/>
      <w:r>
        <w:t>Lexitor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z </w:t>
      </w:r>
      <w:proofErr w:type="spellStart"/>
      <w:r>
        <w:t>o.o</w:t>
      </w:r>
      <w:proofErr w:type="spellEnd"/>
      <w:r>
        <w:t>.) na zabezpečenie rovnakých podmienok na trhu spotrebiteľských úverov a zabránenie jeho narušeniu z hľadiska hospodárskej súťaže;</w:t>
      </w:r>
    </w:p>
    <w:p>
      <w:pPr>
        <w:pStyle w:val="NormalHanging12a"/>
        <w:rPr>
          <w:b/>
          <w:i/>
        </w:rPr>
      </w:pPr>
      <w:r>
        <w:rPr>
          <w:b/>
          <w:i/>
        </w:rPr>
        <w:t>Presadzovanie politiky hospodárskej súťaže a globálne trendy</w:t>
      </w:r>
    </w:p>
    <w:p>
      <w:pPr>
        <w:pStyle w:val="NormalHanging12a"/>
      </w:pPr>
      <w:r>
        <w:t>14.</w:t>
      </w:r>
      <w:r>
        <w:tab/>
        <w:t xml:space="preserve">víta oznámenie Komisie o tom, že začne </w:t>
      </w:r>
      <w:proofErr w:type="spellStart"/>
      <w:r>
        <w:t>antisubvenčné</w:t>
      </w:r>
      <w:proofErr w:type="spellEnd"/>
      <w:r>
        <w:t xml:space="preserve"> prešetrovanie čínskych elektrických vozidiel podľa nariadenia (EÚ) 2016/1037 o ochrane pred subvencovanými dovozmi z krajín, ktoré nie sú členmi Európskej únie</w:t>
      </w:r>
      <w:r>
        <w:rPr>
          <w:rStyle w:val="FootnoteReference"/>
        </w:rPr>
        <w:footnoteReference w:id="22"/>
      </w:r>
      <w:r>
        <w:t>; zdôrazňuje význam účinného vykonávania nástrojov EÚ v oblasti zahraničných subvencií vrátane nariadenia (EÚ) 2022/2560 o zahraničných subvenciách s cieľom zabezpečiť zmiernenie potenciálne rušivých účinkov na jednotný trh; upozorňuje na nedostatok zdrojov len s ôsmimi ekvivalentmi plného pracovného času v rámci Komisie;</w:t>
      </w:r>
    </w:p>
    <w:p>
      <w:pPr>
        <w:pStyle w:val="NormalHanging12a"/>
      </w:pPr>
      <w:r>
        <w:t>15.</w:t>
      </w:r>
      <w:r>
        <w:tab/>
        <w:t>vyzýva Komisiu, aby zmodernizovala pravidlá verejného obstarávania s cieľom riešiť nové priority a operačné výzvy a prispieť tak k podpore ekologickejšieho priemyslu a európskych noriem;</w:t>
      </w:r>
    </w:p>
    <w:p>
      <w:pPr>
        <w:pStyle w:val="NormalHanging12a"/>
      </w:pPr>
      <w:r>
        <w:t>16.</w:t>
      </w:r>
      <w:r>
        <w:tab/>
        <w:t xml:space="preserve">zdôrazňuje, že pravidlá EÚ v oblasti hospodárskej súťaže by mali prispieť k dosiahnutiu cieľa EÚ vymedzeného v článku 3 Zmluvy o EÚ; zdôrazňuje, že tzv. spravodlivá cena výrobkov nie je najnižšia možná cena pre spotrebiteľa, ale cena, ktorá umožňuje spravodlivú odmenu pre všetky strany v dodávateľskom reťazci a zároveň nespôsobuje </w:t>
      </w:r>
      <w:r>
        <w:lastRenderedPageBreak/>
        <w:t xml:space="preserve">negatívne </w:t>
      </w:r>
      <w:proofErr w:type="spellStart"/>
      <w:r>
        <w:t>externality</w:t>
      </w:r>
      <w:proofErr w:type="spellEnd"/>
      <w:r>
        <w:t>; zdôrazňuje, že presadzovanie politiky hospodárskej súťaže v prospech spotrebiteľov by nemalo zahŕňať len úvahy o úrovni cien, ale aj úvahy o udržateľnosti a vplyve na súkromie občanov;</w:t>
      </w:r>
    </w:p>
    <w:p>
      <w:pPr>
        <w:pStyle w:val="NormalHanging12a"/>
      </w:pPr>
      <w:r>
        <w:t>17.</w:t>
      </w:r>
      <w:r>
        <w:tab/>
        <w:t xml:space="preserve">zdôrazňuje kľúčovú úlohu Európskej siete pre hospodársku súťaž (ESHS) ako fóra na podporu spolupráce a kooperácie medzi európskymi orgánmi na ochranu hospodárskej súťaže; vyzýva Komisiu, aby sa usilovala o pokračujúci konštruktívny dialóg a spoluprácu na medzinárodnej úrovni; zdôrazňuje, že je potrebné zintenzívniť spoluprácu medzi </w:t>
      </w:r>
      <w:proofErr w:type="spellStart"/>
      <w:r>
        <w:t>antitrustovými</w:t>
      </w:r>
      <w:proofErr w:type="spellEnd"/>
      <w:r>
        <w:t xml:space="preserve"> a inými odvetvovými regulačnými orgánmi, napríklad tými, ktoré sa zaoberajú ochranou údajov, s cieľom dohliadať na zneužívanie firemných údajov a zabrániť spoločnostiam využívať údaje spotrebiteľov na získanie nespravodlivej konkurenčnej výhody; víta významnú úlohu príslušných vnútroštátnych orgánov pri presadzovaní pravidiel aktu o digitálnych trhoch a vnútroštátnych legislatívnych iniciatív, ktoré sa zavádzajú na riešenie protisúťažného správania veľkých online platforiem v digitálnych odvetviach; v tejto súvislosti zdôrazňuje význam koordinovaných a homogénnych opatrení, ktoré neohrozujú uplatňovanie aktu o digitálnych trhoch na jednej strane a vnútroštátnych pravidiel hospodárskej súťaže v digitálnych odvetviach na strane druhej, ako sa uvádza v článku 1 ods. 6 aktu o digitálnych trhoch;</w:t>
      </w:r>
    </w:p>
    <w:p>
      <w:pPr>
        <w:pStyle w:val="NormalHanging12a"/>
      </w:pPr>
      <w:r>
        <w:t>18.</w:t>
      </w:r>
      <w:r>
        <w:tab/>
        <w:t>poukazuje na to, že v globalizovanom svete je medzinárodná spolupráca zásadná na zabezpečenie účinného presadzovania hospodárskej súťaže; zdôrazňuje, že k účinnosti politiky hospodárskej súťaže môžu významne prispieť špecializované dohody o spolupráci s krajinami, ktoré nie sú členmi EÚ, v oblasti politiky hospodárskej súťaže; vyzýva Komisiu, aby vo svete rozširovala vplyv politiky hospodárskej súťaže, najmä posilnením spolupráce s tretími krajinami prostredníctvom druhej generácie dohôd o spolupráci, ktoré umožnia účinnejšiu výmenu informácií medzi orgánmi na ochranu hospodárskej súťaže;</w:t>
      </w:r>
    </w:p>
    <w:p>
      <w:pPr>
        <w:pStyle w:val="NormalHanging12a"/>
      </w:pPr>
      <w:r>
        <w:t>19.</w:t>
      </w:r>
      <w:r>
        <w:tab/>
        <w:t xml:space="preserve">vyzýva Komisiu, aby pri presadzovaní práva hospodárskej súťaže viac využívala ďalšie dôkazné nástroje, ako sú </w:t>
      </w:r>
      <w:proofErr w:type="spellStart"/>
      <w:r>
        <w:t>behaviorálne</w:t>
      </w:r>
      <w:proofErr w:type="spellEnd"/>
      <w:r>
        <w:t xml:space="preserve"> poznatky a finančná analytika, ako aj väčšie využívanie vedcov v oblasti údajov, počítačov a umelej inteligencie, ako aj </w:t>
      </w:r>
      <w:proofErr w:type="spellStart"/>
      <w:r>
        <w:t>behaviorálnych</w:t>
      </w:r>
      <w:proofErr w:type="spellEnd"/>
      <w:r>
        <w:t xml:space="preserve"> ekonómov;</w:t>
      </w:r>
    </w:p>
    <w:p>
      <w:pPr>
        <w:pStyle w:val="NormalHanging12a"/>
      </w:pPr>
      <w:r>
        <w:t>20.</w:t>
      </w:r>
      <w:r>
        <w:tab/>
        <w:t>konštatuje pretrvávajúci vysoký stupeň koncentrácie trhu ratingových agentúr vzhľadom na to, že tri najväčšie ratingové agentúry majú viac ako 90 % podiel na trhu</w:t>
      </w:r>
      <w:r>
        <w:rPr>
          <w:rStyle w:val="FootnoteReference"/>
        </w:rPr>
        <w:footnoteReference w:id="23"/>
      </w:r>
      <w:r>
        <w:t>; pripomína, že je potrebné posilniť hospodársku súťaž na tomto trhu, aby sa zabezpečila nestrannosť a dôvera;</w:t>
      </w:r>
    </w:p>
    <w:p>
      <w:pPr>
        <w:pStyle w:val="NormalHanging12a"/>
      </w:pPr>
      <w:r>
        <w:t>21.</w:t>
      </w:r>
      <w:r>
        <w:tab/>
        <w:t xml:space="preserve">vyjadruje poľutovanie nad rozhodnutím spoločnosti </w:t>
      </w:r>
      <w:proofErr w:type="spellStart"/>
      <w:r>
        <w:t>Ernst</w:t>
      </w:r>
      <w:proofErr w:type="spellEnd"/>
      <w:r>
        <w:t xml:space="preserve"> &amp; </w:t>
      </w:r>
      <w:proofErr w:type="spellStart"/>
      <w:r>
        <w:t>Young</w:t>
      </w:r>
      <w:proofErr w:type="spellEnd"/>
      <w:r>
        <w:t xml:space="preserve"> zastaviť proces oddeľovania svojich audítorských a poradenských činností; konštatuje, že kombinácia audítorských a poradenských činností môže viesť ku konfliktu záujmov a môže posilniť dominantné postavenie firiem tzv. veľkej štvorky na trhu; vyzýva Komisiu, aby preskúmala spojenie audítorskej a poradenskej činnosti a prípadne predložila opatrenia na zabránenie vzniku konfliktu záujmov a dominantného postavenia na trhu;</w:t>
      </w:r>
    </w:p>
    <w:p>
      <w:pPr>
        <w:pStyle w:val="NormalHanging12a"/>
        <w:rPr>
          <w:b/>
          <w:i/>
        </w:rPr>
      </w:pPr>
      <w:r>
        <w:rPr>
          <w:b/>
          <w:i/>
        </w:rPr>
        <w:t>Kontrola fúzií</w:t>
      </w:r>
    </w:p>
    <w:p>
      <w:pPr>
        <w:pStyle w:val="NormalHanging12a"/>
      </w:pPr>
      <w:r>
        <w:lastRenderedPageBreak/>
        <w:t>22.</w:t>
      </w:r>
      <w:r>
        <w:tab/>
        <w:t xml:space="preserve">zdôrazňuje, že akvizície </w:t>
      </w:r>
      <w:proofErr w:type="spellStart"/>
      <w:r>
        <w:t>startupov</w:t>
      </w:r>
      <w:proofErr w:type="spellEnd"/>
      <w:r>
        <w:t xml:space="preserve"> dominantnými subjektmi môžu viesť k ujmám na inováciách a napokon na hospodárskej súťaži; zdôrazňuje význam toho, aby Komisia venovala veľkú pozornosť fenoménu akvizícií na účel likvidácie konkurencie (tzv. </w:t>
      </w:r>
      <w:proofErr w:type="spellStart"/>
      <w:r>
        <w:t>killer</w:t>
      </w:r>
      <w:proofErr w:type="spellEnd"/>
      <w:r>
        <w:t xml:space="preserve"> </w:t>
      </w:r>
      <w:proofErr w:type="spellStart"/>
      <w:r>
        <w:t>acquisitions</w:t>
      </w:r>
      <w:proofErr w:type="spellEnd"/>
      <w:r>
        <w:t>) v digitálnych odvetviach, ktoré sa musia oznámiť podľa aktu o digitálnych trhoch, a aby v prípade potreby prijala rozhodné opatrenia podľa článku 22 nariadenia ES o fúziách;</w:t>
      </w:r>
    </w:p>
    <w:p>
      <w:pPr>
        <w:pStyle w:val="NormalHanging12a"/>
      </w:pPr>
      <w:r>
        <w:t>23.</w:t>
      </w:r>
      <w:r>
        <w:tab/>
        <w:t>víta nedávne rozhodnutia Komisie o prípadoch fúzií</w:t>
      </w:r>
      <w:r>
        <w:rPr>
          <w:rStyle w:val="FootnoteReference"/>
        </w:rPr>
        <w:footnoteReference w:id="24"/>
      </w:r>
      <w:r>
        <w:t>; zdôrazňuje význam štrukturálnych nápravných opatrení pri rozhodovaní o fúziách; konštatuje, že najväčšie a najvplyvnejšie online platformy ovplyvňujú každodennú činnosť desiatok tisíc MSP; zdôrazňuje, že akvizícia nemôže viesť k posilneniu dominantného postavenia spoločnosti na hotelovom trhu tým, že jej umožní krížový predaj rôznych služieb;</w:t>
      </w:r>
    </w:p>
    <w:p>
      <w:pPr>
        <w:pStyle w:val="NormalHanging12a"/>
      </w:pPr>
      <w:r>
        <w:t>24.</w:t>
      </w:r>
      <w:r>
        <w:tab/>
        <w:t xml:space="preserve">víta iniciatívu Komisie preskúmať svoje oznámenie o vymedzení pojmu „relevantný trh“ a so záujmom očakáva výsledky verejných konzultácií; zdôrazňuje potrebu prijať dynamickejší prístup nad rámec tradičného prístupu, najmä pre novovznikajúce trhy, ako napríklad v digitálnom odvetví, a zohľadniť </w:t>
      </w:r>
      <w:proofErr w:type="spellStart"/>
      <w:r>
        <w:t>dlhodobejšiu</w:t>
      </w:r>
      <w:proofErr w:type="spellEnd"/>
      <w:r>
        <w:t xml:space="preserve"> víziu zahŕňajúcu globálny rozmer a potenciálnu budúcu hospodársku súťaž; vyjadruje poľutovanie nad tým, že Komisia v niektorých prípadoch v minulosti zaujala príliš úzky pohľad na relevantný trh, čím pripravila európske spoločnosti o možnosť účinne súťažiť v globalizovanom priestore; podporuje Komisiu v tom, aby pri posudzovaní fúzií viac zohľadňovala potenciálne poškodenie hospodárskej súťaže, ak by expanzia na susedné trhy mala za následok ďalšie posilnenie dominantného postavenia na hlavnom trhu nadobúdajúcej spoločnosti;</w:t>
      </w:r>
    </w:p>
    <w:p>
      <w:pPr>
        <w:pStyle w:val="NormalHanging12a"/>
      </w:pPr>
      <w:r>
        <w:t>25.</w:t>
      </w:r>
      <w:r>
        <w:tab/>
        <w:t>je znepokojený ďalekosiahlou koncentráciou v niektorých častiach potravinového dodávateľského reťazca na úkor spotrebiteľov, poľnohospodárov, životného prostredia a biodiverzity;</w:t>
      </w:r>
    </w:p>
    <w:p>
      <w:pPr>
        <w:pStyle w:val="NormalHanging12a"/>
      </w:pPr>
      <w:r>
        <w:t>26.</w:t>
      </w:r>
      <w:r>
        <w:tab/>
        <w:t>pripomína, že podľa nariadenia ES o fúziách môžu členské štáty prijať vhodné opatrenia na ochranu verejného záujmu, ako je ochrana klímy, udržateľnosť a právny štát, a žiada, aby Komisia mala rovnakú možnosť pri skúmaní vplyvu koncentrácie na vnútorný trh;</w:t>
      </w:r>
    </w:p>
    <w:p>
      <w:pPr>
        <w:pStyle w:val="NormalHanging12a"/>
        <w:rPr>
          <w:b/>
          <w:i/>
        </w:rPr>
      </w:pPr>
      <w:proofErr w:type="spellStart"/>
      <w:r>
        <w:rPr>
          <w:b/>
          <w:i/>
        </w:rPr>
        <w:t>Antitrustové</w:t>
      </w:r>
      <w:proofErr w:type="spellEnd"/>
      <w:r>
        <w:rPr>
          <w:b/>
          <w:i/>
        </w:rPr>
        <w:t xml:space="preserve"> právo a kartely</w:t>
      </w:r>
    </w:p>
    <w:p>
      <w:pPr>
        <w:pStyle w:val="NormalHanging12a"/>
      </w:pPr>
      <w:r>
        <w:t>27.</w:t>
      </w:r>
      <w:r>
        <w:tab/>
        <w:t>vyzýva Komisiu, aby lepšie využívala nástroj dočasných opatrení s cieľom zastaviť akúkoľvek prax, ktorá by hospodársku súťaž závažne poškodila, najmä v súvislosti s dynamickými a rýchlo sa rozvíjajúcimi trhmi, ako sú digitálne trhy;</w:t>
      </w:r>
    </w:p>
    <w:p>
      <w:pPr>
        <w:pStyle w:val="NormalHanging12a"/>
      </w:pPr>
      <w:r>
        <w:t>28.</w:t>
      </w:r>
      <w:r>
        <w:tab/>
        <w:t xml:space="preserve">víta nový prístup v najnovších </w:t>
      </w:r>
      <w:proofErr w:type="spellStart"/>
      <w:r>
        <w:t>antitrustových</w:t>
      </w:r>
      <w:proofErr w:type="spellEnd"/>
      <w:r>
        <w:t xml:space="preserve"> prípadoch, v ktorých Komisia prvýkrát a za určitých podmienok predpokladá zavedenie štrukturálnych nápravných opatrení na zastavenie protisúťažného konania, najmä ak takéto protisúťažné postupy v priebehu rokov zopakovala v iných segmentoch trhu tá istá spoločnosť; v tejto súvislosti nabáda Komisiu, aby v tomto smere pokračovala v záujme účinného presadzovania </w:t>
      </w:r>
      <w:proofErr w:type="spellStart"/>
      <w:r>
        <w:t>antitrustových</w:t>
      </w:r>
      <w:proofErr w:type="spellEnd"/>
      <w:r>
        <w:t xml:space="preserve"> pravidiel </w:t>
      </w:r>
      <w:r>
        <w:rPr>
          <w:i/>
        </w:rPr>
        <w:t>ex post</w:t>
      </w:r>
      <w:r>
        <w:t>;</w:t>
      </w:r>
    </w:p>
    <w:p>
      <w:pPr>
        <w:pStyle w:val="NormalHanging12a"/>
      </w:pPr>
      <w:r>
        <w:t>29.</w:t>
      </w:r>
      <w:r>
        <w:tab/>
        <w:t xml:space="preserve">vyzýva Komisiu, aby urýchlila </w:t>
      </w:r>
      <w:proofErr w:type="spellStart"/>
      <w:r>
        <w:t>antitrustové</w:t>
      </w:r>
      <w:proofErr w:type="spellEnd"/>
      <w:r>
        <w:t xml:space="preserve"> postupy, stanovila primerané lehoty pre tieto postupy a zabezpečila účinné dodržiavanie rozhodnutí, aby sa predišlo zdĺhavým </w:t>
      </w:r>
      <w:r>
        <w:lastRenderedPageBreak/>
        <w:t>konaniam, ako je to v prípade spoločnosti Spotify, ktorá podala sťažnosť proti spoločnosti Apple v roku 2019, a v ktorom napriek tomu, že Komisia vydala oznámenie námietok, neboli prijaté žiadne konkrétne opatrenia na riešenie obmedzení spoločnosti Apple, ktoré bránia vývojárom aplikácií slobodne komunikovať s vlastnými používateľmi;</w:t>
      </w:r>
    </w:p>
    <w:p>
      <w:pPr>
        <w:pStyle w:val="NormalHanging12a"/>
      </w:pPr>
      <w:r>
        <w:t>30.</w:t>
      </w:r>
      <w:r>
        <w:tab/>
        <w:t xml:space="preserve">víta začatie iniciatívy týkajúcej sa usmernení o vylučujúcich zneužitiach dominantného postavenia, ktoré budú vypracované v roku 2024 a prijaté v roku 2025, a záväzok Komisie dôrazne, účinne a rýchlo uplatňovať článok 102 ZFEÚ v oblasti vylučujúcich zneužití; vyzýva Komisiu, aby konkrétne potvrdila presadzovanie </w:t>
      </w:r>
      <w:proofErr w:type="spellStart"/>
      <w:r>
        <w:t>antitrustových</w:t>
      </w:r>
      <w:proofErr w:type="spellEnd"/>
      <w:r>
        <w:t xml:space="preserve"> pravidiel na základe účinkov a najmä význam ekonomických dôkazov; žiada, aby sa pri posudzovaní zneužívania, ako sú nadmerné ceny a nespravodlivé podmienky, zohľadňovala zraniteľnosť spotrebiteľov;</w:t>
      </w:r>
    </w:p>
    <w:p>
      <w:pPr>
        <w:pStyle w:val="NormalHanging12a"/>
      </w:pPr>
      <w:r>
        <w:t>31.</w:t>
      </w:r>
      <w:r>
        <w:tab/>
        <w:t>berie na vedomie začatie formálneho vyšetrovania možných protisúťažných praktík strážcu prístupu tým, že viaže alebo spája platformu na komunikáciu a spoluprácu so svojím vlastným dominantným a populárnym softvérom</w:t>
      </w:r>
      <w:r>
        <w:rPr>
          <w:rStyle w:val="FootnoteReference"/>
        </w:rPr>
        <w:footnoteReference w:id="25"/>
      </w:r>
      <w:r>
        <w:t xml:space="preserve">; vyzýva Komisiu, aby dôkladne posúdila výsady, ktoré strážca prístupu jednostranne ponúkol zúčastneným podnikom, a to s cieľom zabezpečiť, aby riešili obavy účastníkov trhu so zreteľom na nových a existujúcich používateľov, ako aj otázky </w:t>
      </w:r>
      <w:proofErr w:type="spellStart"/>
      <w:r>
        <w:t>interoperability</w:t>
      </w:r>
      <w:proofErr w:type="spellEnd"/>
      <w:r>
        <w:t xml:space="preserve"> a cenotvorby;</w:t>
      </w:r>
    </w:p>
    <w:p>
      <w:pPr>
        <w:pStyle w:val="NormalHanging12a"/>
      </w:pPr>
      <w:r>
        <w:t>32.</w:t>
      </w:r>
      <w:r>
        <w:tab/>
        <w:t xml:space="preserve">trvá na účinných nápravných opatreniach, ktoré si môžu vyžadovať väčšiu koordináciu medzi orgánmi presadzovania práva a ďalší dialóg s tretími stranami, ako aj primerané presadzovanie; pripomína, že podniky označené za strážcov prístupu boli predmetom predchádzajúcich </w:t>
      </w:r>
      <w:proofErr w:type="spellStart"/>
      <w:r>
        <w:t>antitrustových</w:t>
      </w:r>
      <w:proofErr w:type="spellEnd"/>
      <w:r>
        <w:t xml:space="preserve"> rozhodnutí, ktoré neviedli k účinným zmenám správania, najmä pokiaľ ide o uprednostňovanie vlastných služieb na digitálnych trhoch; vyzýva Komisiu, aby v krajnom prípade lepšie využívala štrukturálne nápravné opatrenia; opakuje svoju výzvu Komisii, aby ukončila nadradenosť </w:t>
      </w:r>
      <w:proofErr w:type="spellStart"/>
      <w:r>
        <w:t>behaviorálnych</w:t>
      </w:r>
      <w:proofErr w:type="spellEnd"/>
      <w:r>
        <w:t xml:space="preserve"> nápravných opatrení v práve EÚ;</w:t>
      </w:r>
    </w:p>
    <w:p>
      <w:pPr>
        <w:pStyle w:val="NormalHanging12a"/>
      </w:pPr>
      <w:r>
        <w:t>33.</w:t>
      </w:r>
      <w:r>
        <w:tab/>
        <w:t xml:space="preserve">opakuje svoju výzvu Komisii, aby sa zaoberala protisúťažným účinkom územných obmedzení dodávok s cieľom zaručiť plne funkčný jednotný trh a využiť jeho potenciálne prínosy pre spotrebiteľov; </w:t>
      </w:r>
    </w:p>
    <w:p>
      <w:pPr>
        <w:pStyle w:val="NormalHanging12a"/>
      </w:pPr>
      <w:r>
        <w:t xml:space="preserve">34. </w:t>
      </w:r>
      <w:r>
        <w:tab/>
        <w:t xml:space="preserve">opakuje aj svoju výzvu Komisii, aby naďalej aktívne monitorovala a zrušila neopodstatnené geografické blokovanie a iné obmedzenia cezhraničného online predaja, pričom základom by mal byť prístup v prospech spotrebiteľov, ktorý by spotrebiteľom umožnil prístup k väčšiemu výberu výrobkov a služieb v celej EÚ; </w:t>
      </w:r>
    </w:p>
    <w:p>
      <w:pPr>
        <w:pStyle w:val="NormalHanging12a"/>
        <w:rPr>
          <w:b/>
          <w:i/>
        </w:rPr>
      </w:pPr>
      <w:r>
        <w:rPr>
          <w:b/>
          <w:i/>
        </w:rPr>
        <w:t>Politika hospodárskej súťaže v digitálnej ére</w:t>
      </w:r>
    </w:p>
    <w:p>
      <w:pPr>
        <w:pStyle w:val="NormalHanging12a"/>
      </w:pPr>
      <w:r>
        <w:t>35.</w:t>
      </w:r>
      <w:r>
        <w:tab/>
        <w:t xml:space="preserve">víta určenie šiestich strážcov prístupu – </w:t>
      </w:r>
      <w:proofErr w:type="spellStart"/>
      <w:r>
        <w:t>Alphabet</w:t>
      </w:r>
      <w:proofErr w:type="spellEnd"/>
      <w:r>
        <w:t xml:space="preserve">, Amazon, Apple, </w:t>
      </w:r>
      <w:proofErr w:type="spellStart"/>
      <w:r>
        <w:t>ByteDance</w:t>
      </w:r>
      <w:proofErr w:type="spellEnd"/>
      <w:r>
        <w:t xml:space="preserve">, </w:t>
      </w:r>
      <w:proofErr w:type="spellStart"/>
      <w:r>
        <w:t>Meta</w:t>
      </w:r>
      <w:proofErr w:type="spellEnd"/>
      <w:r>
        <w:t>, Microsoft</w:t>
      </w:r>
      <w:r>
        <w:rPr>
          <w:rStyle w:val="FootnoteReference"/>
        </w:rPr>
        <w:footnoteReference w:id="26"/>
      </w:r>
      <w:r>
        <w:t xml:space="preserve"> – pre 22 základných platformových služieb podľa aktu o digitálnych trhoch, štyri prieskumy trhu týkajúce sa protiargumentov, ako aj prvý prieskum trhu podľa článku 3 ods. 8 aktu o digitálnych trhoch; vyzýva Komisiu, aby urýchlene prijala </w:t>
      </w:r>
      <w:r>
        <w:lastRenderedPageBreak/>
        <w:t xml:space="preserve">delegované akty s cieľom rozšíriť spôsoby uplatňovania alebo spresniť spôsoby vykonávania povinností stanovených v článkoch 5, 6, 7 a 12 aktu o digitálnych trhoch; vyzýva Komisiu, aby do 6. marca 2024 dôsledne posúdila, či strážcovia prístupu dodržiavajú povinnosti aktu o digitálnych trhoch, a aby si od tretích strán vyžiadala spätnú väzbu, či riešenia dodržiavania predpisov ponúkané strážcami prístupu vedú k spravodlivejším a </w:t>
      </w:r>
      <w:proofErr w:type="spellStart"/>
      <w:r>
        <w:t>súťažeschopnejším</w:t>
      </w:r>
      <w:proofErr w:type="spellEnd"/>
      <w:r>
        <w:t xml:space="preserve"> digitálnym trhom; vyzýva Komisiu, aby zabezpečila, že opatrenia strážcov prístupu týkajúce sa bezpečnosti a integrity ich platforiem, ktoré by mohli mať vplyv na dodržiavanie aktu o digitálnych trhoch, budú preverené nezávislými tretími stranami a nebudú vychádzať len z vlastného hodnotenia strážcov prístupu;</w:t>
      </w:r>
    </w:p>
    <w:p>
      <w:pPr>
        <w:pStyle w:val="NormalHanging12a"/>
      </w:pPr>
      <w:r>
        <w:t>36.</w:t>
      </w:r>
      <w:r>
        <w:tab/>
        <w:t>poukazuje na to, že v štúdii Európskej komisie o „vplyve nedávneho vývoja v oblasti digitálnej reklamy na súkromie, vydavateľov a inzerentov“ sa konštatuje, že rozsiahle zhromažďovanie a spracovanie osobných údajov na reklamné účely a neprehľadnosť trhu s digitálnou reklamou by mohli podporovať reklamné podvody</w:t>
      </w:r>
      <w:r>
        <w:rPr>
          <w:rStyle w:val="FootnoteReference"/>
        </w:rPr>
        <w:footnoteReference w:id="27"/>
      </w:r>
      <w:r>
        <w:t>; vyzýva Komisiu, aby v súlade s odporúčaniami štúdie ďalej analyzovala legislatívne možnosti budúcich politických zásahov vrátane zavedenia štrukturálnych nápravných opatrení na riešenie protisúťažného správania, a to doplnením aktu o digitálnych trhoch (ďalej len „DMA“) a aktu o digitálnych službách (DSA)</w:t>
      </w:r>
      <w:r>
        <w:rPr>
          <w:rStyle w:val="FootnoteReference"/>
        </w:rPr>
        <w:footnoteReference w:id="28"/>
      </w:r>
      <w:r>
        <w:t>;</w:t>
      </w:r>
    </w:p>
    <w:p>
      <w:pPr>
        <w:pStyle w:val="NormalHanging12a"/>
      </w:pPr>
      <w:r>
        <w:t>37.</w:t>
      </w:r>
      <w:r>
        <w:tab/>
        <w:t xml:space="preserve">berie na vedomie prieskumy trhu týkajúce sa prehliadačov </w:t>
      </w:r>
      <w:proofErr w:type="spellStart"/>
      <w:r>
        <w:t>Edge</w:t>
      </w:r>
      <w:proofErr w:type="spellEnd"/>
      <w:r>
        <w:t xml:space="preserve"> a Bing od spoločnosti Microsoft</w:t>
      </w:r>
      <w:r>
        <w:rPr>
          <w:rStyle w:val="FootnoteReference"/>
        </w:rPr>
        <w:footnoteReference w:id="29"/>
      </w:r>
      <w:r>
        <w:t xml:space="preserve"> a systémov </w:t>
      </w:r>
      <w:proofErr w:type="spellStart"/>
      <w:r>
        <w:t>iOS</w:t>
      </w:r>
      <w:proofErr w:type="spellEnd"/>
      <w:r>
        <w:t xml:space="preserve"> a </w:t>
      </w:r>
      <w:proofErr w:type="spellStart"/>
      <w:r>
        <w:t>iMessage</w:t>
      </w:r>
      <w:proofErr w:type="spellEnd"/>
      <w:r>
        <w:t xml:space="preserve"> od spoločnosti Apple</w:t>
      </w:r>
      <w:r>
        <w:rPr>
          <w:rStyle w:val="FootnoteReference"/>
        </w:rPr>
        <w:footnoteReference w:id="30"/>
      </w:r>
      <w:r>
        <w:t xml:space="preserve"> s cieľom posúdiť ich úlohu vstupných brán a ich pevné postavenie na trhu podľa rozhodnutia o určení spoločností Apple a Microsoft ako strážcov prístupu podľa aktu o digitálnych trhoch; zdôrazňuje, že systém </w:t>
      </w:r>
      <w:proofErr w:type="spellStart"/>
      <w:r>
        <w:t>iMessage</w:t>
      </w:r>
      <w:proofErr w:type="spellEnd"/>
      <w:r>
        <w:t xml:space="preserve"> sa štandardne zahrnul do všetkých zariadení </w:t>
      </w:r>
      <w:proofErr w:type="spellStart"/>
      <w:r>
        <w:t>iOS</w:t>
      </w:r>
      <w:proofErr w:type="spellEnd"/>
      <w:r>
        <w:t xml:space="preserve"> pre viac ako 144 miliónov používateľov; zdôrazňuje význam </w:t>
      </w:r>
      <w:proofErr w:type="spellStart"/>
      <w:r>
        <w:t>smartfónov</w:t>
      </w:r>
      <w:proofErr w:type="spellEnd"/>
      <w:r>
        <w:t xml:space="preserve"> ako základného súkromného a profesionálneho nástroja; zdôrazňuje, že na súčasnom trhu dominujú dva operačné systémy s vlastnými </w:t>
      </w:r>
      <w:proofErr w:type="spellStart"/>
      <w:r>
        <w:t>neinteroperabilnými</w:t>
      </w:r>
      <w:proofErr w:type="spellEnd"/>
      <w:r>
        <w:t xml:space="preserve"> službami zasielania správ, čo obmedzuje možnosť používateľov a podnikov voľne sa pohybovať z jedného ekosystému do druhého a bezproblémovo vzájomne komunikovať bez ohľadu na operačný systém, čo je zásadne proti duchu a ustanoveniam aktu o digitálnych trhoch; vyzýva preto Komisiu, aby urýchlene pokračovala vo svojom vyšetrovaní a jeho účinnom vykonávaní, aby sa výhody </w:t>
      </w:r>
      <w:proofErr w:type="spellStart"/>
      <w:r>
        <w:t>interoperability</w:t>
      </w:r>
      <w:proofErr w:type="spellEnd"/>
      <w:r>
        <w:t xml:space="preserve"> správ dostali včas k všetkým;</w:t>
      </w:r>
    </w:p>
    <w:p>
      <w:pPr>
        <w:pStyle w:val="NormalHanging12a"/>
      </w:pPr>
      <w:r>
        <w:t>38.</w:t>
      </w:r>
      <w:r>
        <w:tab/>
        <w:t xml:space="preserve">berie na vedomie rozhodnutie SDEÚ vo veci </w:t>
      </w:r>
      <w:proofErr w:type="spellStart"/>
      <w:r>
        <w:t>Meta</w:t>
      </w:r>
      <w:proofErr w:type="spellEnd"/>
      <w:r>
        <w:t>/</w:t>
      </w:r>
      <w:proofErr w:type="spellStart"/>
      <w:r>
        <w:t>Bundeskartellamt</w:t>
      </w:r>
      <w:proofErr w:type="spellEnd"/>
      <w:r>
        <w:t xml:space="preserve">, ktoré potvrdzuje právomoc vnútroštátnych orgánov na ochranu hospodárskej súťaže presadzovať pravidlá ochrany údajov podľa </w:t>
      </w:r>
      <w:proofErr w:type="spellStart"/>
      <w:r>
        <w:t>antitrustových</w:t>
      </w:r>
      <w:proofErr w:type="spellEnd"/>
      <w:r>
        <w:t xml:space="preserve"> zákonov; poukazuje na to, že SDEÚ potvrdzuje, že ochrana osobných údajov je dôležitým aspektom pri skúmaní zneužitia dominantného postavenia a že ukladá požiadavky na používanie osobných údajov jednotlivcov na cielenú reklamu; vyzýva orgány na ochranu hospodárskej súťaže, aby </w:t>
      </w:r>
      <w:r>
        <w:lastRenderedPageBreak/>
        <w:t>vyšetrovali porušenia všeobecného nariadenia o ochrane údajov</w:t>
      </w:r>
      <w:r>
        <w:rPr>
          <w:rStyle w:val="FootnoteReference"/>
        </w:rPr>
        <w:footnoteReference w:id="31"/>
      </w:r>
      <w:r>
        <w:t>, a orgány na ochranu údajov, aby takéto porušenia sankcionovali;</w:t>
      </w:r>
    </w:p>
    <w:p>
      <w:pPr>
        <w:pStyle w:val="NormalHanging12a"/>
      </w:pPr>
      <w:r>
        <w:t>39.</w:t>
      </w:r>
      <w:r>
        <w:tab/>
        <w:t xml:space="preserve">berie na vedomie závery konania </w:t>
      </w:r>
      <w:proofErr w:type="spellStart"/>
      <w:r>
        <w:t>Bundeskartellamt</w:t>
      </w:r>
      <w:proofErr w:type="spellEnd"/>
      <w:r>
        <w:t xml:space="preserve"> a spoločnosti </w:t>
      </w:r>
      <w:proofErr w:type="spellStart"/>
      <w:r>
        <w:t>Alphabet</w:t>
      </w:r>
      <w:proofErr w:type="spellEnd"/>
      <w:r>
        <w:t xml:space="preserve"> </w:t>
      </w:r>
      <w:proofErr w:type="spellStart"/>
      <w:r>
        <w:t>Inc</w:t>
      </w:r>
      <w:proofErr w:type="spellEnd"/>
      <w:r>
        <w:t xml:space="preserve">., ktoré dávajú používateľom spoločnosti Google lepšie možnosti výberu, ako spoločnosť Google spracúva ich údaje; tvrdí, že spotrebitelia v EÚ musia mať možnosť voľby, či povolia aglomeráciu a spracovanie svojich osobných údajov v rámci viacerých služieb; nabáda Komisiu, aby pokračovala v koordinácii činností v oblasti presadzovania práva a spolupracovala s vnútroštátnymi orgánmi na ochranu hospodárskej súťaže s cieľom uľahčiť účinnú súčinnosť medzi právom hospodárskej súťaže a aktom o digitálnych trhoch, najmä v súvislosti s „ďalšími povinnosťami“ podľa aktu o digitálnych trhoch; </w:t>
      </w:r>
    </w:p>
    <w:p>
      <w:pPr>
        <w:pStyle w:val="NormalHanging12a"/>
      </w:pPr>
      <w:r>
        <w:t>40.</w:t>
      </w:r>
      <w:r>
        <w:tab/>
        <w:t xml:space="preserve">poukazuje na to, že internet vecí je rastúci trh; ďalej poukazuje na to, že inteligentné domáce zariadenia, ako sú robotické vysávače, sú významným zdrojom spotrebiteľských údajov; konštatuje, že fúzie a akvizície v tomto sektore môžu spôsobiť veľké konkurenčné škody; vyzýva Komisiu, aby do hodnotenia prípadov fúzií a akvizícií v tomto sektore zahrnula údaje ako zdroj trhovej sily, najmä ak sa tieto prípady týkajú etablovaných veľkých technologických spoločností; okrem toho žiada, aby sa v prípade potreby stanovili podmienky používania údajov; </w:t>
      </w:r>
    </w:p>
    <w:p>
      <w:pPr>
        <w:pStyle w:val="NormalHanging12a"/>
      </w:pPr>
      <w:r>
        <w:t>41.</w:t>
      </w:r>
      <w:r>
        <w:tab/>
        <w:t xml:space="preserve">vyjadruje poľutovanie nad tým, že na zozname strážcov prístupu chýbajú poskytovatelia </w:t>
      </w:r>
      <w:proofErr w:type="spellStart"/>
      <w:r>
        <w:t>cloudových</w:t>
      </w:r>
      <w:proofErr w:type="spellEnd"/>
      <w:r>
        <w:t xml:space="preserve"> služieb; vyzýva Komisiu, aby zvážila uskutočnenie prieskumov trhu podľa článku 3 ods. 8 aktu o digitálnych trhoch (kvalitatívne posúdenie) v tomto odvetví, najmä vzhľadom na všetky škodlivé praktiky narúšajúce hospodársku súťaž, na ktoré poukázali vnútroštátne orgány na ochranu hospodárskej súťaže; zdôrazňuje, že na európskom trhu v oblasti </w:t>
      </w:r>
      <w:proofErr w:type="spellStart"/>
      <w:r>
        <w:t>cloud</w:t>
      </w:r>
      <w:proofErr w:type="spellEnd"/>
      <w:r>
        <w:t xml:space="preserve"> </w:t>
      </w:r>
      <w:proofErr w:type="spellStart"/>
      <w:r>
        <w:t>computingu</w:t>
      </w:r>
      <w:proofErr w:type="spellEnd"/>
      <w:r>
        <w:t xml:space="preserve"> dominuje niekoľko veľmi veľkých subjektov; vyzýva Komisiu, aby zabezpečila, že sa stanovia všetky oprávnené služby, aby sa obnovila spravodlivá a rovnocenná hospodárska súťaž na európskom trhu v oblasti </w:t>
      </w:r>
      <w:proofErr w:type="spellStart"/>
      <w:r>
        <w:t>cloud</w:t>
      </w:r>
      <w:proofErr w:type="spellEnd"/>
      <w:r>
        <w:t xml:space="preserve"> </w:t>
      </w:r>
      <w:proofErr w:type="spellStart"/>
      <w:r>
        <w:t>computingu</w:t>
      </w:r>
      <w:proofErr w:type="spellEnd"/>
      <w:r>
        <w:t>;</w:t>
      </w:r>
    </w:p>
    <w:p>
      <w:pPr>
        <w:pStyle w:val="NormalHanging12a"/>
      </w:pPr>
      <w:r>
        <w:t>42.</w:t>
      </w:r>
      <w:r>
        <w:tab/>
        <w:t>vyzýva Komisiu, aby posúdila potrebu uskutočniť prieskum trhu podľa článku 19 aktu o digitálnych trhoch a doplniť nové kategórie základných platformových služieb podľa článku 2 ods. 2 aktu o digitálnych trhoch vzhľadom na najnovší technologický vývoj, ktorý môže viesť k novým typom služieb, ktoré nepatria do existujúcich kategórií, ako napríklad generatívna umelá inteligencia; uznáva, že nové funkcie poháňané generatívnou umelou inteligenciou môžu byť začlenené do existujúcich digitálnych služieb, ako sú napríklad online vyhľadávače, a môžu byť zachytené v existujúcom zozname základných platformových služieb, čo by mohlo viesť k posilneniu existujúcich strážcov prístupu;</w:t>
      </w:r>
    </w:p>
    <w:p>
      <w:pPr>
        <w:pStyle w:val="NormalHanging12a"/>
      </w:pPr>
      <w:r>
        <w:t xml:space="preserve">43. </w:t>
      </w:r>
      <w:r>
        <w:tab/>
        <w:t>berie na vedomie spoločné vyhlásenie orgánov na ochranu hospodárskej súťaže skupiny G7 o hospodárskej súťaži a umelej inteligencii, v ktorom sa zdôrazňuje význam spolupráce na podporu hospodárskej súťaže na digitálnych trhoch</w:t>
      </w:r>
      <w:r>
        <w:rPr>
          <w:rStyle w:val="FootnoteReference"/>
        </w:rPr>
        <w:footnoteReference w:id="32"/>
      </w:r>
      <w:r>
        <w:t xml:space="preserve">; vyzýva Komisiu, </w:t>
      </w:r>
      <w:r>
        <w:lastRenderedPageBreak/>
        <w:t>aby bola ostražitá, pokiaľ ide o dohody o spolupráci v súvislosti s vývojom v oblasti umelej inteligencie, s cieľom zabezpečiť, aby takéto dohody o spolupráci neboli potenciálne skrytými fúziami alebo akvizíciami na účel likvidácie konkurencie;</w:t>
      </w:r>
    </w:p>
    <w:p>
      <w:pPr>
        <w:pStyle w:val="NormalHanging12a"/>
      </w:pPr>
      <w:r>
        <w:t>44.</w:t>
      </w:r>
      <w:r>
        <w:tab/>
        <w:t>opakuje, že akt o digitálnych trhoch má na rozdiel od rámca hospodárskej súťaže iný právny základ; zdôrazňuje potrebu účinnej koexistencie následného presadzovania práva hospodárskej súťaže a predbežného presadzovania aktu o digitálnych trhoch vzhľadom na ich vzájomne sa dopĺňajúcu povahu; zdôrazňuje, že je potrebné zabezpečiť dostatočné personálne zdroje a synergie v záujme účinného vykonávania pravidiel a zabrániť prekrývaniu alebo duplicite existujúcich štruktúr a opatrení;</w:t>
      </w:r>
    </w:p>
    <w:p>
      <w:pPr>
        <w:pStyle w:val="NormalHanging12a"/>
      </w:pPr>
      <w:r>
        <w:t>45.</w:t>
      </w:r>
      <w:r>
        <w:tab/>
        <w:t xml:space="preserve">zdôrazňuje budúce potreby EÚ v oblasti prepojenosti, pokiaľ ide o infraštruktúru a investície; vyzýva Komisiu, aby zvážila revíziu súčasného postupu hospodárskej súťaže na telekomunikačnom trhu s cieľom uľahčiť vytvorenie plne integrovaného jednotného trhu telekomunikačných služieb; konštatuje, že konsolidácia trhu môže byť jediným spôsobom, ako sa vyhnúť predaju infraštruktúry po častiach zahraničným spoločnostiam mimo EÚ a ako účinne konkurovať v globálnom scenári; poukazuje na to, že rast tohto odvetvia v Európe bol v poslednom desaťročí veľmi nízky a že hlavnou príčinou je fragmentácia; v tejto súvislosti víta oznámenie komisára </w:t>
      </w:r>
      <w:proofErr w:type="spellStart"/>
      <w:r>
        <w:t>Bretona</w:t>
      </w:r>
      <w:proofErr w:type="spellEnd"/>
      <w:r>
        <w:t xml:space="preserve"> o práci Komisie na novom návrhu aktu o digitálnych sieťach, ktorý má riešiť roztrieštenosť trhu, prilákať investície a zabezpečiť telekomunikačnú infraštruktúru a inovácie bez dodatočných nákladov pre spotrebiteľov a bez ohrozenia neutrality siete a</w:t>
      </w:r>
      <w:r>
        <w:rPr>
          <w:b/>
          <w:i/>
        </w:rPr>
        <w:t xml:space="preserve"> </w:t>
      </w:r>
      <w:r>
        <w:t>spravodlivej hospodárskej súťaže na trhu medzi všetkými účastníkmi;</w:t>
      </w:r>
    </w:p>
    <w:p>
      <w:pPr>
        <w:pStyle w:val="NormalHanging12a"/>
      </w:pPr>
      <w:r>
        <w:t xml:space="preserve">46. </w:t>
      </w:r>
      <w:r>
        <w:tab/>
        <w:t xml:space="preserve">s obavami konštatuje, že strážcovia prístupu, ktorí získajú oproti konkurentom výhodu v oblasti údajov, môžu dosiahnuť kritické úspory z rozsahu, čo prispieva k ešte hlbšiemu narušeniu konkurenčnej rovnováhy na digitálnych trhoch a potláča inováciu; </w:t>
      </w:r>
    </w:p>
    <w:p>
      <w:pPr>
        <w:pStyle w:val="NormalHanging12a"/>
      </w:pPr>
      <w:r>
        <w:t>47.</w:t>
      </w:r>
      <w:r>
        <w:tab/>
        <w:t xml:space="preserve">zdôrazňuje, že osobné údaje by sa pri rozhodovaní o digitálnych fúziách a akvizíciách mali zvažovať a posudzovať rovnako ako ostatné tradičné aktíva; ďalej zdôrazňuje, že konsolidácia údajov prostredníctvom fúzií a akvizícií môže posilniť dominantné postavenie; </w:t>
      </w:r>
    </w:p>
    <w:p>
      <w:pPr>
        <w:pStyle w:val="NormalHanging12a"/>
        <w:rPr>
          <w:b/>
          <w:i/>
        </w:rPr>
      </w:pPr>
      <w:r>
        <w:rPr>
          <w:b/>
          <w:i/>
        </w:rPr>
        <w:t>Zdanenie</w:t>
      </w:r>
    </w:p>
    <w:p>
      <w:pPr>
        <w:pStyle w:val="NormalHanging12a"/>
      </w:pPr>
      <w:r>
        <w:t>48.</w:t>
      </w:r>
      <w:r>
        <w:tab/>
        <w:t xml:space="preserve">vyjadruje poľutovanie nad rušivými vplyvmi agresívneho daňového plánovania a daňových systémov niektorých členských štátov na spravodlivú hospodársku súťaž, pretože môže brzdiť inovácie a ohroziť </w:t>
      </w:r>
      <w:proofErr w:type="spellStart"/>
      <w:r>
        <w:t>súťažeschopnosť</w:t>
      </w:r>
      <w:proofErr w:type="spellEnd"/>
      <w:r>
        <w:t xml:space="preserve"> trhov, najmä pre MSP; žiada, aby spoločnosti, ktoré sa vyhýbajú daňovým povinnostiam pomocou daňových rajov mimo EÚ, boli vylúčené z postupov verejného obstarávania a aby sa im zakázalo prijímať štátnu pomoc, pretože tieto spoločnosti konkurujú spoločnostiam so sídlom inde než v daňových rajoch za nespravodlivých podmienok; víta odporúčanie Komisie zo 14. júla 2020 neposkytovať finančnú podporu spoločnostiam s väzbami na daňové raje a zároveň chrániť poctivých daňovníkov;</w:t>
      </w:r>
    </w:p>
    <w:p>
      <w:pPr>
        <w:pStyle w:val="NormalHanging12a"/>
      </w:pPr>
      <w:r>
        <w:t>49.</w:t>
      </w:r>
      <w:r>
        <w:tab/>
        <w:t xml:space="preserve">žiada Komisiu, aby preskúmala možnosť penalizovať krajiny, ktoré porušia pravidlá EÚ v oblasti štátnej pomoci; nabáda Komisiu, aby pokračovala vo vyšetrovaní postupov členských štátov v oblasti daňových rozhodnutí; </w:t>
      </w:r>
    </w:p>
    <w:p>
      <w:pPr>
        <w:pStyle w:val="NormalHanging12a"/>
      </w:pPr>
      <w:r>
        <w:t>50.</w:t>
      </w:r>
      <w:r>
        <w:tab/>
        <w:t xml:space="preserve">berie na vedomie záväzok podpredsedu Komisie </w:t>
      </w:r>
      <w:proofErr w:type="spellStart"/>
      <w:r>
        <w:t>Šefčoviča</w:t>
      </w:r>
      <w:proofErr w:type="spellEnd"/>
      <w:r>
        <w:t xml:space="preserve"> a komisára </w:t>
      </w:r>
      <w:proofErr w:type="spellStart"/>
      <w:r>
        <w:t>Hoekstru</w:t>
      </w:r>
      <w:proofErr w:type="spellEnd"/>
      <w:r>
        <w:t xml:space="preserve"> začať diskusiu o postupnom zrušení dotácií na fosílne palivá; pripomína svoju požiadavku </w:t>
      </w:r>
      <w:r>
        <w:lastRenderedPageBreak/>
        <w:t xml:space="preserve">zaviesť konkrétne politiky, harmonogramy a opatrenia s cieľom čo najskôr postupne ukončiť dotácie na fosílne palivá prostredníctvom daňových opatrení; </w:t>
      </w:r>
    </w:p>
    <w:p>
      <w:pPr>
        <w:pStyle w:val="NormalHanging12a"/>
      </w:pPr>
      <w:r>
        <w:t>51.</w:t>
      </w:r>
      <w:r>
        <w:tab/>
        <w:t xml:space="preserve">víta ostražitosť Komisie pri presadzovaní pravidiel štátnej pomoci v oblasti daní; </w:t>
      </w:r>
    </w:p>
    <w:p>
      <w:pPr>
        <w:pStyle w:val="NormalHanging12a"/>
      </w:pPr>
      <w:r>
        <w:t xml:space="preserve">52. </w:t>
      </w:r>
      <w:r>
        <w:tab/>
        <w:t xml:space="preserve">zároveň vyjadruje poľutovanie nad tým, že Súdny dvor EÚ anuloval viaceré nedávne rozhodnutia Komisie vo významných prípadoch týkajúcich sa hospodárskej súťaže v oblasti zdaňovania; vyzýva Komisiu, aby prípady týkajúce sa politiky hospodárskej súťaže pripravovala dôkladnejšie, aby mohli obstáť pred súdom; so znepokojením konštatuje, že zrušenie pokút a spätná úhrada úrokov z omeškania v zrušených prípadoch predstavuje pre EÚ aj rozpočtové riziko; </w:t>
      </w:r>
    </w:p>
    <w:p>
      <w:pPr>
        <w:pStyle w:val="NormalHanging12a"/>
        <w:rPr>
          <w:b/>
          <w:i/>
        </w:rPr>
      </w:pPr>
      <w:r>
        <w:rPr>
          <w:b/>
          <w:i/>
        </w:rPr>
        <w:t>Zapojenie Európskeho parlamentu</w:t>
      </w:r>
    </w:p>
    <w:p>
      <w:pPr>
        <w:pStyle w:val="NormalHanging12a"/>
      </w:pPr>
      <w:r>
        <w:t>53.</w:t>
      </w:r>
      <w:r>
        <w:tab/>
        <w:t>zdôrazňuje, že Európsky parlament by mal zohrávať aktívnu úlohu pri formovaní politiky hospodárskej súťaže a mal by byť viac zapojený do činnosti pracovných skupín a expertných skupín; domnieva sa, že by sa malo častejšie využívať právo Európskeho parlamentu zasahovať do súdnych konaní týkajúcich sa práva hospodárskej súťaže;</w:t>
      </w:r>
    </w:p>
    <w:p>
      <w:pPr>
        <w:pStyle w:val="NormalHanging12a"/>
      </w:pPr>
      <w:r>
        <w:t>54.</w:t>
      </w:r>
      <w:r>
        <w:tab/>
        <w:t>vyzýva príslušného komisára zodpovedného za politiku hospodárskej súťaže, aby bol v úzkom kontakte s príslušným výborom Európskeho parlamentu a jeho pracovnou skupinou pre otázky hospodárskej súťaže;</w:t>
      </w:r>
    </w:p>
    <w:p>
      <w:pPr>
        <w:pStyle w:val="NormalHanging12a"/>
        <w:jc w:val="center"/>
      </w:pPr>
      <w:r>
        <w:t>°</w:t>
      </w:r>
    </w:p>
    <w:p>
      <w:pPr>
        <w:pStyle w:val="NormalHanging12a"/>
        <w:jc w:val="center"/>
      </w:pPr>
      <w:r>
        <w:t>°</w:t>
      </w:r>
      <w:r>
        <w:tab/>
        <w:t>°</w:t>
      </w:r>
    </w:p>
    <w:p>
      <w:pPr>
        <w:pStyle w:val="NormalHanging12a"/>
      </w:pPr>
      <w:r>
        <w:t>55.</w:t>
      </w:r>
      <w:r>
        <w:tab/>
        <w:t>poveruje svoju predsedníčku, aby postúpila toto uznesenie Rade, Komisii a parlamentom a orgánom na ochranu hospodárskej súťaže členských štátov.</w:t>
      </w:r>
    </w:p>
    <w:p/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P9_TA(2023)0227.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z 13. júla 2022, </w:t>
      </w:r>
      <w:proofErr w:type="spellStart"/>
      <w:r>
        <w:rPr>
          <w:sz w:val="24"/>
          <w:lang w:val="sk-SK"/>
        </w:rPr>
        <w:t>Ilumina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Inc</w:t>
      </w:r>
      <w:proofErr w:type="spellEnd"/>
      <w:r>
        <w:rPr>
          <w:sz w:val="24"/>
          <w:lang w:val="sk-SK"/>
        </w:rPr>
        <w:t>./Európska komisia, T-227/21, ECLI:EU:T:2022:447.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 131 I, 24.3.2022, s. 1.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24, 29.1.2004, s. 1.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265, 12.10.2022, s. 1.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11, 14.1.2019, s. 3.</w:t>
      </w:r>
    </w:p>
  </w:footnote>
  <w:footnote w:id="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1, 4.1.2003, s. 1.</w:t>
      </w:r>
    </w:p>
  </w:footnote>
  <w:footnote w:id="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123, 27.4.2004, s. 18.</w:t>
      </w:r>
    </w:p>
  </w:footnote>
  <w:footnote w:id="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80, 18.2.2022, s. 1.</w:t>
      </w:r>
    </w:p>
  </w:footnote>
  <w:footnote w:id="1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36, 31.1.2023, s. 1.</w:t>
      </w:r>
    </w:p>
  </w:footnote>
  <w:footnote w:id="1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330, 23.12.2022, s. 1.</w:t>
      </w:r>
    </w:p>
  </w:footnote>
  <w:footnote w:id="1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Európska komisia, </w:t>
      </w:r>
      <w:hyperlink r:id="rId1" w:history="1">
        <w:r>
          <w:rPr>
            <w:rStyle w:val="Hyperlink"/>
            <w:sz w:val="24"/>
            <w:lang w:val="sk-SK"/>
          </w:rPr>
          <w:t>Správa o stave Únie</w:t>
        </w:r>
      </w:hyperlink>
      <w:r>
        <w:rPr>
          <w:sz w:val="24"/>
          <w:lang w:val="sk-SK"/>
        </w:rPr>
        <w:t>, 13. septembra 2023.</w:t>
      </w:r>
    </w:p>
  </w:footnote>
  <w:footnote w:id="1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119, 5.5.2023, s. 22.</w:t>
      </w:r>
    </w:p>
  </w:footnote>
  <w:footnote w:id="1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23, 23.1.2023, s. 1.</w:t>
      </w:r>
    </w:p>
  </w:footnote>
  <w:footnote w:id="1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(veľká komora) zo 4. júla 2023, </w:t>
      </w:r>
      <w:proofErr w:type="spellStart"/>
      <w:r>
        <w:rPr>
          <w:sz w:val="24"/>
          <w:lang w:val="sk-SK"/>
        </w:rPr>
        <w:t>Meta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Platforms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Inc</w:t>
      </w:r>
      <w:proofErr w:type="spellEnd"/>
      <w:r>
        <w:rPr>
          <w:sz w:val="24"/>
          <w:lang w:val="sk-SK"/>
        </w:rPr>
        <w:t xml:space="preserve"> a i. proti </w:t>
      </w:r>
      <w:proofErr w:type="spellStart"/>
      <w:r>
        <w:rPr>
          <w:sz w:val="24"/>
          <w:lang w:val="sk-SK"/>
        </w:rPr>
        <w:t>Bundeskartellamt</w:t>
      </w:r>
      <w:proofErr w:type="spellEnd"/>
      <w:r>
        <w:rPr>
          <w:sz w:val="24"/>
          <w:lang w:val="sk-SK"/>
        </w:rPr>
        <w:t>, C-252/21, ECLI:EU:C:2023:537.</w:t>
      </w:r>
    </w:p>
  </w:footnote>
  <w:footnote w:id="16">
    <w:p>
      <w:pPr>
        <w:pStyle w:val="FootnoteText"/>
        <w:ind w:left="567" w:hanging="567"/>
        <w:rPr>
          <w:color w:val="0563C1" w:themeColor="hyperlink"/>
          <w:sz w:val="24"/>
          <w:u w:val="single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2" w:history="1">
        <w:r>
          <w:rPr>
            <w:rStyle w:val="Hyperlink"/>
            <w:sz w:val="24"/>
            <w:lang w:val="sk-SK"/>
          </w:rPr>
          <w:t xml:space="preserve">Kódex osvedčených postupov GR COMP pre transparentné, </w:t>
        </w:r>
        <w:proofErr w:type="spellStart"/>
        <w:r>
          <w:rPr>
            <w:rStyle w:val="Hyperlink"/>
            <w:sz w:val="24"/>
            <w:lang w:val="sk-SK"/>
          </w:rPr>
          <w:t>inkluzívne</w:t>
        </w:r>
        <w:proofErr w:type="spellEnd"/>
        <w:r>
          <w:rPr>
            <w:rStyle w:val="Hyperlink"/>
            <w:sz w:val="24"/>
            <w:lang w:val="sk-SK"/>
          </w:rPr>
          <w:t xml:space="preserve"> a rýchlejšie navrhovanie a posudzovanie IPCEI</w:t>
        </w:r>
      </w:hyperlink>
      <w:r>
        <w:rPr>
          <w:sz w:val="24"/>
          <w:lang w:val="sk-SK"/>
        </w:rPr>
        <w:t>.</w:t>
      </w:r>
    </w:p>
  </w:footnote>
  <w:footnote w:id="1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101, 27.4.2004, s. 78.</w:t>
      </w:r>
    </w:p>
  </w:footnote>
  <w:footnote w:id="1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259, 21.7.2023, s. 1.</w:t>
      </w:r>
    </w:p>
  </w:footnote>
  <w:footnote w:id="1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Európsky hospodársky a sociálny výbor, </w:t>
      </w:r>
      <w:hyperlink r:id="rId3" w:history="1">
        <w:r>
          <w:rPr>
            <w:rStyle w:val="Hyperlink"/>
            <w:sz w:val="24"/>
            <w:lang w:val="sk-SK"/>
          </w:rPr>
          <w:t>Správa o politike hospodárskej súťaže – výročná správa za rok 2022</w:t>
        </w:r>
      </w:hyperlink>
      <w:r>
        <w:rPr>
          <w:sz w:val="24"/>
          <w:lang w:val="sk-SK"/>
        </w:rPr>
        <w:t>, 25. októbra 2023.</w:t>
      </w:r>
    </w:p>
  </w:footnote>
  <w:footnote w:id="2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OECD, </w:t>
      </w:r>
      <w:hyperlink r:id="rId4" w:history="1">
        <w:proofErr w:type="spellStart"/>
        <w:r>
          <w:rPr>
            <w:rStyle w:val="Hyperlink"/>
            <w:sz w:val="24"/>
            <w:lang w:val="sk-SK"/>
          </w:rPr>
          <w:t>Competition</w:t>
        </w:r>
        <w:proofErr w:type="spellEnd"/>
        <w:r>
          <w:rPr>
            <w:rStyle w:val="Hyperlink"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sz w:val="24"/>
            <w:lang w:val="sk-SK"/>
          </w:rPr>
          <w:t>Inflation</w:t>
        </w:r>
        <w:proofErr w:type="spellEnd"/>
        <w:r>
          <w:rPr>
            <w:rStyle w:val="Hyperlink"/>
            <w:sz w:val="24"/>
            <w:lang w:val="sk-SK"/>
          </w:rPr>
          <w:t>:</w:t>
        </w:r>
      </w:hyperlink>
      <w:hyperlink r:id="rId5" w:history="1">
        <w:r>
          <w:rPr>
            <w:rStyle w:val="Hyperlink"/>
            <w:sz w:val="24"/>
            <w:lang w:val="sk-SK"/>
          </w:rPr>
          <w:t xml:space="preserve"> OECD </w:t>
        </w:r>
        <w:proofErr w:type="spellStart"/>
        <w:r>
          <w:rPr>
            <w:rStyle w:val="Hyperlink"/>
            <w:sz w:val="24"/>
            <w:lang w:val="sk-SK"/>
          </w:rPr>
          <w:t>Competition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Policy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Roundtable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Background</w:t>
        </w:r>
        <w:proofErr w:type="spellEnd"/>
        <w:r>
          <w:rPr>
            <w:rStyle w:val="Hyperlink"/>
            <w:sz w:val="24"/>
            <w:lang w:val="sk-SK"/>
          </w:rPr>
          <w:t xml:space="preserve"> Note</w:t>
        </w:r>
      </w:hyperlink>
      <w:r>
        <w:rPr>
          <w:sz w:val="24"/>
          <w:lang w:val="sk-SK"/>
        </w:rPr>
        <w:t xml:space="preserve"> (Hospodárska súťaž a inflácia: Podkladový dokument k okrúhlemu stolu OECD o politike hospodárskej súťaže), 2022.</w:t>
      </w:r>
    </w:p>
  </w:footnote>
  <w:footnote w:id="2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Grécko, Nemecko.</w:t>
      </w:r>
    </w:p>
  </w:footnote>
  <w:footnote w:id="2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2016/1037 z 8. júna 2016 o ochrane pred subvencovanými dovozmi z krajín, ktoré nie sú členmi Európskej únie (Ú. v. EÚ L 176, 30.6.2016, s. 55).</w:t>
      </w:r>
    </w:p>
  </w:footnote>
  <w:footnote w:id="23">
    <w:p>
      <w:pPr>
        <w:pStyle w:val="FootnoteText"/>
        <w:ind w:left="567" w:hanging="567"/>
        <w:rPr>
          <w:color w:val="0563C1" w:themeColor="hyperlink"/>
          <w:sz w:val="24"/>
          <w:u w:val="single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Európsky orgán pre cenné papiere a trhy, </w:t>
      </w:r>
      <w:hyperlink r:id="rId6" w:history="1">
        <w:r>
          <w:rPr>
            <w:rStyle w:val="Hyperlink"/>
            <w:sz w:val="24"/>
            <w:lang w:val="sk-SK"/>
          </w:rPr>
          <w:t xml:space="preserve">Report on CRA </w:t>
        </w:r>
        <w:proofErr w:type="spellStart"/>
        <w:r>
          <w:rPr>
            <w:rStyle w:val="Hyperlink"/>
            <w:sz w:val="24"/>
            <w:lang w:val="sk-SK"/>
          </w:rPr>
          <w:t>Market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Share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Calculation</w:t>
        </w:r>
        <w:proofErr w:type="spellEnd"/>
      </w:hyperlink>
      <w:r>
        <w:rPr>
          <w:sz w:val="24"/>
          <w:lang w:val="sk-SK"/>
        </w:rPr>
        <w:t xml:space="preserve"> (Správa o výpočte podielu ratingových agentúr na trhu), 15. decembra 2022.</w:t>
      </w:r>
    </w:p>
  </w:footnote>
  <w:footnote w:id="2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Európska komisia, </w:t>
      </w:r>
      <w:hyperlink r:id="rId7" w:history="1">
        <w:proofErr w:type="spellStart"/>
        <w:r>
          <w:rPr>
            <w:rStyle w:val="Hyperlink"/>
            <w:sz w:val="24"/>
            <w:lang w:val="sk-SK"/>
          </w:rPr>
          <w:t>Booking</w:t>
        </w:r>
        <w:proofErr w:type="spellEnd"/>
        <w:r>
          <w:rPr>
            <w:rStyle w:val="Hyperlink"/>
            <w:sz w:val="24"/>
            <w:lang w:val="sk-SK"/>
          </w:rPr>
          <w:t xml:space="preserve"> Holdings/</w:t>
        </w:r>
        <w:proofErr w:type="spellStart"/>
        <w:r>
          <w:rPr>
            <w:rStyle w:val="Hyperlink"/>
            <w:sz w:val="24"/>
            <w:lang w:val="sk-SK"/>
          </w:rPr>
          <w:t>Etraveli</w:t>
        </w:r>
        <w:proofErr w:type="spellEnd"/>
        <w:r>
          <w:rPr>
            <w:rStyle w:val="Hyperlink"/>
            <w:sz w:val="24"/>
            <w:lang w:val="sk-SK"/>
          </w:rPr>
          <w:t xml:space="preserve"> Group</w:t>
        </w:r>
      </w:hyperlink>
      <w:r>
        <w:rPr>
          <w:sz w:val="24"/>
          <w:lang w:val="sk-SK"/>
        </w:rPr>
        <w:t>, dátum rozhodnutia 25. septembra 2023.</w:t>
      </w:r>
    </w:p>
  </w:footnote>
  <w:footnote w:id="2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Európska komisia, </w:t>
      </w:r>
      <w:hyperlink r:id="rId8" w:history="1">
        <w:proofErr w:type="spellStart"/>
        <w:r>
          <w:rPr>
            <w:rStyle w:val="Hyperlink"/>
            <w:sz w:val="24"/>
            <w:lang w:val="sk-SK"/>
          </w:rPr>
          <w:t>Antitrust</w:t>
        </w:r>
        <w:proofErr w:type="spellEnd"/>
        <w:r>
          <w:rPr>
            <w:rStyle w:val="Hyperlink"/>
            <w:sz w:val="24"/>
            <w:lang w:val="sk-SK"/>
          </w:rPr>
          <w:t>:</w:t>
        </w:r>
      </w:hyperlink>
      <w:hyperlink r:id="rId9" w:history="1"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Commission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opens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investigation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into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possible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anticompetitive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practices</w:t>
        </w:r>
        <w:proofErr w:type="spellEnd"/>
        <w:r>
          <w:rPr>
            <w:rStyle w:val="Hyperlink"/>
            <w:sz w:val="24"/>
            <w:lang w:val="sk-SK"/>
          </w:rPr>
          <w:t xml:space="preserve"> by Microsoft </w:t>
        </w:r>
        <w:proofErr w:type="spellStart"/>
        <w:r>
          <w:rPr>
            <w:rStyle w:val="Hyperlink"/>
            <w:sz w:val="24"/>
            <w:lang w:val="sk-SK"/>
          </w:rPr>
          <w:t>regarding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Teams</w:t>
        </w:r>
        <w:proofErr w:type="spellEnd"/>
      </w:hyperlink>
      <w:r>
        <w:rPr>
          <w:sz w:val="24"/>
          <w:lang w:val="sk-SK"/>
        </w:rPr>
        <w:t xml:space="preserve"> (</w:t>
      </w:r>
      <w:proofErr w:type="spellStart"/>
      <w:r>
        <w:rPr>
          <w:sz w:val="24"/>
          <w:lang w:val="sk-SK"/>
        </w:rPr>
        <w:t>Antitrust</w:t>
      </w:r>
      <w:proofErr w:type="spellEnd"/>
      <w:r>
        <w:rPr>
          <w:sz w:val="24"/>
          <w:lang w:val="sk-SK"/>
        </w:rPr>
        <w:t xml:space="preserve">: Komisia začala vyšetrovanie možných protisúťažných praktík spoločnosti Microsoft v súvislosti s aplikáciou </w:t>
      </w:r>
      <w:proofErr w:type="spellStart"/>
      <w:r>
        <w:rPr>
          <w:sz w:val="24"/>
          <w:lang w:val="sk-SK"/>
        </w:rPr>
        <w:t>Teams</w:t>
      </w:r>
      <w:proofErr w:type="spellEnd"/>
      <w:r>
        <w:rPr>
          <w:sz w:val="24"/>
          <w:lang w:val="sk-SK"/>
        </w:rPr>
        <w:t>), 27. júla 2023.</w:t>
      </w:r>
    </w:p>
  </w:footnote>
  <w:footnote w:id="2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0" w:history="1">
        <w:r>
          <w:rPr>
            <w:rStyle w:val="Hyperlink"/>
            <w:sz w:val="24"/>
            <w:lang w:val="sk-SK"/>
          </w:rPr>
          <w:t>Pozri oficiálne rozhodnutia</w:t>
        </w:r>
      </w:hyperlink>
      <w:r>
        <w:rPr>
          <w:sz w:val="24"/>
          <w:lang w:val="sk-SK"/>
        </w:rPr>
        <w:t xml:space="preserve"> DMA. 100044, 100040, 100035, 100027, 100026, 100025, 100024, 100020, 100018, 100017, 100016, 100013, 100011.</w:t>
      </w:r>
    </w:p>
  </w:footnote>
  <w:footnote w:id="2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Európska komisia, Štúdia o vplyve nedávneho vývoja v oblasti digitálnej reklamy na súkromie, vydavateľov a inzerentov, s. 263 – 264.</w:t>
      </w:r>
    </w:p>
  </w:footnote>
  <w:footnote w:id="28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2022/2065 z 19. októbra 2022 o jednotnom trhu s digitálnymi službami a o zmene smernice 2000/31/ES (Ú. v. EÚ L 277, 27.10.2022, s. 1).</w:t>
      </w:r>
    </w:p>
  </w:footnote>
  <w:footnote w:id="29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Rozhodnutie DMA. 100015; DMA. 100028 a DMA. 100034.</w:t>
      </w:r>
    </w:p>
  </w:footnote>
  <w:footnote w:id="30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Rozhodnutie DMA. 100047 a DMA. 100022.</w:t>
      </w:r>
    </w:p>
  </w:footnote>
  <w:footnote w:id="3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2016/679 z 27. apríla 2016 o ochrane fyzických osôb pri spracúvaní osobných údajov a o voľnom pohybe takýchto údajov, ktorým sa zrušuje smernica 95/46/ES (všeobecné nariadenie o ochrane údajov) (Ú. v. EÚ L 119, 4.5.2016, s. 1).</w:t>
      </w:r>
    </w:p>
  </w:footnote>
  <w:footnote w:id="3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Samit G7 v Hirošime, </w:t>
      </w:r>
      <w:hyperlink r:id="rId11" w:history="1">
        <w:proofErr w:type="spellStart"/>
        <w:r>
          <w:rPr>
            <w:rStyle w:val="Hyperlink"/>
            <w:sz w:val="24"/>
            <w:lang w:val="sk-SK"/>
          </w:rPr>
          <w:t>Compendium</w:t>
        </w:r>
        <w:proofErr w:type="spellEnd"/>
        <w:r>
          <w:rPr>
            <w:rStyle w:val="Hyperlink"/>
            <w:sz w:val="24"/>
            <w:lang w:val="sk-SK"/>
          </w:rPr>
          <w:t xml:space="preserve"> of </w:t>
        </w:r>
        <w:proofErr w:type="spellStart"/>
        <w:r>
          <w:rPr>
            <w:rStyle w:val="Hyperlink"/>
            <w:sz w:val="24"/>
            <w:lang w:val="sk-SK"/>
          </w:rPr>
          <w:t>approaches</w:t>
        </w:r>
        <w:proofErr w:type="spellEnd"/>
        <w:r>
          <w:rPr>
            <w:rStyle w:val="Hyperlink"/>
            <w:sz w:val="24"/>
            <w:lang w:val="sk-SK"/>
          </w:rPr>
          <w:t xml:space="preserve"> to </w:t>
        </w:r>
        <w:proofErr w:type="spellStart"/>
        <w:r>
          <w:rPr>
            <w:rStyle w:val="Hyperlink"/>
            <w:sz w:val="24"/>
            <w:lang w:val="sk-SK"/>
          </w:rPr>
          <w:t>improving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competition</w:t>
        </w:r>
        <w:proofErr w:type="spellEnd"/>
        <w:r>
          <w:rPr>
            <w:rStyle w:val="Hyperlink"/>
            <w:sz w:val="24"/>
            <w:lang w:val="sk-SK"/>
          </w:rPr>
          <w:t xml:space="preserve"> in </w:t>
        </w:r>
        <w:proofErr w:type="spellStart"/>
        <w:r>
          <w:rPr>
            <w:rStyle w:val="Hyperlink"/>
            <w:sz w:val="24"/>
            <w:lang w:val="sk-SK"/>
          </w:rPr>
          <w:t>digital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markets</w:t>
        </w:r>
        <w:proofErr w:type="spellEnd"/>
      </w:hyperlink>
      <w:r>
        <w:rPr>
          <w:sz w:val="24"/>
          <w:lang w:val="sk-SK"/>
        </w:rPr>
        <w:t xml:space="preserve"> (Kompendium prístupov k zlepšeniu hospodárskej súťaže na digitálnych trhoch), 8. novembra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7/2023"/>
    <w:docVar w:name="dvlangue" w:val="SK"/>
    <w:docVar w:name="dvnumam" w:val="0"/>
    <w:docVar w:name="dvpe" w:val="753.544"/>
    <w:docVar w:name="dvrapporteur" w:val="Spravodajkyňa: "/>
    <w:docVar w:name="dvtitre" w:val="Uznesenie Európskeho parlamentu zo 16. januára 2024 o politike hospodárskej súťaže – výročná správa za rok 2023(2023/2077(INI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78837-B348-41E4-8A36-BFF037DD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commission/presscorner/detail/en/ip_23_3991" TargetMode="External"/><Relationship Id="rId3" Type="http://schemas.openxmlformats.org/officeDocument/2006/relationships/hyperlink" Target="https://www.eesc.europa.eu/en/our-work/opinions-information-reports/opinions/report-competition-policy-2022" TargetMode="External"/><Relationship Id="rId7" Type="http://schemas.openxmlformats.org/officeDocument/2006/relationships/hyperlink" Target="file:///\\ipolbrusncf01\userdocs$\vunguroiu\Documents\DocEP\TEMP\&#8216;Booking%20Holdings\Etraveli%20Group&#8217;" TargetMode="External"/><Relationship Id="rId2" Type="http://schemas.openxmlformats.org/officeDocument/2006/relationships/hyperlink" Target="https://competition-policy.ec.europa.eu/system/files/2023-05/IPCEIs_DG_COMP_code_of_good_practices.pdf" TargetMode="External"/><Relationship Id="rId1" Type="http://schemas.openxmlformats.org/officeDocument/2006/relationships/hyperlink" Target="https://state-of-the-union.ec.europa.eu/index_en" TargetMode="External"/><Relationship Id="rId6" Type="http://schemas.openxmlformats.org/officeDocument/2006/relationships/hyperlink" Target="https://www.esma.europa.eu/sites/default/files/library/esma80-416-1564_report_on_cra_market_share_calculation_2022.pdf" TargetMode="External"/><Relationship Id="rId11" Type="http://schemas.openxmlformats.org/officeDocument/2006/relationships/hyperlink" Target="https://www.jftc.go.jp/en/pressreleases/yearly-2023/November/231108G7_result2EN.pdf" TargetMode="External"/><Relationship Id="rId5" Type="http://schemas.openxmlformats.org/officeDocument/2006/relationships/hyperlink" Target="https://www.oecd.org/daf/competition/competition-and-inflation-2022.pdf" TargetMode="External"/><Relationship Id="rId10" Type="http://schemas.openxmlformats.org/officeDocument/2006/relationships/hyperlink" Target="https://digital-markets-act-cases.ec.europa.eu/search" TargetMode="External"/><Relationship Id="rId4" Type="http://schemas.openxmlformats.org/officeDocument/2006/relationships/hyperlink" Target="https://www.oecd.org/daf/competition/competition-and-inflation-2022.pdf" TargetMode="External"/><Relationship Id="rId9" Type="http://schemas.openxmlformats.org/officeDocument/2006/relationships/hyperlink" Target="https://ec.europa.eu/commission/presscorner/detail/en/ip_23_39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190A-ED07-48ED-B3B4-11EF2D5A5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4731</Words>
  <Characters>29675</Characters>
  <Application>Microsoft Office Word</Application>
  <DocSecurity>0</DocSecurity>
  <Lines>247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2024-01-16T13:30:00Z</dcterms:created>
  <dcterms:modified xsi:type="dcterms:W3CDTF">2024-01-16T13:30:00Z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A9-0427/2023</vt:lpwstr>
  </property>
  <property fmtid="{D5CDD505-2E9C-101B-9397-08002B2CF9AE}" pid="4" name="&lt;Type&gt;">
    <vt:lpwstr>RR</vt:lpwstr>
  </property>
</Properties>
</file>