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7A07" w:rsidTr="0010095E">
        <w:trPr>
          <w:trHeight w:hRule="exact" w:val="1418"/>
        </w:trPr>
        <w:tc>
          <w:tcPr>
            <w:tcW w:w="6804" w:type="dxa"/>
            <w:shd w:val="clear" w:color="auto" w:fill="auto"/>
            <w:vAlign w:val="center"/>
          </w:tcPr>
          <w:p w:rsidR="00751A4A" w:rsidRPr="00C07A07" w:rsidRDefault="00B02893" w:rsidP="0010095E">
            <w:pPr>
              <w:pStyle w:val="EPName"/>
            </w:pPr>
            <w:r w:rsidRPr="00C07A07">
              <w:t>Europaparlamentet</w:t>
            </w:r>
          </w:p>
          <w:p w:rsidR="00751A4A" w:rsidRPr="00C07A07" w:rsidRDefault="00817416" w:rsidP="00756632">
            <w:pPr>
              <w:pStyle w:val="EPTerm"/>
              <w:rPr>
                <w:rStyle w:val="HideTWBExt"/>
                <w:noProof w:val="0"/>
                <w:vanish w:val="0"/>
                <w:color w:val="auto"/>
              </w:rPr>
            </w:pPr>
            <w:r w:rsidRPr="00C07A07">
              <w:t>2019-2024</w:t>
            </w:r>
          </w:p>
        </w:tc>
        <w:tc>
          <w:tcPr>
            <w:tcW w:w="2268" w:type="dxa"/>
            <w:shd w:val="clear" w:color="auto" w:fill="auto"/>
          </w:tcPr>
          <w:p w:rsidR="00751A4A" w:rsidRPr="00C07A07" w:rsidRDefault="00187494" w:rsidP="0010095E">
            <w:pPr>
              <w:pStyle w:val="EPLogo"/>
            </w:pPr>
            <w:r w:rsidRPr="00C07A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7A07" w:rsidRDefault="00D058B8" w:rsidP="004C5D52">
      <w:pPr>
        <w:pStyle w:val="LineTop"/>
      </w:pPr>
    </w:p>
    <w:p w:rsidR="00680577" w:rsidRPr="00C07A07" w:rsidRDefault="00B02893" w:rsidP="00680577">
      <w:pPr>
        <w:pStyle w:val="EPBodyTA1"/>
      </w:pPr>
      <w:r w:rsidRPr="00C07A07">
        <w:t>ANTAGNA TEXTER</w:t>
      </w:r>
    </w:p>
    <w:p w:rsidR="00D058B8" w:rsidRPr="00C07A07" w:rsidRDefault="00D058B8" w:rsidP="00D058B8">
      <w:pPr>
        <w:pStyle w:val="LineBottom"/>
      </w:pPr>
    </w:p>
    <w:p w:rsidR="00B02893" w:rsidRPr="00C07A07" w:rsidRDefault="00B02893" w:rsidP="00B02893">
      <w:pPr>
        <w:pStyle w:val="ATHeading1"/>
      </w:pPr>
      <w:bookmarkStart w:id="0" w:name="TANumber"/>
      <w:r w:rsidRPr="00C07A07">
        <w:t>P9_TA(2024)00</w:t>
      </w:r>
      <w:r w:rsidR="0002724C">
        <w:t>11</w:t>
      </w:r>
      <w:bookmarkEnd w:id="0"/>
    </w:p>
    <w:p w:rsidR="00B02893" w:rsidRPr="00C07A07" w:rsidRDefault="00B02893" w:rsidP="00B02893">
      <w:pPr>
        <w:pStyle w:val="ATHeading2"/>
      </w:pPr>
      <w:bookmarkStart w:id="1" w:name="title"/>
      <w:r w:rsidRPr="00C07A07">
        <w:t>Konkurrenspolitiken – årsrapport 2023</w:t>
      </w:r>
      <w:bookmarkEnd w:id="1"/>
    </w:p>
    <w:p w:rsidR="00B02893" w:rsidRPr="00C07A07" w:rsidRDefault="00B02893" w:rsidP="00B02893">
      <w:pPr>
        <w:rPr>
          <w:i/>
          <w:vanish/>
        </w:rPr>
      </w:pPr>
      <w:r w:rsidRPr="00C07A07">
        <w:rPr>
          <w:i/>
        </w:rPr>
        <w:fldChar w:fldCharType="begin"/>
      </w:r>
      <w:r w:rsidRPr="00C07A07">
        <w:rPr>
          <w:i/>
        </w:rPr>
        <w:instrText xml:space="preserve"> TC"(</w:instrText>
      </w:r>
      <w:bookmarkStart w:id="2" w:name="DocNumber"/>
      <w:r w:rsidRPr="00C07A07">
        <w:rPr>
          <w:i/>
        </w:rPr>
        <w:instrText>A9-0427/2023</w:instrText>
      </w:r>
      <w:bookmarkEnd w:id="2"/>
      <w:r w:rsidRPr="00C07A07">
        <w:rPr>
          <w:i/>
        </w:rPr>
        <w:instrText xml:space="preserve"> - Föredragande: Stéphanie Yon</w:instrText>
      </w:r>
      <w:r w:rsidRPr="00C07A07">
        <w:rPr>
          <w:i/>
        </w:rPr>
        <w:noBreakHyphen/>
        <w:instrText xml:space="preserve">Courtin)"\l3 \n&gt; \* MERGEFORMAT </w:instrText>
      </w:r>
      <w:r w:rsidRPr="00C07A07">
        <w:rPr>
          <w:i/>
        </w:rPr>
        <w:fldChar w:fldCharType="end"/>
      </w:r>
    </w:p>
    <w:p w:rsidR="00B02893" w:rsidRPr="00C07A07" w:rsidRDefault="00B02893" w:rsidP="00B02893">
      <w:pPr>
        <w:rPr>
          <w:vanish/>
        </w:rPr>
      </w:pPr>
      <w:bookmarkStart w:id="3" w:name="Commission"/>
      <w:r w:rsidRPr="00C07A07">
        <w:rPr>
          <w:vanish/>
        </w:rPr>
        <w:t>Utskottet för ekonomi och valutafrågor</w:t>
      </w:r>
      <w:bookmarkEnd w:id="3"/>
    </w:p>
    <w:p w:rsidR="00B02893" w:rsidRPr="00C07A07" w:rsidRDefault="00B02893" w:rsidP="00B02893">
      <w:pPr>
        <w:rPr>
          <w:vanish/>
        </w:rPr>
      </w:pPr>
      <w:bookmarkStart w:id="4" w:name="PE"/>
      <w:r w:rsidRPr="00C07A07">
        <w:rPr>
          <w:vanish/>
        </w:rPr>
        <w:t>PE753.544</w:t>
      </w:r>
      <w:bookmarkEnd w:id="4"/>
    </w:p>
    <w:p w:rsidR="00B02893" w:rsidRPr="00C07A07" w:rsidRDefault="00B02893" w:rsidP="00B02893">
      <w:pPr>
        <w:pStyle w:val="ATHeading3"/>
      </w:pPr>
      <w:bookmarkStart w:id="5" w:name="Sujet"/>
      <w:r w:rsidRPr="00C07A07">
        <w:t>Europap</w:t>
      </w:r>
      <w:r w:rsidR="005B04D3">
        <w:t>arlamentets resolution av den 16</w:t>
      </w:r>
      <w:r w:rsidRPr="00C07A07">
        <w:t xml:space="preserve"> </w:t>
      </w:r>
      <w:r w:rsidR="002B72EC">
        <w:t>januari</w:t>
      </w:r>
      <w:r w:rsidRPr="00C07A07">
        <w:t xml:space="preserve"> 2024 om konkurrenspolitiken – årsrapport 2023</w:t>
      </w:r>
      <w:bookmarkEnd w:id="5"/>
      <w:r w:rsidRPr="00C07A07">
        <w:t xml:space="preserve"> </w:t>
      </w:r>
      <w:bookmarkStart w:id="6" w:name="References"/>
      <w:r w:rsidRPr="00C07A07">
        <w:t>(2023/2077(INI))</w:t>
      </w:r>
      <w:bookmarkEnd w:id="6"/>
    </w:p>
    <w:p w:rsidR="00CC282A" w:rsidRPr="00C07A07" w:rsidRDefault="00CC282A" w:rsidP="00CC282A">
      <w:pPr>
        <w:pStyle w:val="EPComma"/>
        <w:widowControl/>
      </w:pPr>
      <w:bookmarkStart w:id="7" w:name="TextBodyBegin"/>
      <w:bookmarkEnd w:id="7"/>
      <w:r w:rsidRPr="00C07A07">
        <w:rPr>
          <w:i/>
        </w:rPr>
        <w:t>Europaparlamentet utfärdar denna resolution</w:t>
      </w:r>
    </w:p>
    <w:p w:rsidR="00CC282A" w:rsidRPr="00C07A07" w:rsidRDefault="00CC282A" w:rsidP="00CC282A">
      <w:pPr>
        <w:pStyle w:val="NormalHanging12a"/>
        <w:widowControl/>
      </w:pPr>
      <w:r w:rsidRPr="00C07A07">
        <w:t>–</w:t>
      </w:r>
      <w:r w:rsidRPr="00C07A07">
        <w:tab/>
        <w:t xml:space="preserve">med beaktande av fördraget om Europeiska unionens funktionssätt, i synnerhet artiklarna 101–109, </w:t>
      </w:r>
    </w:p>
    <w:p w:rsidR="00CC282A" w:rsidRPr="00C07A07" w:rsidRDefault="00CC282A" w:rsidP="00CC282A">
      <w:pPr>
        <w:pStyle w:val="NormalHanging12a"/>
        <w:widowControl/>
      </w:pPr>
      <w:r w:rsidRPr="00C07A07">
        <w:t>–</w:t>
      </w:r>
      <w:r w:rsidRPr="00C07A07">
        <w:tab/>
        <w:t>med beaktande av kommissionens relevanta regler, riktlinjer, resolutioner, offentliga samråd, meddelanden och dokument om konkurrens,</w:t>
      </w:r>
    </w:p>
    <w:p w:rsidR="00CC282A" w:rsidRPr="00C07A07" w:rsidRDefault="00CC282A" w:rsidP="00CC282A">
      <w:pPr>
        <w:pStyle w:val="NormalHanging12a"/>
        <w:widowControl/>
      </w:pPr>
      <w:r w:rsidRPr="00C07A07">
        <w:t>–</w:t>
      </w:r>
      <w:r w:rsidRPr="00C07A07">
        <w:tab/>
        <w:t xml:space="preserve">med beaktande av kommissionens rapport av den 4 april 2023 om konkurrenspolitiken för 2022 (COM(2023)0184), och det åtföljande arbetsdokumentet från kommissionen (SWD(2023)0076), </w:t>
      </w:r>
    </w:p>
    <w:p w:rsidR="00CC282A" w:rsidRPr="00C07A07" w:rsidRDefault="00CC282A" w:rsidP="00CC282A">
      <w:pPr>
        <w:pStyle w:val="NormalHanging12a"/>
        <w:widowControl/>
      </w:pPr>
      <w:r w:rsidRPr="00C07A07">
        <w:t>–</w:t>
      </w:r>
      <w:r w:rsidRPr="00C07A07">
        <w:tab/>
        <w:t>med beaktande av sin resolution av den 13 juni 2023 om konkurrenspolitiken – årsrapport 2022</w:t>
      </w:r>
      <w:r w:rsidRPr="00C07A07">
        <w:rPr>
          <w:rStyle w:val="FootnoteReference"/>
        </w:rPr>
        <w:footnoteReference w:id="1"/>
      </w:r>
      <w:r w:rsidRPr="00C07A07">
        <w:t xml:space="preserve">, </w:t>
      </w:r>
    </w:p>
    <w:p w:rsidR="00CC282A" w:rsidRPr="00C07A07" w:rsidRDefault="00CC282A" w:rsidP="00CC282A">
      <w:pPr>
        <w:pStyle w:val="NormalHanging12a"/>
        <w:widowControl/>
      </w:pPr>
      <w:r w:rsidRPr="00C07A07">
        <w:t>–</w:t>
      </w:r>
      <w:r w:rsidRPr="00C07A07">
        <w:tab/>
        <w:t xml:space="preserve">med beaktande av kommissionens meddelande av den 11 december 2019 </w:t>
      </w:r>
      <w:r w:rsidRPr="00C07A07">
        <w:rPr>
          <w:i/>
          <w:iCs/>
        </w:rPr>
        <w:t>Den europeiska gröna given</w:t>
      </w:r>
      <w:r w:rsidRPr="00C07A07">
        <w:t xml:space="preserve"> (COM(2019)0640), </w:t>
      </w:r>
    </w:p>
    <w:p w:rsidR="00CC282A" w:rsidRPr="00C07A07" w:rsidRDefault="00CC282A" w:rsidP="00CC282A">
      <w:pPr>
        <w:pStyle w:val="NormalHanging12a"/>
        <w:widowControl/>
      </w:pPr>
      <w:r w:rsidRPr="00C07A07">
        <w:t>–</w:t>
      </w:r>
      <w:r w:rsidRPr="00C07A07">
        <w:tab/>
        <w:t xml:space="preserve">med beaktande av kommissionens reviderade riktlinjer för statligt stöd för att främja riskfinansieringsinvesteringar, som offentliggjordes den 6 december 2021, </w:t>
      </w:r>
    </w:p>
    <w:p w:rsidR="00CC282A" w:rsidRPr="00C07A07" w:rsidRDefault="00CC282A" w:rsidP="00CC282A">
      <w:pPr>
        <w:pStyle w:val="NormalHanging12a"/>
        <w:widowControl/>
      </w:pPr>
      <w:r w:rsidRPr="00C07A07">
        <w:t>–</w:t>
      </w:r>
      <w:r w:rsidRPr="00C07A07">
        <w:tab/>
        <w:t>med beaktande av Europeiska unionens domstols dom av den 13 juli 2022 i mål T</w:t>
      </w:r>
      <w:r w:rsidRPr="00C07A07">
        <w:noBreakHyphen/>
        <w:t>227/21</w:t>
      </w:r>
      <w:r w:rsidRPr="00C07A07">
        <w:rPr>
          <w:rStyle w:val="FootnoteReference"/>
        </w:rPr>
        <w:footnoteReference w:id="2"/>
      </w:r>
      <w:r w:rsidRPr="00C07A07">
        <w:t xml:space="preserve">, </w:t>
      </w:r>
    </w:p>
    <w:p w:rsidR="00CC282A" w:rsidRPr="00C07A07" w:rsidRDefault="00CC282A" w:rsidP="00CC282A">
      <w:pPr>
        <w:pStyle w:val="NormalHanging12a"/>
        <w:widowControl/>
      </w:pPr>
      <w:r w:rsidRPr="00C07A07">
        <w:t>–</w:t>
      </w:r>
      <w:r w:rsidRPr="00C07A07">
        <w:tab/>
        <w:t>med beaktande av kommissionens meddelande av den 24 mars 2022 om den tillfälliga krisramen för statliga stödåtgärder till stöd för ekonomin till följd av Rysslands angrepp mot Ukraina</w:t>
      </w:r>
      <w:r w:rsidRPr="00C07A07">
        <w:rPr>
          <w:rStyle w:val="FootnoteReference"/>
        </w:rPr>
        <w:footnoteReference w:id="3"/>
      </w:r>
      <w:r w:rsidRPr="00C07A07">
        <w:t>,</w:t>
      </w:r>
    </w:p>
    <w:p w:rsidR="00CC282A" w:rsidRPr="00C07A07" w:rsidRDefault="00CC282A" w:rsidP="00CC282A">
      <w:pPr>
        <w:pStyle w:val="NormalHanging12a"/>
        <w:widowControl/>
      </w:pPr>
      <w:r w:rsidRPr="00C07A07">
        <w:lastRenderedPageBreak/>
        <w:t>–</w:t>
      </w:r>
      <w:r w:rsidRPr="00C07A07">
        <w:tab/>
        <w:t>med beaktande av rådets förordning (EG) nr 139/2004 av den 20 januari 2004 om kontroll av företagskoncentrationer (EG:s koncentrationsförordning)</w:t>
      </w:r>
      <w:r w:rsidRPr="00C07A07">
        <w:rPr>
          <w:rStyle w:val="FootnoteReference"/>
        </w:rPr>
        <w:footnoteReference w:id="4"/>
      </w:r>
      <w:r w:rsidRPr="00C07A07">
        <w:t>,</w:t>
      </w:r>
    </w:p>
    <w:p w:rsidR="00CC282A" w:rsidRPr="00C07A07" w:rsidRDefault="00CC282A" w:rsidP="00CC282A">
      <w:pPr>
        <w:pStyle w:val="NormalHanging12a"/>
        <w:widowControl/>
      </w:pPr>
      <w:r w:rsidRPr="00C07A07">
        <w:t>–</w:t>
      </w:r>
      <w:r w:rsidRPr="00C07A07">
        <w:tab/>
        <w:t>med beaktande av Europaparlamentets och rådets förordning (EU) 2022/1925 av den 14 september 2022 om öppna och rättvisa marknader inom den digitala sektorn och om ändring av direktiv (EU) 2019/1937 och (EU) 2020/1828 (rättsakten om digitala marknader)</w:t>
      </w:r>
      <w:r w:rsidRPr="00C07A07">
        <w:rPr>
          <w:rStyle w:val="FootnoteReference"/>
        </w:rPr>
        <w:footnoteReference w:id="5"/>
      </w:r>
      <w:r w:rsidRPr="00C07A07">
        <w:t>,</w:t>
      </w:r>
    </w:p>
    <w:p w:rsidR="00CC282A" w:rsidRPr="00C07A07" w:rsidRDefault="00CC282A" w:rsidP="00CC282A">
      <w:pPr>
        <w:pStyle w:val="NormalHanging12a"/>
        <w:widowControl/>
      </w:pPr>
      <w:r w:rsidRPr="00C07A07">
        <w:t>–</w:t>
      </w:r>
      <w:r w:rsidRPr="00C07A07">
        <w:tab/>
        <w:t>med beaktande av Europaparlamentets och rådets direktiv (EU) 2019/1 av den 11 december 2018 om att ge medlemsstaternas konkurrensmyndigheter befogenhet att mer effektivt kontrollera efterlevnaden av konkurrensreglerna och om att säkerställa en väl fungerande inre marknad</w:t>
      </w:r>
      <w:r w:rsidRPr="00C07A07">
        <w:rPr>
          <w:rStyle w:val="FootnoteReference"/>
        </w:rPr>
        <w:footnoteReference w:id="6"/>
      </w:r>
      <w:r w:rsidRPr="00C07A07">
        <w:t>,</w:t>
      </w:r>
    </w:p>
    <w:p w:rsidR="00CC282A" w:rsidRPr="00C07A07" w:rsidRDefault="00CC282A" w:rsidP="00CC282A">
      <w:pPr>
        <w:pStyle w:val="NormalHanging12a"/>
        <w:widowControl/>
      </w:pPr>
      <w:r w:rsidRPr="00C07A07">
        <w:t>–</w:t>
      </w:r>
      <w:r w:rsidRPr="00C07A07">
        <w:tab/>
        <w:t>med beaktande av rådets förordning (EG) nr 1/2003 av den 16 december 2002 om tillämpning av konkurrensreglerna i artiklarna 81 och 82 i fördraget</w:t>
      </w:r>
      <w:r w:rsidRPr="00C07A07">
        <w:rPr>
          <w:rStyle w:val="FootnoteReference"/>
        </w:rPr>
        <w:footnoteReference w:id="7"/>
      </w:r>
      <w:r w:rsidRPr="00C07A07">
        <w:t>,</w:t>
      </w:r>
    </w:p>
    <w:p w:rsidR="00CC282A" w:rsidRPr="00C07A07" w:rsidRDefault="00CC282A" w:rsidP="00CC282A">
      <w:pPr>
        <w:pStyle w:val="NormalHanging12a"/>
        <w:widowControl/>
      </w:pPr>
      <w:r w:rsidRPr="00C07A07">
        <w:t>–</w:t>
      </w:r>
      <w:r w:rsidRPr="00C07A07">
        <w:tab/>
        <w:t>med beaktande av kommissionens förordning (EG) nr 773/2004 av den 7 april 2004 om kommissionens förfaranden enligt artiklarna 81 och 82 i EG-fördraget</w:t>
      </w:r>
      <w:r w:rsidRPr="00C07A07">
        <w:rPr>
          <w:rStyle w:val="FootnoteReference"/>
        </w:rPr>
        <w:footnoteReference w:id="8"/>
      </w:r>
      <w:r w:rsidRPr="00C07A07">
        <w:t>,</w:t>
      </w:r>
    </w:p>
    <w:p w:rsidR="00CC282A" w:rsidRPr="00C07A07" w:rsidRDefault="00CC282A" w:rsidP="00CC282A">
      <w:pPr>
        <w:pStyle w:val="NormalHanging12a"/>
        <w:widowControl/>
      </w:pPr>
      <w:r w:rsidRPr="00C07A07">
        <w:t>–</w:t>
      </w:r>
      <w:r w:rsidRPr="00C07A07">
        <w:tab/>
        <w:t xml:space="preserve">med beaktande av kommissionens meddelande av den 18 februari 2022 </w:t>
      </w:r>
      <w:r w:rsidRPr="00C07A07">
        <w:rPr>
          <w:i/>
          <w:iCs/>
        </w:rPr>
        <w:t>Riktlinjer för statligt stöd till klimat- och miljöskydd samt energi 2022</w:t>
      </w:r>
      <w:r w:rsidRPr="00C07A07">
        <w:rPr>
          <w:rStyle w:val="FootnoteReference"/>
        </w:rPr>
        <w:footnoteReference w:id="9"/>
      </w:r>
      <w:r w:rsidRPr="00C07A07">
        <w:t>,</w:t>
      </w:r>
    </w:p>
    <w:p w:rsidR="00CC282A" w:rsidRPr="00C07A07" w:rsidRDefault="00CC282A" w:rsidP="00CC282A">
      <w:pPr>
        <w:pStyle w:val="NormalHanging12a"/>
        <w:widowControl/>
      </w:pPr>
      <w:r w:rsidRPr="00C07A07">
        <w:t>–</w:t>
      </w:r>
      <w:r w:rsidRPr="00C07A07">
        <w:tab/>
        <w:t>med beaktande av kommissionens meddelande av den 31 januari 2023 om riktlinjer för statligt stöd till bredbandsnät</w:t>
      </w:r>
      <w:r w:rsidRPr="00C07A07">
        <w:rPr>
          <w:rStyle w:val="FootnoteReference"/>
        </w:rPr>
        <w:footnoteReference w:id="10"/>
      </w:r>
      <w:r w:rsidRPr="00C07A07">
        <w:t>,</w:t>
      </w:r>
    </w:p>
    <w:p w:rsidR="00CC282A" w:rsidRPr="00C07A07" w:rsidRDefault="00CC282A" w:rsidP="00CC282A">
      <w:pPr>
        <w:pStyle w:val="NormalHanging12a"/>
        <w:widowControl/>
      </w:pPr>
      <w:r w:rsidRPr="00C07A07">
        <w:t>–</w:t>
      </w:r>
      <w:r w:rsidRPr="00C07A07">
        <w:tab/>
        <w:t>med beaktande av utkastet till kommissionens tillkännagivande om definitionen av relevant marknad i unionens konkurrenslagstiftning,</w:t>
      </w:r>
    </w:p>
    <w:p w:rsidR="00CC282A" w:rsidRPr="00C07A07" w:rsidRDefault="00CC282A" w:rsidP="00CC282A">
      <w:pPr>
        <w:pStyle w:val="NormalHanging12a"/>
        <w:widowControl/>
      </w:pPr>
      <w:r w:rsidRPr="00C07A07">
        <w:t>–</w:t>
      </w:r>
      <w:r w:rsidRPr="00C07A07">
        <w:tab/>
        <w:t xml:space="preserve">med beaktande av arbetsdokumentet från kommissionens avdelningar av den 1 december 2022 om statsstödsregler på hälsoområdet </w:t>
      </w:r>
      <w:r w:rsidRPr="00C07A07">
        <w:rPr>
          <w:i/>
          <w:iCs/>
        </w:rPr>
        <w:t>Evaluation of the State subsidy rules for health and social services of general economic interest (‘SGEIs’) and of the SGEI de minimis Regulation</w:t>
      </w:r>
      <w:r w:rsidRPr="00C07A07">
        <w:t xml:space="preserve"> (SWD(2022)0388),</w:t>
      </w:r>
    </w:p>
    <w:p w:rsidR="00CC282A" w:rsidRPr="00C07A07" w:rsidRDefault="00CC282A" w:rsidP="00CC282A">
      <w:pPr>
        <w:pStyle w:val="NormalHanging12a"/>
        <w:widowControl/>
      </w:pPr>
      <w:r w:rsidRPr="00C07A07">
        <w:t>–</w:t>
      </w:r>
      <w:r w:rsidRPr="00C07A07">
        <w:tab/>
        <w:t>med beaktande av ikraftträdandet den 1 september 2023 av det åtgärdspaket som antogs den 20 april 2023 och som syftar till att förenkla och rationalisera förfarandena för granskning av vissa koncentrationer som inte ger upphov till konkurrensproblem (C(2023)2400, C(2023)2401, C(2023)2402),</w:t>
      </w:r>
    </w:p>
    <w:p w:rsidR="00CC282A" w:rsidRPr="00C07A07" w:rsidRDefault="00CC282A" w:rsidP="00CC282A">
      <w:pPr>
        <w:pStyle w:val="NormalHanging12a"/>
        <w:widowControl/>
      </w:pPr>
      <w:r w:rsidRPr="00C07A07">
        <w:t>–</w:t>
      </w:r>
      <w:r w:rsidRPr="00C07A07">
        <w:tab/>
        <w:t>med beaktande av Europaparlamentets och rådets förordning (EU) 2022/2560 av den 14 december 2022 om utländska subventioner som snedvrider den inre marknaden</w:t>
      </w:r>
      <w:r w:rsidRPr="00C07A07">
        <w:rPr>
          <w:rStyle w:val="FootnoteReference"/>
        </w:rPr>
        <w:footnoteReference w:id="11"/>
      </w:r>
      <w:r w:rsidRPr="00C07A07">
        <w:t>,</w:t>
      </w:r>
    </w:p>
    <w:p w:rsidR="00CC282A" w:rsidRPr="00C07A07" w:rsidRDefault="00CC282A" w:rsidP="00CC282A">
      <w:pPr>
        <w:pStyle w:val="NormalHanging12a"/>
        <w:widowControl/>
      </w:pPr>
      <w:r w:rsidRPr="00C07A07">
        <w:lastRenderedPageBreak/>
        <w:t>–</w:t>
      </w:r>
      <w:r w:rsidRPr="00C07A07">
        <w:tab/>
        <w:t>med beaktande av talet om tillståndet i unionen 2023, som hölls av kommissionens ordförande Ursula von der Leyen</w:t>
      </w:r>
      <w:r w:rsidRPr="00C07A07">
        <w:rPr>
          <w:rStyle w:val="FootnoteReference"/>
        </w:rPr>
        <w:footnoteReference w:id="12"/>
      </w:r>
      <w:r w:rsidRPr="00C07A07">
        <w:t>,</w:t>
      </w:r>
    </w:p>
    <w:p w:rsidR="00CC282A" w:rsidRPr="00C07A07" w:rsidRDefault="00CC282A" w:rsidP="00CC282A">
      <w:pPr>
        <w:pStyle w:val="NormalHanging12a"/>
        <w:widowControl/>
      </w:pPr>
      <w:r w:rsidRPr="00C07A07">
        <w:t>–</w:t>
      </w:r>
      <w:r w:rsidRPr="00C07A07">
        <w:tab/>
        <w:t>med beaktande av kommissionens beslut av den 6 september 2023 om betecknandet som grindvakter enligt rättsakten om digitala marknader,</w:t>
      </w:r>
    </w:p>
    <w:p w:rsidR="00CC282A" w:rsidRPr="00C07A07" w:rsidRDefault="00CC282A" w:rsidP="00CC282A">
      <w:pPr>
        <w:pStyle w:val="NormalHanging12a"/>
        <w:widowControl/>
      </w:pPr>
      <w:r w:rsidRPr="00C07A07">
        <w:t>–</w:t>
      </w:r>
      <w:r w:rsidRPr="00C07A07">
        <w:tab/>
        <w:t>med beaktande av kommissionens genomförandeförordning (EU) 2023/914 av den 20 april 2023 om genomförande av rådets förordning (EG) nr 139/2004 om kontroll av företagskoncentrationer och om upphävande av kommissionens förordning (EG) nr 802/2004</w:t>
      </w:r>
      <w:r w:rsidRPr="00C07A07">
        <w:rPr>
          <w:rStyle w:val="FootnoteReference"/>
        </w:rPr>
        <w:footnoteReference w:id="13"/>
      </w:r>
      <w:r w:rsidRPr="00C07A07">
        <w:t>,</w:t>
      </w:r>
    </w:p>
    <w:p w:rsidR="00CC282A" w:rsidRPr="00C07A07" w:rsidRDefault="00CC282A" w:rsidP="00CC282A">
      <w:pPr>
        <w:pStyle w:val="NormalHanging12a"/>
        <w:widowControl/>
      </w:pPr>
      <w:r w:rsidRPr="00C07A07">
        <w:t>–</w:t>
      </w:r>
      <w:r w:rsidRPr="00C07A07">
        <w:tab/>
        <w:t>med beaktande av den gemensamma europeiska förklaringen om digitala rättigheter och principer för det digitala decenniet av den 23 januari 2023 från Europaparlamentet, rådet och kommissionen</w:t>
      </w:r>
      <w:r w:rsidRPr="00C07A07">
        <w:rPr>
          <w:rStyle w:val="FootnoteReference"/>
        </w:rPr>
        <w:footnoteReference w:id="14"/>
      </w:r>
      <w:r w:rsidRPr="00C07A07">
        <w:t>,</w:t>
      </w:r>
    </w:p>
    <w:p w:rsidR="00CC282A" w:rsidRPr="00C07A07" w:rsidRDefault="00CC282A" w:rsidP="00CC282A">
      <w:pPr>
        <w:pStyle w:val="NormalHanging12a"/>
        <w:widowControl/>
      </w:pPr>
      <w:r w:rsidRPr="00C07A07">
        <w:t>–</w:t>
      </w:r>
      <w:r w:rsidRPr="00C07A07">
        <w:tab/>
        <w:t>med beaktande av Europeiska unionens domstols dom av den 4 juli 2023 i mål C</w:t>
      </w:r>
      <w:r w:rsidRPr="00C07A07">
        <w:noBreakHyphen/>
        <w:t>252/21</w:t>
      </w:r>
      <w:r w:rsidRPr="00C07A07">
        <w:rPr>
          <w:rStyle w:val="FootnoteReference"/>
        </w:rPr>
        <w:footnoteReference w:id="15"/>
      </w:r>
      <w:r w:rsidRPr="00C07A07">
        <w:t>,</w:t>
      </w:r>
    </w:p>
    <w:p w:rsidR="00CC282A" w:rsidRPr="00C07A07" w:rsidRDefault="00CC282A" w:rsidP="00CC282A">
      <w:pPr>
        <w:pStyle w:val="NormalHanging12a"/>
        <w:widowControl/>
      </w:pPr>
      <w:r w:rsidRPr="00C07A07">
        <w:t>–</w:t>
      </w:r>
      <w:r w:rsidRPr="00C07A07">
        <w:tab/>
        <w:t xml:space="preserve">med beaktande av dokumentet </w:t>
      </w:r>
      <w:r w:rsidRPr="00C07A07">
        <w:rPr>
          <w:i/>
          <w:iCs/>
        </w:rPr>
        <w:t>DG COMP Code of good practices for a transparent, inclusive, faster design and assessment of IPCEIs</w:t>
      </w:r>
      <w:r w:rsidRPr="00C07A07">
        <w:t xml:space="preserve"> (GD COMP - en kod för god praxis för en transparent, inkluderande, snabbare utformning och bedömning av viktiga projekt av gemensamt europeiskt intresse) av den 17 maj 2023</w:t>
      </w:r>
      <w:r w:rsidRPr="00C07A07">
        <w:rPr>
          <w:rStyle w:val="FootnoteReference"/>
        </w:rPr>
        <w:footnoteReference w:id="16"/>
      </w:r>
      <w:r w:rsidRPr="00C07A07">
        <w:t>,</w:t>
      </w:r>
    </w:p>
    <w:p w:rsidR="00CC282A" w:rsidRPr="00C07A07" w:rsidRDefault="00CC282A" w:rsidP="00CC282A">
      <w:pPr>
        <w:pStyle w:val="NormalHanging12a"/>
        <w:widowControl/>
      </w:pPr>
      <w:r w:rsidRPr="00C07A07">
        <w:t>–</w:t>
      </w:r>
      <w:r w:rsidRPr="00C07A07">
        <w:tab/>
        <w:t xml:space="preserve">med beaktande av rapporten från Europeiska värdepappers- och marknadsmyndighetens (Esma) av den 15 december 2022 </w:t>
      </w:r>
      <w:r w:rsidRPr="00C07A07">
        <w:rPr>
          <w:i/>
          <w:iCs/>
        </w:rPr>
        <w:t xml:space="preserve">Report on CRA Market Share Calculation </w:t>
      </w:r>
      <w:r w:rsidRPr="00C07A07">
        <w:t>(kreditvärderingsinstituts marknadsandelar),</w:t>
      </w:r>
    </w:p>
    <w:p w:rsidR="00CC282A" w:rsidRPr="00C07A07" w:rsidRDefault="00CC282A" w:rsidP="00CC282A">
      <w:pPr>
        <w:pStyle w:val="NormalHanging12a"/>
        <w:widowControl/>
      </w:pPr>
      <w:r w:rsidRPr="00C07A07">
        <w:t>–</w:t>
      </w:r>
      <w:r w:rsidRPr="00C07A07">
        <w:tab/>
        <w:t>med beaktande av kommissionens tillkännagivande av den 27 april 2004 om informell vägledning vid nya frågor rörande artiklarna 81 och 82 i EG-fördraget som uppstår i enskilda fall (vägledande skrivelser)</w:t>
      </w:r>
      <w:r w:rsidRPr="00C07A07">
        <w:rPr>
          <w:rStyle w:val="FootnoteReference"/>
        </w:rPr>
        <w:footnoteReference w:id="17"/>
      </w:r>
      <w:r w:rsidRPr="00C07A07">
        <w:t>,</w:t>
      </w:r>
    </w:p>
    <w:p w:rsidR="00CC282A" w:rsidRPr="00C07A07" w:rsidRDefault="00CC282A" w:rsidP="00CC282A">
      <w:pPr>
        <w:pStyle w:val="NormalHanging12a"/>
        <w:widowControl/>
      </w:pPr>
      <w:r w:rsidRPr="00C07A07">
        <w:t>–</w:t>
      </w:r>
      <w:r w:rsidRPr="00C07A07">
        <w:tab/>
        <w:t>med beaktande av kommissionens meddelande av den 21 juli 2023</w:t>
      </w:r>
      <w:r w:rsidRPr="00C07A07">
        <w:rPr>
          <w:i/>
          <w:iCs/>
        </w:rPr>
        <w:t xml:space="preserve"> Riktlinjer för tillämpningen av artikel 101 i fördraget om Europeiska unionens funktionssätt på horisontella samarbetsavtal</w:t>
      </w:r>
      <w:r w:rsidRPr="00C07A07">
        <w:rPr>
          <w:rStyle w:val="FootnoteReference"/>
        </w:rPr>
        <w:footnoteReference w:id="18"/>
      </w:r>
      <w:r w:rsidRPr="00C07A07">
        <w:t>,</w:t>
      </w:r>
    </w:p>
    <w:p w:rsidR="00CC282A" w:rsidRPr="00C07A07" w:rsidRDefault="00CC282A" w:rsidP="00CC282A">
      <w:pPr>
        <w:pStyle w:val="NormalHanging12a"/>
        <w:widowControl/>
      </w:pPr>
      <w:r w:rsidRPr="00C07A07">
        <w:t>–</w:t>
      </w:r>
      <w:r w:rsidRPr="00C07A07">
        <w:tab/>
        <w:t>med beaktande av kommissionens beslut av den 25 september 2023 om förbud mot förvärv av Flugo Group Holdings AB (”eTraveli”) av Booking Holdings (”Booking”),</w:t>
      </w:r>
    </w:p>
    <w:p w:rsidR="00CC282A" w:rsidRPr="00C07A07" w:rsidRDefault="00CC282A" w:rsidP="00CC282A">
      <w:pPr>
        <w:pStyle w:val="NormalHanging12a"/>
        <w:widowControl/>
      </w:pPr>
      <w:r w:rsidRPr="00C07A07">
        <w:t>–</w:t>
      </w:r>
      <w:r w:rsidRPr="00C07A07">
        <w:tab/>
        <w:t>med beaktande av Europeiska ekonomiska och sociala kommitténs yttrande</w:t>
      </w:r>
      <w:r w:rsidRPr="00C07A07">
        <w:rPr>
          <w:rStyle w:val="FootnoteReference"/>
        </w:rPr>
        <w:footnoteReference w:id="19"/>
      </w:r>
      <w:r w:rsidRPr="00C07A07">
        <w:t>,</w:t>
      </w:r>
    </w:p>
    <w:p w:rsidR="00CC282A" w:rsidRPr="00C07A07" w:rsidRDefault="00CC282A" w:rsidP="00CC282A">
      <w:pPr>
        <w:pStyle w:val="NormalHanging12a"/>
        <w:widowControl/>
      </w:pPr>
      <w:r w:rsidRPr="00C07A07">
        <w:lastRenderedPageBreak/>
        <w:t>–</w:t>
      </w:r>
      <w:r w:rsidRPr="00C07A07">
        <w:tab/>
        <w:t>med beaktande av artikel 54 i arbetsordningen,</w:t>
      </w:r>
    </w:p>
    <w:p w:rsidR="00CC282A" w:rsidRPr="00C07A07" w:rsidRDefault="00CC282A" w:rsidP="00CC282A">
      <w:pPr>
        <w:pStyle w:val="NormalHanging12a"/>
        <w:widowControl/>
      </w:pPr>
      <w:r w:rsidRPr="00C07A07">
        <w:t>–</w:t>
      </w:r>
      <w:r w:rsidRPr="00C07A07">
        <w:tab/>
        <w:t>med beaktande av betänkandet från utskottet för ekonomi och valutafrågor (A9-0427/2023), och av följande skäl:</w:t>
      </w:r>
    </w:p>
    <w:p w:rsidR="00CC282A" w:rsidRPr="00C07A07" w:rsidRDefault="00CC282A" w:rsidP="00CC282A">
      <w:pPr>
        <w:pStyle w:val="NormalHanging12a"/>
        <w:widowControl/>
      </w:pPr>
      <w:r w:rsidRPr="00C07A07">
        <w:t>A.</w:t>
      </w:r>
      <w:r w:rsidRPr="00C07A07">
        <w:tab/>
        <w:t>EU:s konkurrenspolitik spelar en viktig roll när det gäller att skapa rättvisa villkor för att göra affärer på den inre marknaden i syfte att skydda marknaderna mot koncentrationer och otillbörlig ackumulering av marknadsinflytande och uppmuntra innovation och tillväxt för företagen, särskilt små och medelstora företag, på den inre marknaden och därigenom öka konsumenternas välfärd och ge konsumenter och företag större valmöjligheter.</w:t>
      </w:r>
    </w:p>
    <w:p w:rsidR="00CC282A" w:rsidRPr="00C07A07" w:rsidRDefault="00CC282A" w:rsidP="00CC282A">
      <w:pPr>
        <w:pStyle w:val="NormalHanging12a"/>
        <w:widowControl/>
      </w:pPr>
      <w:r w:rsidRPr="00C07A07">
        <w:t>B.</w:t>
      </w:r>
      <w:r w:rsidRPr="00C07A07">
        <w:tab/>
        <w:t>Ett givande samspel mellan konkurrenspolitiken och annan sektorspolitik är nödvändigt. Konkurrenspolitiken kan bidra till att stärka den inre marknadens resiliens, integritet och konkurrenskraft och till att uppnå målen för den europeiska gröna given och den digitala kompassen samt EU:s mål i enlighet med artikel 3 i fördraget om Europeiska unionen (EU-fördraget).</w:t>
      </w:r>
    </w:p>
    <w:p w:rsidR="00CC282A" w:rsidRPr="00C07A07" w:rsidRDefault="00CC282A" w:rsidP="00CC282A">
      <w:pPr>
        <w:pStyle w:val="NormalHanging12a"/>
        <w:widowControl/>
      </w:pPr>
      <w:r w:rsidRPr="00C07A07">
        <w:t>C.</w:t>
      </w:r>
      <w:r w:rsidRPr="00C07A07">
        <w:tab/>
        <w:t>Internationellt utbyte och samarbete är avgörande för att uppnå lika konkurrensvillkor på global nivå och för att på ett samordnat sätt ta itu med utmaningarna i den dubbla digitala och gröna omställningen.</w:t>
      </w:r>
    </w:p>
    <w:p w:rsidR="00CC282A" w:rsidRPr="00C07A07" w:rsidRDefault="00CC282A" w:rsidP="00CC282A">
      <w:pPr>
        <w:pStyle w:val="NormalHanging12a"/>
        <w:widowControl/>
      </w:pPr>
      <w:r w:rsidRPr="00C07A07">
        <w:t>D.</w:t>
      </w:r>
      <w:r w:rsidRPr="00C07A07">
        <w:tab/>
        <w:t>De globala geopolitiska omständigheterna kräver också ansvarsfulla och konkurrenskraftiga lösningar på konkurrenspolitikens område. EU bör använda alla politiska och rättsliga verktyg som står till dess förfogande för att försvara den inre marknadens integritet, resiliens och konkurrenskraft mot bakgrund av de utmaningar som orsakas av det ökande antalet konflikter i världen, handelsmotsättningarna mellan konkurrerande länder och klimatkrisen, liksom det tryck som inflation och låg ekonomisk tillväxt innebär. EU:s skadliga beroende av länder utanför EU och globala makter måste minskas på områden som energi, läkemedel, teknik eller råvaror.</w:t>
      </w:r>
    </w:p>
    <w:p w:rsidR="00CC282A" w:rsidRPr="00C07A07" w:rsidRDefault="00CC282A" w:rsidP="00CC282A">
      <w:pPr>
        <w:pStyle w:val="NormalHanging12a"/>
        <w:widowControl/>
      </w:pPr>
      <w:r w:rsidRPr="00C07A07">
        <w:t>E.</w:t>
      </w:r>
      <w:r w:rsidRPr="00C07A07">
        <w:tab/>
        <w:t>Kommissionen och nationella konkurrensmyndigheter måste agera opartiskt och objektivt för att EU:s konkurrenspolitik ska förbli trovärdig.</w:t>
      </w:r>
    </w:p>
    <w:p w:rsidR="00CC282A" w:rsidRPr="00C07A07" w:rsidRDefault="00CC282A" w:rsidP="00CC282A">
      <w:pPr>
        <w:pStyle w:val="NormalHanging12a"/>
        <w:widowControl/>
      </w:pPr>
      <w:r w:rsidRPr="00C07A07">
        <w:t>F.</w:t>
      </w:r>
      <w:r w:rsidRPr="00C07A07">
        <w:tab/>
        <w:t>Den globala styrkan och betydelsen av EU:s inre marknad härrör från dess inre konkurrenskraft och utjämnade spelregler.</w:t>
      </w:r>
    </w:p>
    <w:p w:rsidR="00CC282A" w:rsidRPr="00C07A07" w:rsidRDefault="00CC282A" w:rsidP="00CC282A">
      <w:pPr>
        <w:pStyle w:val="NormalHanging12a"/>
        <w:widowControl/>
        <w:ind w:left="0" w:firstLine="0"/>
        <w:rPr>
          <w:b/>
          <w:i/>
        </w:rPr>
      </w:pPr>
      <w:r w:rsidRPr="00C07A07">
        <w:rPr>
          <w:b/>
          <w:i/>
        </w:rPr>
        <w:t>Konkurrensens roll och det politiska svaret på kriget i Ukraina, den amerikanska lagen om minskning av inflationen (Inflation Reduction Act) och de fortsatta utmaningarna till följd av covid-19-pandemin</w:t>
      </w:r>
    </w:p>
    <w:p w:rsidR="00CC282A" w:rsidRPr="00C07A07" w:rsidRDefault="00CC282A" w:rsidP="00CC282A">
      <w:pPr>
        <w:pStyle w:val="NormalHanging12a"/>
        <w:widowControl/>
      </w:pPr>
      <w:r w:rsidRPr="00C07A07">
        <w:t>1.</w:t>
      </w:r>
      <w:r w:rsidRPr="00C07A07">
        <w:tab/>
        <w:t>Europaparlamentet uppmanar kommissionen att skydda den inre marknadens integritet. Parlamentet påminner om att reaktionen på den amerikanska lagen om minskning av inflationen inte enbart får baseras på användningen av statligt stöd, utan också på skapandet av en mer gynnsam miljö för att göra affärer och en förnyad konkurrensram som möjliggör snabbhet och flexibilitet för företag som investerar och konkurrerar under rättvisa former i Europa, med respekt för EU:s klimatmål.</w:t>
      </w:r>
    </w:p>
    <w:p w:rsidR="00CC282A" w:rsidRPr="00C07A07" w:rsidRDefault="00CC282A" w:rsidP="00CC282A">
      <w:pPr>
        <w:pStyle w:val="NormalHanging12a"/>
        <w:widowControl/>
      </w:pPr>
      <w:r w:rsidRPr="00C07A07">
        <w:t>2.</w:t>
      </w:r>
      <w:r w:rsidRPr="00C07A07">
        <w:tab/>
        <w:t xml:space="preserve">Europaparlamentet noterar den tillfälliga kris- och omställningsramen samt uppdateringen av regelverket för statligt stöd som möjliggör investeringar för den gröna och digitala omställningen. Parlamentet noterar antagandet och inkluderingen 2023 av ”matchningsklausulen”. Parlamentet uppmanar kommissionen att noga undvika att </w:t>
      </w:r>
      <w:r w:rsidRPr="00C07A07">
        <w:lastRenderedPageBreak/>
        <w:t>skapa förutsättningar för subventionstävlan och att använda de verktyg som står till dess förfogande för att förhindra och motarbeta illojal subventionskonkurrens. Parlamentet betonar att allt ytterligare statligt stöd bör vara riktat och av tillfällig natur. Parlamentet vidhåller att statligt stöd bör överensstämma med EU:s politiska mål, såsom den gröna given och den europeiska pelaren för sociala rättigheter. Parlamentet uppmanar kommissionen att undersöka bristen på harmoniserade återkravsmekanismer i medlemsstaterna.</w:t>
      </w:r>
    </w:p>
    <w:p w:rsidR="00CC282A" w:rsidRPr="00C07A07" w:rsidRDefault="00CC282A" w:rsidP="00CC282A">
      <w:pPr>
        <w:pStyle w:val="NormalHanging12a"/>
        <w:widowControl/>
      </w:pPr>
      <w:r w:rsidRPr="00C07A07">
        <w:t>3.</w:t>
      </w:r>
      <w:r w:rsidRPr="00C07A07">
        <w:tab/>
        <w:t>Europaparlamentet uppmanar kommissionen att se till att alla tillfälliga instrument för statligt stöd är tillräckligt riktade för att man ska kunna undvika fragmentering av den inre marknaden.</w:t>
      </w:r>
    </w:p>
    <w:p w:rsidR="00CC282A" w:rsidRPr="00C07A07" w:rsidRDefault="00CC282A" w:rsidP="00CC282A">
      <w:pPr>
        <w:pStyle w:val="NormalHanging12a"/>
        <w:widowControl/>
      </w:pPr>
      <w:r w:rsidRPr="00C07A07">
        <w:t>4.</w:t>
      </w:r>
      <w:r w:rsidRPr="00C07A07">
        <w:tab/>
        <w:t>Europaparlamentet betonar att ytterligare offentliga och privata investeringar kommer att behövas för att hantera nya utmaningar. Parlamentet understryker att EU-budgeten måste vara ordentligt rustad för att åtgärda framtidens utmaningar, inbegripet fragmenteringen av den inre marknaden, stödja EU:s industristrategi, minska vårt kritiska beroende och säkerställa vårt öppna strategiska oberoende. Parlamentet betonar att dessa utmaningar inte kan hanteras enbart genom offentliga utgifter.</w:t>
      </w:r>
    </w:p>
    <w:p w:rsidR="00CC282A" w:rsidRPr="00C07A07" w:rsidRDefault="00CC282A" w:rsidP="00CC282A">
      <w:pPr>
        <w:pStyle w:val="NormalHanging12a"/>
        <w:widowControl/>
      </w:pPr>
      <w:r w:rsidRPr="00C07A07">
        <w:t>5.</w:t>
      </w:r>
      <w:r w:rsidRPr="00C07A07">
        <w:tab/>
        <w:t>Europaparlamentet påminner om att ett fragmenterat tillvägagångssätt för statligt stöd kan skapa ojämlika spelregler på EU:s inre marknad, eftersom inte alla medlemsstater har samma finanspolitiska utrymme för stöd. Parlamentet begär därför att övervakningen av potentiella snedvridande effekter och en eventuell flexibilitet inom ramen för statligt stöd endast ska tillämpas på stöd som tillhandahålls på EU-nivå.</w:t>
      </w:r>
    </w:p>
    <w:p w:rsidR="00CC282A" w:rsidRPr="00C07A07" w:rsidRDefault="00CC282A" w:rsidP="00CC282A">
      <w:pPr>
        <w:pStyle w:val="NormalHanging12a"/>
        <w:widowControl/>
      </w:pPr>
      <w:r w:rsidRPr="00C07A07">
        <w:t>6.</w:t>
      </w:r>
      <w:r w:rsidRPr="00C07A07">
        <w:tab/>
        <w:t>Europaparlamentet uppmanar kommissionen att undersöka hur inflationen påverkar konkurrensen genom att skapa incitament för företag att samarbeta med konkurrenter för att samordna priser</w:t>
      </w:r>
      <w:r w:rsidRPr="00C07A07">
        <w:rPr>
          <w:rStyle w:val="FootnoteReference"/>
        </w:rPr>
        <w:footnoteReference w:id="20"/>
      </w:r>
      <w:r w:rsidRPr="00C07A07">
        <w:t>, samt dess konsekvenser för marknaderna och konsumenternas välfärd. Parlamentet betonar behovet av att förbättra uppgifterna om vinster för att effektivt ta itu med potentiella konsekvenser, eftersom forskning från Europeiska centralbanken och Internationella valutafonden tyder på att företagens vinster har varit betydelsefulla tillfälliga drivkrafter bakom inflationen. Parlamentet uppmanar kommissionen att tillsammans med de nationella konkurrensmyndigheterna noga övervaka konsekvenserna av konkurrensbegränsande beteende och dess roll i inflationsutvecklingen. Parlamentet upprepar att kommissionen måste använda alla tillgängliga verktyg enligt konkurrenslagstiftningen för att hantera krisen med ökade levnadskostnader.</w:t>
      </w:r>
    </w:p>
    <w:p w:rsidR="00CC282A" w:rsidRPr="00C07A07" w:rsidRDefault="00CC282A" w:rsidP="00CC282A">
      <w:pPr>
        <w:pStyle w:val="NormalHanging12a"/>
        <w:widowControl/>
      </w:pPr>
      <w:r w:rsidRPr="00C07A07">
        <w:t>7.</w:t>
      </w:r>
      <w:r w:rsidRPr="00C07A07">
        <w:tab/>
        <w:t>Europaparlamentet välkomnar konkurrensmyndigheternas initiativ i flera medlemsstater</w:t>
      </w:r>
      <w:r w:rsidRPr="00C07A07">
        <w:rPr>
          <w:rStyle w:val="FootnoteReference"/>
        </w:rPr>
        <w:footnoteReference w:id="21"/>
      </w:r>
      <w:r w:rsidRPr="00C07A07">
        <w:t xml:space="preserve"> att införa nya marknadsundersökningsbefogenheter så länge de inte leder till en fragmentering av den inre marknaden. Parlamentet uppmanar kommissionen att införa ett liknande marknadsundersökningsverktyg för att undvika brister i efterlevnaden när praxis förekommer över nationella gränser inom EU och att vid behov anta sektorsövergripande korrigerande åtgärder för att effektivt ta itu med konkurrensbegränsande beteenden. Parlamentet påminner om kommissionens initiativ till ett ”nytt konkurrensverktyg” som syftar till att åtgärda klyftor mellan EU:s konkurrensregler och interventionsverktyg mot strukturella konkurrensproblem på </w:t>
      </w:r>
      <w:r w:rsidRPr="00C07A07">
        <w:lastRenderedPageBreak/>
        <w:t>marknaderna. Parlamentet noterar att kommissionen med det nya konkurrensverktyget skulle kunna utreda konkurrensfrågor över hela sektorer. Parlamentet uppmanar kommissionen att ompröva det nya konkurrensverktyget.</w:t>
      </w:r>
    </w:p>
    <w:p w:rsidR="00CC282A" w:rsidRPr="00C07A07" w:rsidRDefault="00CC282A" w:rsidP="00CC282A">
      <w:pPr>
        <w:pStyle w:val="NormalHanging12a"/>
        <w:widowControl/>
      </w:pPr>
      <w:r w:rsidRPr="00C07A07">
        <w:t>8.</w:t>
      </w:r>
      <w:r w:rsidRPr="00C07A07">
        <w:tab/>
        <w:t>Europaparlamentet understryker betydelsen av viktiga projekt av gemensamt europeiskt intresse för att finansiera stora transnationella projekt och uppnå EU:s strategiska prioriteringar. Parlamentet noterar de särskilda kriterierna för viktiga projekt av gemensamt europeiskt intresse för att bedöma om statligt stöd är förenligt med den inre marknaden. Parlamentet beklagar djupt att de långa och komplexa förfaranden som krävs ofta är alltför betungande för små och medelstora företag. Parlamentet uppmanar kommissionen och medlemsstaterna att se till att alla ansökningar handläggs inom sex månader. Parlamentet betonar att viktiga projekt av gemensamt europeiskt intresse bör ha ett verkligt europeiskt mervärde.</w:t>
      </w:r>
    </w:p>
    <w:p w:rsidR="00CC282A" w:rsidRPr="00C07A07" w:rsidRDefault="00CC282A" w:rsidP="00CC282A">
      <w:pPr>
        <w:pStyle w:val="NormalHanging12a"/>
        <w:widowControl/>
      </w:pPr>
      <w:r w:rsidRPr="00C07A07">
        <w:t>9.</w:t>
      </w:r>
      <w:r w:rsidRPr="00C07A07">
        <w:tab/>
        <w:t>Europaparlamentet uppmanar kommissionen att bedöma hur EU:s konkurrensprinciper har påverkat tillhandahållandet av tjänster av allmänt ekonomiskt intresse, även mot bakgrund av covid-19-krisen och ökade levnadskostnader. Parlamentet uppmanar kommissionen att bedöma ställningen för sociala tjänster av allmänt intresse och ett undantag för tjänster av allmänt ekonomiskt intresse för bostäder till överkomliga priser.</w:t>
      </w:r>
    </w:p>
    <w:p w:rsidR="00CC282A" w:rsidRPr="00C07A07" w:rsidRDefault="00CC282A" w:rsidP="00CC282A">
      <w:pPr>
        <w:pStyle w:val="NormalHanging12a"/>
        <w:widowControl/>
      </w:pPr>
      <w:r w:rsidRPr="00C07A07">
        <w:t>10.</w:t>
      </w:r>
      <w:r w:rsidRPr="00C07A07">
        <w:tab/>
        <w:t>Europaparlamentet välkomnar kommissionens riktlinjer för tillämpningen av EU:s konkurrenslagstiftning på kollektivavtal, där det klargörs att EU:s konkurrenslagstiftning inte hindrar enskilda egenföretagare utan anställda från att delta i kollektivförhandlingar. Parlamentet påminner om att egenföretagare ofta har begränsad eller ingen tillgång till kollektivförhandlingar, vilket kan leda till otrygga arbetsvillkor.</w:t>
      </w:r>
    </w:p>
    <w:p w:rsidR="00CC282A" w:rsidRPr="00C07A07" w:rsidRDefault="00CC282A" w:rsidP="00CC282A">
      <w:pPr>
        <w:pStyle w:val="NormalHanging12a"/>
        <w:widowControl/>
      </w:pPr>
      <w:r w:rsidRPr="00C07A07">
        <w:t>11.</w:t>
      </w:r>
      <w:r w:rsidRPr="00C07A07">
        <w:tab/>
        <w:t>Europaparlamentet påminner om den integrerade kopplingen mellan konkurrenspolitiken och den inre marknaden, vilket framgår av själva texten i artiklarna 101 och 102 i EUF-fördraget som reglerar EU:s konkurrenspolitik. Parlamentet gläder sig över att kommissionen, både i sitt lagstiftningsarbete och sitt politiska arbete, har erkänt behovet av att integrera konkurrenspolitiken med de mål för den inre marknaden som utgör ramen för denna.</w:t>
      </w:r>
    </w:p>
    <w:p w:rsidR="00CC282A" w:rsidRPr="00C07A07" w:rsidRDefault="00CC282A" w:rsidP="00CC282A">
      <w:pPr>
        <w:pStyle w:val="NormalHanging12a"/>
        <w:widowControl/>
      </w:pPr>
      <w:r w:rsidRPr="00C07A07">
        <w:t>12.</w:t>
      </w:r>
      <w:r w:rsidRPr="00C07A07">
        <w:tab/>
        <w:t xml:space="preserve">Europaparlamentet betonar behovet av att effektivt ta itu med snedvridningarna och misslyckandena på marknaden och att öka konkurrensen genom att undanröja befintliga omotiverade rättsliga hinder och minska onödiga administrativa bördor för att underlätta nya konkurrenters inträde på marknaden. </w:t>
      </w:r>
    </w:p>
    <w:p w:rsidR="00CC282A" w:rsidRPr="00C07A07" w:rsidRDefault="00CC282A" w:rsidP="00CC282A">
      <w:pPr>
        <w:pStyle w:val="NormalHanging12a"/>
        <w:widowControl/>
      </w:pPr>
      <w:r w:rsidRPr="00C07A07">
        <w:t>13.</w:t>
      </w:r>
      <w:r w:rsidRPr="00C07A07">
        <w:rPr>
          <w:b/>
        </w:rPr>
        <w:tab/>
      </w:r>
      <w:r w:rsidRPr="00C07A07">
        <w:t>Europaparlamentet betonar betydelsen av EU-domstolens domar i målen C-555/21 (UniCredit Bank Austria) och C-383/18 (Lexitor sp. z o.o.) för att säkerställa lika villkor på konsumentkreditmarknaden och undvika snedvridning av konkurrensen.</w:t>
      </w:r>
    </w:p>
    <w:p w:rsidR="00CC282A" w:rsidRPr="00C07A07" w:rsidRDefault="00CC282A" w:rsidP="00CC282A">
      <w:pPr>
        <w:pStyle w:val="NormalHanging12a"/>
        <w:widowControl/>
        <w:rPr>
          <w:b/>
          <w:i/>
        </w:rPr>
      </w:pPr>
      <w:r w:rsidRPr="00C07A07">
        <w:rPr>
          <w:b/>
          <w:i/>
        </w:rPr>
        <w:t>Konkurrenspolitikens tillämpning och globala trender</w:t>
      </w:r>
    </w:p>
    <w:p w:rsidR="00CC282A" w:rsidRPr="00C07A07" w:rsidRDefault="00CC282A" w:rsidP="00CC282A">
      <w:pPr>
        <w:pStyle w:val="NormalHanging12a"/>
        <w:widowControl/>
      </w:pPr>
      <w:r w:rsidRPr="00C07A07">
        <w:t>14.</w:t>
      </w:r>
      <w:r w:rsidRPr="00C07A07">
        <w:tab/>
        <w:t xml:space="preserve">Europaparlamentet välkomnar kommissionens tillkännagivande att den kommer att inleda en antisubventionsundersökning av kinesiska elfordon enligt förordning (EU) 2016/1037 om skydd mot subventionerad import från länder som inte är medlemmar i </w:t>
      </w:r>
      <w:r w:rsidRPr="00C07A07">
        <w:lastRenderedPageBreak/>
        <w:t>Europeiska unionen</w:t>
      </w:r>
      <w:r w:rsidRPr="00C07A07">
        <w:rPr>
          <w:rStyle w:val="FootnoteReference"/>
        </w:rPr>
        <w:footnoteReference w:id="22"/>
      </w:r>
      <w:r w:rsidRPr="00C07A07">
        <w:t>. Parlamentet understryker vikten av ett effektivt genomförande av EU:s instrument för utländska subventioner, inbegripet förordning (EU) 2022/2560 om utländska subventioner för att säkerställa att potentiellt snedvridande effekter på den inre marknaden begränsas. Parlamentet uppmärksammar bristen på resurser med endast åtta heltidsekvivalenter inom kommissionen.</w:t>
      </w:r>
    </w:p>
    <w:p w:rsidR="00CC282A" w:rsidRPr="00C07A07" w:rsidRDefault="00CC282A" w:rsidP="00CC282A">
      <w:pPr>
        <w:pStyle w:val="NormalHanging12a"/>
        <w:widowControl/>
      </w:pPr>
      <w:r w:rsidRPr="00C07A07">
        <w:t>15.</w:t>
      </w:r>
      <w:r w:rsidRPr="00C07A07">
        <w:tab/>
        <w:t>Europaparlamentet uppmanar kommissionen att modernisera reglerna för offentlig upphandling för att hantera nya prioriteringar och operativa utmaningar i syfte att bidra till att främja en grönare industri och europeiska standarder.</w:t>
      </w:r>
    </w:p>
    <w:p w:rsidR="00CC282A" w:rsidRPr="00C07A07" w:rsidRDefault="00CC282A" w:rsidP="00CC282A">
      <w:pPr>
        <w:pStyle w:val="NormalHanging12a"/>
        <w:widowControl/>
      </w:pPr>
      <w:r w:rsidRPr="00C07A07">
        <w:t>16.</w:t>
      </w:r>
      <w:r w:rsidRPr="00C07A07">
        <w:tab/>
        <w:t>Europaparlamentet betonar att EU: s konkurrensregler bör bidra till EU:s mål i enlighet med artikel 3 i EU-fördraget. Parlamentet insisterar på att begreppet ”skäligt pris” på produkter inte är det lägsta möjliga priset för konsumenten, utan ett pris som gör det möjligt att säkerställa en skälig ersättning för alla parter i försörjningskedjan utan att det leder till negativa externa effekter. Parlamentet understryker att genomförandet av konkurrenspolitiken till förmån för konsumenterna inte bara bör omfatta överväganden om prisnivåer, utan även hållbarhetsaspekter och inverkan på medborgarnas integritet.</w:t>
      </w:r>
    </w:p>
    <w:p w:rsidR="00CC282A" w:rsidRPr="00C07A07" w:rsidRDefault="00CC282A" w:rsidP="00CC282A">
      <w:pPr>
        <w:pStyle w:val="NormalHanging12a"/>
        <w:widowControl/>
      </w:pPr>
      <w:r w:rsidRPr="00C07A07">
        <w:t>17.</w:t>
      </w:r>
      <w:r w:rsidRPr="00C07A07">
        <w:tab/>
        <w:t>Europaparlamentet understryker den nyckelroll som Europeiska konkurrensnätverket spelar som ett forum för att främja samarbete och samverkan mellan europeiska konkurrensmyndigheter. Parlamentet uppmanar kommissionen att sträva efter en fortsatt konstruktiv dialog och samarbete på internationell nivå. Parlamentet understryker behovet av att öka samarbetet mellan antitrustmyndigheter och andra sektorsvisa tillsynsmyndigheter, såsom myndigheter som arbetar med dataskydd, för att både övervaka missbruk av bolagsuppgifter och förhindra att företag använder konsumentuppgifter för att få en otillbörlig konkurrensfördel. Parlamentet välkomnar de nationella behöriga myndigheternas relevanta roll i genomförandet av reglerna i rättsakten om digitala marknader och de nationella lagstiftningsinitiativ som håller på att införas för att hantera konkurrensbegränsande beteenden hos stora onlineplattformar i digitala sektorer. Parlamentet betonar i detta avseende vikten av samordnade och homogena åtgärder som inte undergräver tillämpningen av rättsakten om digitala marknader å ena sidan och nationella konkurrensregler inom de digitala sektorerna å andra sidan, i enlighet med artikel 1.6 i rättsakten om digitala marknader.</w:t>
      </w:r>
    </w:p>
    <w:p w:rsidR="00CC282A" w:rsidRPr="00C07A07" w:rsidRDefault="00CC282A" w:rsidP="00CC282A">
      <w:pPr>
        <w:pStyle w:val="NormalHanging12a"/>
        <w:widowControl/>
      </w:pPr>
      <w:r w:rsidRPr="00C07A07">
        <w:t>18.</w:t>
      </w:r>
      <w:r w:rsidRPr="00C07A07">
        <w:tab/>
        <w:t>Europaparlamentet påpekar att ett internationellt samarbete är av största betydelse i en globaliserad värld för att säkerställa att konkurrensreglerna genomdrivs effektivt. Parlamentet betonar att särskilda samarbetsavtal med tredjeländer på det konkurrenspolitiska området på ett meningsfullt sätt kan bidra till att göra konkurrenspolitiken effektiv. Parlamentet uppmanar kommissionen att stärka konkurrenspolitikens inflytande i världen, bl.a. genom att stärka samarbetet med tredjeländer via andra generationens samarbetsavtal som möjliggör effektivare informationsutbyte mellan konkurrensmyndigheterna.</w:t>
      </w:r>
    </w:p>
    <w:p w:rsidR="00CC282A" w:rsidRPr="00C07A07" w:rsidRDefault="00CC282A" w:rsidP="00CC282A">
      <w:pPr>
        <w:pStyle w:val="NormalHanging12a"/>
        <w:widowControl/>
      </w:pPr>
      <w:r w:rsidRPr="00C07A07">
        <w:t>19.</w:t>
      </w:r>
      <w:r w:rsidRPr="00C07A07">
        <w:tab/>
        <w:t xml:space="preserve">Europaparlamentet uppmanar kommissionen att i högre grad använda ytterligare bevisverktyg, såsom beteendemässiga insikter och finansiella analyser, samt ökad </w:t>
      </w:r>
      <w:r w:rsidRPr="00C07A07">
        <w:lastRenderedPageBreak/>
        <w:t>användning av informations-, dator- och AI-forskare och beteendeekonomer inom konkurrenslagstiftningen.</w:t>
      </w:r>
    </w:p>
    <w:p w:rsidR="00CC282A" w:rsidRPr="00C07A07" w:rsidRDefault="00CC282A" w:rsidP="00CC282A">
      <w:pPr>
        <w:pStyle w:val="NormalHanging12a"/>
        <w:widowControl/>
      </w:pPr>
      <w:r w:rsidRPr="00C07A07">
        <w:t>20.</w:t>
      </w:r>
      <w:r w:rsidRPr="00C07A07">
        <w:tab/>
        <w:t>Europaparlamentet noterar den fortsatt höga graden av marknadskoncentration för kreditvärderingsinstitut med tanke på att de tre största kreditvärderingsinstituten har en marknadsandel på över 90 %</w:t>
      </w:r>
      <w:r w:rsidRPr="00C07A07">
        <w:rPr>
          <w:rStyle w:val="FootnoteReference"/>
        </w:rPr>
        <w:footnoteReference w:id="23"/>
      </w:r>
      <w:r w:rsidRPr="00C07A07">
        <w:t>. Parlamentet upprepar behovet av att öka konkurrensen på denna marknad för att säkerställa opartiskhet och förtroende.</w:t>
      </w:r>
    </w:p>
    <w:p w:rsidR="00CC282A" w:rsidRPr="00C07A07" w:rsidRDefault="00CC282A" w:rsidP="00CC282A">
      <w:pPr>
        <w:pStyle w:val="NormalHanging12a"/>
        <w:widowControl/>
      </w:pPr>
      <w:r w:rsidRPr="00C07A07">
        <w:t>21.</w:t>
      </w:r>
      <w:r w:rsidRPr="00C07A07">
        <w:tab/>
        <w:t>Europaparlamentet beklagar Ernst &amp; Youngs beslut att stoppa den pågående uppdelningen av revisions- och rådgivningsverksamheterna. Parlamentet noterar att kombinationen av revisions- och rådgivningsverksamhet kan leda till intressekonflikter och stärka marknadsdominansen för vart och ett av de fyra stora företagen. Parlamentet uppmanar kommissionen att undersöka revisions- och rådgivningskombinationen och eventuellt lägga fram åtgärder för att förhindra intressekonflikter och marknadsdominans.</w:t>
      </w:r>
    </w:p>
    <w:p w:rsidR="00CC282A" w:rsidRPr="00C07A07" w:rsidRDefault="00CC282A" w:rsidP="00CC282A">
      <w:pPr>
        <w:pStyle w:val="NormalHanging12a"/>
        <w:widowControl/>
        <w:rPr>
          <w:b/>
          <w:i/>
        </w:rPr>
      </w:pPr>
      <w:r w:rsidRPr="00C07A07">
        <w:rPr>
          <w:b/>
          <w:i/>
        </w:rPr>
        <w:t>Kontroll av företagssammanslagningar</w:t>
      </w:r>
    </w:p>
    <w:p w:rsidR="00CC282A" w:rsidRPr="00C07A07" w:rsidRDefault="00CC282A" w:rsidP="00CC282A">
      <w:pPr>
        <w:pStyle w:val="NormalHanging12a"/>
        <w:widowControl/>
      </w:pPr>
      <w:r w:rsidRPr="00C07A07">
        <w:t>22.</w:t>
      </w:r>
      <w:r w:rsidRPr="00C07A07">
        <w:tab/>
        <w:t>Europaparlamentet konstaterar att dominerande aktörers förvärv av nystartade företag kan medföra förlust av innovation och i förlängningen av konkurrens. Parlamentet understryker vikten av att kommissionen noga uppmärksammar företeelsen ”mördarförvärv” i den digitala sektorn, som måste rapporteras enligt rättsakten om digitala marknader, och vid behov vidtar beslutsamma åtgärder enligt artikel 22 i EG:s koncentrationsförordning.</w:t>
      </w:r>
    </w:p>
    <w:p w:rsidR="00CC282A" w:rsidRPr="00C07A07" w:rsidRDefault="00CC282A" w:rsidP="00CC282A">
      <w:pPr>
        <w:pStyle w:val="NormalHanging12a"/>
        <w:widowControl/>
      </w:pPr>
      <w:r w:rsidRPr="00C07A07">
        <w:t>23.</w:t>
      </w:r>
      <w:r w:rsidRPr="00C07A07">
        <w:tab/>
        <w:t>Europaparlamentet välkomnar kommissionens senaste beslut om koncentrationsärenden</w:t>
      </w:r>
      <w:r w:rsidRPr="00C07A07">
        <w:rPr>
          <w:rStyle w:val="FootnoteReference"/>
        </w:rPr>
        <w:footnoteReference w:id="24"/>
      </w:r>
      <w:r w:rsidRPr="00C07A07">
        <w:t>. Parlamentet understryker vikten av strukturella åtgärder vid koncentrationsbeslut. Parlamentet noterar att de största och mest inflytelserika onlineplattformarna påverkar tiotusentals små och medelstora företags dagliga verksamhet. Parlamentet betonar att ett förvärv inte kan leda till att ett företags dominerande ställning på hotellmarknaden stärks genom att det tillåts att sälja sina olika tjänster mellan sina egna företag.</w:t>
      </w:r>
    </w:p>
    <w:p w:rsidR="00CC282A" w:rsidRPr="00C07A07" w:rsidRDefault="00CC282A" w:rsidP="00CC282A">
      <w:pPr>
        <w:pStyle w:val="NormalHanging12a"/>
        <w:widowControl/>
      </w:pPr>
      <w:r w:rsidRPr="00C07A07">
        <w:t>24.</w:t>
      </w:r>
      <w:r w:rsidRPr="00C07A07">
        <w:tab/>
        <w:t>Europaparlamentet välkomnar kommissionens initiativ att se över sitt tillkännagivande om definitionen av relevant marknad och ser fram emot resultaten av det offentliga samrådet. Parlamentet understryker behovet av att anta en mer dynamisk strategi som går utöver den traditionella strategin, särskilt för nya tillväxtmarknader såsom i den digitala sektorn, och ta hänsyn till en långsiktig vision som omfattar den globala dimensionen och den potentiella framtida konkurrensen. Parlamentet beklagar att kommissionen i tidigare ärenden ibland har avgränsat den relevanta marknaden mycket snävt och därmed berövat europeiska företag möjligheten att effektivt konkurrera på den globaliserade arenan. Parlamentet stöder kommissionens avsikt att ta större hänsyn till den potentiella skadan för konkurrensen vid bedömningen av koncentrationer där en expansion till angränsande marknader skulle leda till ett ytterligare stärkande av marknadsdominansen på det förvärvande företagets kärnmarknad.</w:t>
      </w:r>
    </w:p>
    <w:p w:rsidR="00CC282A" w:rsidRPr="00C07A07" w:rsidRDefault="00CC282A" w:rsidP="00CC282A">
      <w:pPr>
        <w:pStyle w:val="NormalHanging12a"/>
        <w:widowControl/>
      </w:pPr>
      <w:r w:rsidRPr="00C07A07">
        <w:lastRenderedPageBreak/>
        <w:t>25.</w:t>
      </w:r>
      <w:r w:rsidRPr="00C07A07">
        <w:tab/>
        <w:t>Europaparlamentet är oroat över den långtgående koncentrationen av vissa delar av livsmedelsförsörjningskedjan, till skada i lika stor utsträckning för konsumenter, lantbrukare, miljön och den biologiska mångfalden.</w:t>
      </w:r>
    </w:p>
    <w:p w:rsidR="00CC282A" w:rsidRPr="00C07A07" w:rsidRDefault="00CC282A" w:rsidP="00CC282A">
      <w:pPr>
        <w:pStyle w:val="NormalHanging12a"/>
        <w:widowControl/>
      </w:pPr>
      <w:r w:rsidRPr="00C07A07">
        <w:t>26.</w:t>
      </w:r>
      <w:r w:rsidRPr="00C07A07">
        <w:tab/>
        <w:t>Europaparlamentet påminner om att medlemsstaterna, enligt EG:s koncentrationsförordning, kan vidta lämpliga åtgärder för att skydda frågor av allmänt intresse såsom klimatskydd, hållbarhet och rättsstatsprincipen, och begär att kommissionen ges samma möjlighet när den undersöker koncentrationens inverkan på den inre marknaden.</w:t>
      </w:r>
    </w:p>
    <w:p w:rsidR="00CC282A" w:rsidRPr="00C07A07" w:rsidRDefault="00CC282A" w:rsidP="00CC282A">
      <w:pPr>
        <w:pStyle w:val="NormalHanging12a"/>
        <w:widowControl/>
        <w:rPr>
          <w:b/>
          <w:i/>
        </w:rPr>
      </w:pPr>
      <w:r w:rsidRPr="00C07A07">
        <w:rPr>
          <w:b/>
          <w:i/>
        </w:rPr>
        <w:t>Antitrust- och kartellagstiftning</w:t>
      </w:r>
    </w:p>
    <w:p w:rsidR="00CC282A" w:rsidRPr="00C07A07" w:rsidRDefault="00CC282A" w:rsidP="00CC282A">
      <w:pPr>
        <w:pStyle w:val="NormalHanging12a"/>
        <w:widowControl/>
      </w:pPr>
      <w:r w:rsidRPr="00C07A07">
        <w:t>27.</w:t>
      </w:r>
      <w:r w:rsidRPr="00C07A07">
        <w:tab/>
        <w:t>Europaparlamentet uppmanar kommissionen att bättre utnyttja instrumentet med interimistiska åtgärder för att stoppa all praxis som allvarligt skulle skada konkurrensen, särskilt när det gäller dynamiska marknader i snabb utveckling såsom digitala marknader.</w:t>
      </w:r>
    </w:p>
    <w:p w:rsidR="00CC282A" w:rsidRPr="00C07A07" w:rsidRDefault="00CC282A" w:rsidP="00CC282A">
      <w:pPr>
        <w:pStyle w:val="NormalHanging12a"/>
        <w:widowControl/>
      </w:pPr>
      <w:r w:rsidRPr="00C07A07">
        <w:t>28.</w:t>
      </w:r>
      <w:r w:rsidRPr="00C07A07">
        <w:tab/>
        <w:t>Europaparlamentet välkomnar den nya strategin i de senaste antitrustärendena, där kommissionen för första gången och under vissa omständigheter planerar att införa strukturella åtgärder för att stoppa konkurrensbegränsande beteenden, särskilt när den konkurrensbegränsande praxisen i fråga har upprepats av samma företag inom andra marknadssegment under årens lopp. Parlamentet uppmanar i detta avseende kommissionen att fortsätta i denna riktning för en effektiv efterhandskontroll av antitrustreglerna.</w:t>
      </w:r>
    </w:p>
    <w:p w:rsidR="00CC282A" w:rsidRPr="00C07A07" w:rsidRDefault="00CC282A" w:rsidP="00CC282A">
      <w:pPr>
        <w:pStyle w:val="NormalHanging12a"/>
        <w:widowControl/>
      </w:pPr>
      <w:r w:rsidRPr="00C07A07">
        <w:t>29.</w:t>
      </w:r>
      <w:r w:rsidRPr="00C07A07">
        <w:tab/>
        <w:t>Europaparlamentet uppmanar kommissionen att påskynda antitrustförfarandena, fastställa lämpliga tidsfrister för förfarandena och säkerställa en effektiv uppföljning av beslut för att undvika långdragna förfaranden, såsom i fallet med Spotify, som lämnade in ett klagomål mot Apple 2019 och där inga konkreta åtgärder hittills har vidtagits, trots att kommissionen har utfärdat invändningar, för att åtgärda de restriktioner som införts av Apple och som hindrar apputvecklare från att kommunicera fritt med sina egna användare</w:t>
      </w:r>
      <w:r w:rsidR="008702EE">
        <w:t>.</w:t>
      </w:r>
    </w:p>
    <w:p w:rsidR="00CC282A" w:rsidRPr="00C07A07" w:rsidRDefault="00CC282A" w:rsidP="00CC282A">
      <w:pPr>
        <w:pStyle w:val="NormalHanging12a"/>
        <w:widowControl/>
      </w:pPr>
      <w:r w:rsidRPr="00C07A07">
        <w:t>30.</w:t>
      </w:r>
      <w:r w:rsidRPr="00C07A07">
        <w:tab/>
        <w:t>Europaparlamentet välkomnar lanseringen av initiativet om riktlinjer om företags utestängande missbruk av dominerande ställning, som kommer att utarbetas 2024 och antas 2025, och kommissionens åtagande om en kraftfull, effektiv och snabb tillämpning av artikel 102 i EUF-fördraget på området utestängande missbruk. Parlamentet uppmanar kommissionen att konkret bekräfta den effektbaserade tillämpningen av antitrustlagstiftningen, och i synnerhet relevansen av de ekonomiska bevisen i lämpliga fall. Parlamentet begär att konsumenternas sårbarhet ska beaktas vid bedömningen av exploaterande missbruk såsom överdrivna priser och otillbörliga villkor.</w:t>
      </w:r>
    </w:p>
    <w:p w:rsidR="00CC282A" w:rsidRPr="00C07A07" w:rsidRDefault="00CC282A" w:rsidP="00CC282A">
      <w:pPr>
        <w:pStyle w:val="NormalHanging12a"/>
        <w:widowControl/>
      </w:pPr>
      <w:r w:rsidRPr="00C07A07">
        <w:t>31.</w:t>
      </w:r>
      <w:r w:rsidRPr="00C07A07">
        <w:tab/>
        <w:t>Europaparlamentet noterar inledandet av en formell utredning av en grindvakts eventuella konkurrensbegränsande metoder genom att koppla eller kombinera en kommunikations- och samarbetsplattform till sin egen dominerande och populära programvara</w:t>
      </w:r>
      <w:r w:rsidRPr="00C07A07">
        <w:rPr>
          <w:rStyle w:val="FootnoteReference"/>
        </w:rPr>
        <w:footnoteReference w:id="25"/>
      </w:r>
      <w:r w:rsidRPr="00C07A07">
        <w:t xml:space="preserve">. Parlamentet uppmanar kommissionen att noggrant utvärdera de eftergifter som grindvakten ensidigt har erbjudit tillsammans med de berörda företagen, </w:t>
      </w:r>
      <w:r w:rsidRPr="00C07A07">
        <w:lastRenderedPageBreak/>
        <w:t>för att säkerställa att de behandlar marknadsaktörernas farhågor när det gäller nya och befintliga användare samt interoperabilitets- och prissättningsfrågor.</w:t>
      </w:r>
    </w:p>
    <w:p w:rsidR="00CC282A" w:rsidRPr="00C07A07" w:rsidRDefault="00CC282A" w:rsidP="00CC282A">
      <w:pPr>
        <w:pStyle w:val="NormalHanging12a"/>
        <w:widowControl/>
      </w:pPr>
      <w:r w:rsidRPr="00C07A07">
        <w:t>32.</w:t>
      </w:r>
      <w:r w:rsidRPr="00C07A07">
        <w:tab/>
        <w:t>Europaparlamentet vill se effektiva rättsmedel som kan kräva ökad samordning mellan tillsynsmyndigheterna och ytterligare dialog med tredje parter, samt lämplig verkställighet. Parlamentet påminner om att företag som betecknas som grindvakter har varit föremål för tidigare antitrustbeslut, vilket inte har lett till effektiva beteendeförändringar, särskilt när det gäller att ge sig själva fördelar på de digitala marknaderna. Parlamentet uppmanar kommissionen att bättre utnyttja strukturella åtgärder som en sista utväg. Parlamentet upprepar sin uppmaning till kommissionen att sätta stopp för företrädet för beteendemässiga åtgärder i EU-rätten.</w:t>
      </w:r>
    </w:p>
    <w:p w:rsidR="00CC282A" w:rsidRPr="00C07A07" w:rsidRDefault="00CC282A" w:rsidP="00CC282A">
      <w:pPr>
        <w:pStyle w:val="NormalHanging12a"/>
        <w:widowControl/>
      </w:pPr>
      <w:r w:rsidRPr="00C07A07">
        <w:t>33.</w:t>
      </w:r>
      <w:r w:rsidRPr="00C07A07">
        <w:tab/>
        <w:t xml:space="preserve">Europaparlamentet upprepar sin uppmaning till kommissionen att utreda de konkurrensbegränsande effekterna av territoriella försörjningsbegränsningar i syfte att säkerställa en fullt fungerande inre marknad och potentiella fördelar av denna marknad för konsumenterna. </w:t>
      </w:r>
    </w:p>
    <w:p w:rsidR="00CC282A" w:rsidRPr="00C07A07" w:rsidRDefault="00CC282A" w:rsidP="00CC282A">
      <w:pPr>
        <w:pStyle w:val="NormalHanging12a"/>
        <w:widowControl/>
      </w:pPr>
      <w:r w:rsidRPr="00C07A07">
        <w:t xml:space="preserve">34. </w:t>
      </w:r>
      <w:r w:rsidRPr="00C07A07">
        <w:tab/>
        <w:t xml:space="preserve">Europaparlamentet upprepar dessutom sin uppmaning till kommissionen att fortsätta att aktivt övervaka och undanröja omotiverad geoblockering och andra begränsningar av gränsöverskridande onlineförsäljning, genom att eftersträva en konsumentvänlig strategi för att ge konsumenterna tillgång till ett större utbud av produkter och tjänster i hela EU. </w:t>
      </w:r>
    </w:p>
    <w:p w:rsidR="00CC282A" w:rsidRPr="00C07A07" w:rsidRDefault="00CC282A" w:rsidP="00CC282A">
      <w:pPr>
        <w:pStyle w:val="NormalHanging12a"/>
        <w:widowControl/>
        <w:rPr>
          <w:b/>
          <w:i/>
        </w:rPr>
      </w:pPr>
      <w:r w:rsidRPr="00C07A07">
        <w:rPr>
          <w:b/>
          <w:i/>
        </w:rPr>
        <w:t>Konkurrenspolitiken i den digitala tidsåldern</w:t>
      </w:r>
    </w:p>
    <w:p w:rsidR="00CC282A" w:rsidRPr="00C07A07" w:rsidRDefault="00CC282A" w:rsidP="00CC282A">
      <w:pPr>
        <w:pStyle w:val="NormalHanging12a"/>
        <w:widowControl/>
      </w:pPr>
      <w:r w:rsidRPr="00C07A07">
        <w:t>35.</w:t>
      </w:r>
      <w:r w:rsidRPr="00C07A07">
        <w:tab/>
        <w:t>Europaparlamentet välkomnar utnämningen av sex grindvakter – Alphabet, Amazon, Apple, ByteDance, Meta, Microsoft</w:t>
      </w:r>
      <w:r w:rsidRPr="00C07A07">
        <w:rPr>
          <w:rStyle w:val="FootnoteReference"/>
        </w:rPr>
        <w:footnoteReference w:id="26"/>
      </w:r>
      <w:r w:rsidRPr="00C07A07">
        <w:t xml:space="preserve"> – för 22 centrala plattformstjänster enligt rättsakten om digitala marknader, de fyra marknadsundersökningarna för motbevis och den första marknadsundersökningen enligt artikel 3.8 i rättsakten om digitala marknader. Parlamentet uppmanar kommissionen att snarast anta delegerade akter för att utvidga tillämpningsvillkoren eller för att specificera villkoren för genomförandet av de skyldigheter som fastställs i artiklarna 5, 6, 7 och 12 i rättsakten om digitala marknader. Parlamentet uppmanar kommissionen att noggrant bedöma huruvida grindvakter uppfyller skyldigheterna enligt rättsakten om digitala marknader före den 6 mars 2024, och att söka återkoppling från tredje parter om huruvida de efterlevnadslösningar som erbjuds av grindvakter leder till rättvisare och mer konkurrensutsatta digitala marknader. Parlamentet uppmanar kommissionen att se till att grindvakternas åtgärder för säkerhet och integritet på deras plattformar, som skulle kunna påverka efterlevnaden av rättsakten om digitala marknader, kontrolleras av oberoende tredje parter och inte enbart baseras på grindvakternas egen bedömning.</w:t>
      </w:r>
    </w:p>
    <w:p w:rsidR="00CC282A" w:rsidRPr="00C07A07" w:rsidRDefault="00CC282A" w:rsidP="00CC282A">
      <w:pPr>
        <w:pStyle w:val="NormalHanging12a"/>
        <w:widowControl/>
      </w:pPr>
      <w:r w:rsidRPr="00C07A07">
        <w:t>36.</w:t>
      </w:r>
      <w:r w:rsidRPr="00C07A07">
        <w:tab/>
        <w:t>Europaparlamentet påpekar att man i kommissionens studie om påverkan av den senaste tidens utveckling inom digital reklam på privatlivet, utgivare och annonsörer drar slutsatsen att den storskaliga insamlingen och behandlingen av personuppgifter i reklamsyfte och den digitala reklammarknadens ogenomskinlighet kan främja vilseledande reklam</w:t>
      </w:r>
      <w:r w:rsidRPr="00C07A07">
        <w:rPr>
          <w:rStyle w:val="FootnoteReference"/>
        </w:rPr>
        <w:footnoteReference w:id="27"/>
      </w:r>
      <w:r w:rsidRPr="00C07A07">
        <w:t xml:space="preserve">. Parlamentet uppmanar kommissionen att, i linje med </w:t>
      </w:r>
      <w:r w:rsidRPr="00C07A07">
        <w:lastRenderedPageBreak/>
        <w:t>rekommendationerna i studien, ytterligare analysera lagstiftningsalternativ för framtida politiska åtgärder, inbegripet införandet av strukturella korrigerande åtgärder, för att ta itu med konkurrensbegränsande beteende, genom att komplettera rättsakten om digitala marknader och rättsakten om digitala tjänster</w:t>
      </w:r>
      <w:r w:rsidRPr="00C07A07">
        <w:rPr>
          <w:rStyle w:val="FootnoteReference"/>
        </w:rPr>
        <w:footnoteReference w:id="28"/>
      </w:r>
      <w:r w:rsidRPr="00C07A07">
        <w:t xml:space="preserve"> i detta avseende.</w:t>
      </w:r>
    </w:p>
    <w:p w:rsidR="00CC282A" w:rsidRPr="00C07A07" w:rsidRDefault="00CC282A" w:rsidP="00CC282A">
      <w:pPr>
        <w:pStyle w:val="NormalHanging12a"/>
        <w:widowControl/>
      </w:pPr>
      <w:r w:rsidRPr="00C07A07">
        <w:t>37.</w:t>
      </w:r>
      <w:r w:rsidRPr="00C07A07">
        <w:tab/>
        <w:t>Europaparlamentet noterar marknadsutredningen av Microsofts Edge och Bing</w:t>
      </w:r>
      <w:r w:rsidRPr="00C07A07">
        <w:rPr>
          <w:rStyle w:val="FootnoteReference"/>
        </w:rPr>
        <w:footnoteReference w:id="29"/>
      </w:r>
      <w:r w:rsidRPr="00C07A07">
        <w:t xml:space="preserve"> och Apples iOS och iMessage</w:t>
      </w:r>
      <w:r w:rsidRPr="00C07A07">
        <w:rPr>
          <w:rStyle w:val="FootnoteReference"/>
        </w:rPr>
        <w:footnoteReference w:id="30"/>
      </w:r>
      <w:r w:rsidRPr="00C07A07">
        <w:t xml:space="preserve"> för att bedöma deras roll som nätportar och deras fast förankrade ställning på marknaden, efter beslutet att beteckna Apple och Microsoft som grindvakter enligt rättsakten om digitala marknader. Parlamentet framhåller att iMessage inkluderas som standard i alla iOS-enheter för mer än 144 miljoner användare. Parlamentet betonar vikten av smarttelefoner som ett viktigt personligt och yrkesmässigt verktyg. Parlamentet framhåller att dagens marknad domineras av två operativsystem, med egna icke-driftskompatibla meddelandetjänster, vilket begränsar möjligheten för användare och företag att fritt röra sig från det ena ekosystemet till det andra och att sömlöst kommunicera med varandra oavsett operativsystem, vilket i grunden strider mot andan och ordalydelsen i rättsakten om digitala marknader. Parlamentet uppmanar därför kommissionen att skyndsamt gå vidare med sin utredning och dess effektiva genomförande så att alla kan dra nytta av fördelarna med meddelandeinteroperabilitet så snart som möjligt.</w:t>
      </w:r>
    </w:p>
    <w:p w:rsidR="00CC282A" w:rsidRPr="00C07A07" w:rsidRDefault="00CC282A" w:rsidP="00CC282A">
      <w:pPr>
        <w:pStyle w:val="NormalHanging12a"/>
        <w:widowControl/>
      </w:pPr>
      <w:r w:rsidRPr="00C07A07">
        <w:t>38.</w:t>
      </w:r>
      <w:r w:rsidRPr="00C07A07">
        <w:tab/>
        <w:t>Europaparlamentet noterar Europeiska unionens domstols beslut i målet Meta mot Bundeskartellamt som bekräftar de nationella konkurrensmyndigheternas behörighet att genomdriva dataskyddsregler enligt antitrustlagstiftningen. Parlamentet påpekar att domstolen bekräftar att skyddet av personuppgifter är en viktig aspekt när den undersöker missbruk av en dominerande ställning, och att den ställer krav på användningen av enskilda individers personuppgifter för riktad reklam. Parlamentet uppmuntrar konkurrensmyndigheterna att utreda överträdelser av den allmänna dataskyddsförordningen</w:t>
      </w:r>
      <w:r w:rsidRPr="00C07A07">
        <w:rPr>
          <w:rStyle w:val="FootnoteReference"/>
        </w:rPr>
        <w:footnoteReference w:id="31"/>
      </w:r>
      <w:r w:rsidRPr="00C07A07">
        <w:t xml:space="preserve"> och dataskyddsmyndigheterna att bestraffa sådana överträdelser.</w:t>
      </w:r>
    </w:p>
    <w:p w:rsidR="00CC282A" w:rsidRPr="00C07A07" w:rsidRDefault="00CC282A" w:rsidP="00CC282A">
      <w:pPr>
        <w:pStyle w:val="NormalHanging12a"/>
        <w:widowControl/>
      </w:pPr>
      <w:r w:rsidRPr="00C07A07">
        <w:t>39.</w:t>
      </w:r>
      <w:r w:rsidRPr="00C07A07">
        <w:tab/>
        <w:t xml:space="preserve">Europaparlamentet noterar slutsatserna från förfarandet i Bundeskartellamt och Alphabet Inc. som ger Google-användare bättre valmöjligheter när det gäller hur Google behandlar sina uppgifter. Parlamentet hävdar att EU:s konsumenter måste ha möjlighet att välja om de tillåter att deras personuppgifter hopas samman och behandlas i flera olika tjänster. Parlamentet uppmuntrar kommissionen att fortsätta samordningen av tillsynsverksamheten och samarbetet med nationella konkurrensmyndigheter för att underlätta ett effektivt samspel mellan konkurrenslagstiftningen och rättsakten om </w:t>
      </w:r>
      <w:r w:rsidRPr="00C07A07">
        <w:lastRenderedPageBreak/>
        <w:t xml:space="preserve">digitala marknader, särskilt inom ramen för ”ytterligare skyldigheter” enligt rättsakten för digitala marknader. </w:t>
      </w:r>
    </w:p>
    <w:p w:rsidR="00CC282A" w:rsidRPr="00C07A07" w:rsidRDefault="00CC282A" w:rsidP="00CC282A">
      <w:pPr>
        <w:pStyle w:val="NormalHanging12a"/>
        <w:widowControl/>
      </w:pPr>
      <w:r w:rsidRPr="00C07A07">
        <w:t>40.</w:t>
      </w:r>
      <w:r w:rsidRPr="00C07A07">
        <w:tab/>
        <w:t xml:space="preserve">Europaparlamentet påpekar att sakernas internet är en växande marknad. Parlamentet påpekar vidare att smarta hushållsapparater, såsom robotdammsugare, är en viktig källa till konsumentuppgifter. Parlamentet noterar att koncentrationer och förvärv inom denna sektor kan orsaka stora skador på konkurrensen. Parlamentet uppmanar kommissionen att inkludera uppgifter som källa till marknadsinflytande i utvärderingen av fall av sammanslagning och förvärv inom denna sektor, särskilt när dessa fall rör etablerade stora teknikföretag. Parlamentet vill dessutom att det vid behov införs villkor för användningen av uppgifter. </w:t>
      </w:r>
    </w:p>
    <w:p w:rsidR="00CC282A" w:rsidRPr="00C07A07" w:rsidRDefault="00CC282A" w:rsidP="00CC282A">
      <w:pPr>
        <w:pStyle w:val="NormalHanging12a"/>
        <w:widowControl/>
      </w:pPr>
      <w:r w:rsidRPr="00C07A07">
        <w:t>41.</w:t>
      </w:r>
      <w:r w:rsidRPr="00C07A07">
        <w:tab/>
        <w:t>Europaparlamentet beklagar att det inte finns molntjänstleverantörer på grindvakternas förteckning. Parlamentet uppmanar kommissionen att överväga att inleda marknadsundersökningar enligt artikel 3.8 i rättsakten om digitala marknader (kvalitativ bedömning) inom denna sektor, särskilt med tanke på den koncentrerade marknadsstrukturen och de skadliga konkurrensbegränsande metoder som de nationella konkurrensmyndigheterna har betonat. Parlamentet betonar att den europeiska molnmarknaden domineras av ett fåtal mycket stora aktörer. Parlamentet uppmanar kommissionen att säkerställa att alla relevanta tjänster fastställs för att återställa en rättvis och jämlik konkurrens på den europeiska molnmarknaden.</w:t>
      </w:r>
    </w:p>
    <w:p w:rsidR="00CC282A" w:rsidRPr="00C07A07" w:rsidRDefault="00CC282A" w:rsidP="00CC282A">
      <w:pPr>
        <w:pStyle w:val="NormalHanging12a"/>
        <w:widowControl/>
      </w:pPr>
      <w:r w:rsidRPr="00C07A07">
        <w:t>42.</w:t>
      </w:r>
      <w:r w:rsidRPr="00C07A07">
        <w:tab/>
        <w:t>Europaparlamentet uppmanar kommissionen att bedöma behovet av att inleda en marknadsundersökning enligt artikel 19 i rättsakten om digitala marknader, genom att lägga till nya kategorier av centrala plattformstjänster enligt artikel 2.2 i rättsakten om digitala marknader, mot bakgrund av den senaste tekniska utvecklingen, som kan leda till nya typer av tjänster som inte omfattas av de befintliga kategorierna, såsom generativ artificiell intelligens. Parlamentet erkänner att nya funktioner som drivs av generativ artificiell intelligens kan införlivas i befintliga digitala tjänster, såsom sökmotorer online, och kan fångas upp i den befintliga förteckningen över centrala plattformstjänster som skulle kunna leda till att befintliga grindvakter stärks.</w:t>
      </w:r>
    </w:p>
    <w:p w:rsidR="00CC282A" w:rsidRPr="00C07A07" w:rsidRDefault="00CC282A" w:rsidP="00CC282A">
      <w:pPr>
        <w:pStyle w:val="NormalHanging12a"/>
        <w:widowControl/>
      </w:pPr>
      <w:r w:rsidRPr="00C07A07">
        <w:t>43.</w:t>
      </w:r>
      <w:r w:rsidRPr="00C07A07">
        <w:tab/>
        <w:t>Europaparlamentet noterar det gemensamma uttalandet från G7-ländernas konkurrensmyndigheter om konkurrens och artificiell intelligens, där man betonar vikten av samarbete för att främja konkurrensen på digitala marknader</w:t>
      </w:r>
      <w:r w:rsidRPr="00C07A07">
        <w:rPr>
          <w:rStyle w:val="FootnoteReference"/>
        </w:rPr>
        <w:footnoteReference w:id="32"/>
      </w:r>
      <w:r w:rsidRPr="00C07A07">
        <w:t>. Parlamentet uppmanar kommissionen att vara vaksam när det gäller samarbetsavtal i samband med utvecklingen av artificiell intelligens för att säkerställa att sådana samarbetsavtal inte är potentiellt dolda koncentrationer eller mördarförvärv.</w:t>
      </w:r>
    </w:p>
    <w:p w:rsidR="00CC282A" w:rsidRPr="00C07A07" w:rsidRDefault="00CC282A" w:rsidP="00CC282A">
      <w:pPr>
        <w:pStyle w:val="NormalHanging12a"/>
        <w:widowControl/>
      </w:pPr>
      <w:r w:rsidRPr="00C07A07">
        <w:t>44.</w:t>
      </w:r>
      <w:r w:rsidRPr="00C07A07">
        <w:tab/>
        <w:t>Europaparlamentet upprepar att rättsakten om digitala marknader har en annan rättslig grund än konkurrensramen. Parlamentet betonar behovet av en effektiv samexistens mellan efterhandstillämpningen av konkurrenslagstiftningen och förhandstillämpningen av rättsakten om digitala marknader, med tanke på att de kompletterar varandra. Parlamentet betonar behovet av att säkerställa tillräckliga resurser och synergier för ett effektivt genomförande av reglerna och att undvika överlappningar eller dubbleringar av befintliga strukturer och åtgärder.</w:t>
      </w:r>
    </w:p>
    <w:p w:rsidR="00CC282A" w:rsidRPr="00C07A07" w:rsidRDefault="00CC282A" w:rsidP="00CC282A">
      <w:pPr>
        <w:pStyle w:val="NormalHanging12a"/>
        <w:widowControl/>
      </w:pPr>
      <w:r w:rsidRPr="00C07A07">
        <w:lastRenderedPageBreak/>
        <w:t>45.</w:t>
      </w:r>
      <w:r w:rsidRPr="00C07A07">
        <w:tab/>
        <w:t xml:space="preserve">Europaparlamentet framhåller EU:s framtida konnektivitetsbehov när det gäller infrastruktur och investeringar. Parlamentet uppmanar kommissionen att överväga en översyn av nuvarande konkurrenspraxis för telekommunikationsmarknaden för att underlätta skapandet av en fullständigt integrerad inre marknad för telekommunikationstjänster. Parlamentet noterar att marknadskonsolidering kan vara det enda sättet att undvika att sälja infrastrukturen bit för bit till utländska företag utanför EU och konkurrera effektivt i ett globalt scenario. Parlamentet påpekar att tillväxten i denna sektor i Europa har varit mycket låg under det senaste årtiondet och att fragmenteringen är huvudorsaken till detta. Parlamentet välkomnar i detta avseende kommissionsledamot Bretons tillkännagivande om kommissionens arbete med det nya förslaget till en rättsakt om digitala nätverk för att ta itu med marknadsfragmenteringen, locka till sig investeringar och säkra infrastruktur för telekommunikation och innovation, utan extra kostnader för konsumenterna och utan att äventyra </w:t>
      </w:r>
      <w:r w:rsidR="0002724C" w:rsidRPr="0002724C">
        <w:t xml:space="preserve">nätneutralitet och </w:t>
      </w:r>
      <w:r w:rsidRPr="00C07A07">
        <w:t>rättvis konkurrens på marknaden mellan alla aktörer.</w:t>
      </w:r>
    </w:p>
    <w:p w:rsidR="00CC282A" w:rsidRPr="00C07A07" w:rsidRDefault="00CC282A" w:rsidP="00CC282A">
      <w:pPr>
        <w:pStyle w:val="NormalHanging12a"/>
        <w:widowControl/>
      </w:pPr>
      <w:r w:rsidRPr="00C07A07">
        <w:t>46.</w:t>
      </w:r>
      <w:r w:rsidRPr="00C07A07">
        <w:tab/>
        <w:t xml:space="preserve">Europaparlamentet noterar med oro att grindvakter som utvecklar en datafördel jämfört med sina rivaler kan uppnå kritiska stordriftsfördelar som bidrar till en ännu mer ojämn konkurrensbalans på digitala marknader och hämmar innovationen. </w:t>
      </w:r>
    </w:p>
    <w:p w:rsidR="00CC282A" w:rsidRPr="00C07A07" w:rsidRDefault="00CC282A" w:rsidP="00CC282A">
      <w:pPr>
        <w:pStyle w:val="NormalHanging12a"/>
        <w:widowControl/>
      </w:pPr>
      <w:r w:rsidRPr="00C07A07">
        <w:t>47.</w:t>
      </w:r>
      <w:r w:rsidRPr="00C07A07">
        <w:tab/>
        <w:t xml:space="preserve">Europaparlamentet betonar att personuppgiftstillgångar bör betraktas och bedömas på samma sätt som andra traditionella fysiska tillgångar när man fattar beslut om digitala koncentrationer och förvärv. Parlamentet betonar vidare att datakonsolidering genom koncentrationer och förvärv kan stärka en dominerande ställning. </w:t>
      </w:r>
    </w:p>
    <w:p w:rsidR="00CC282A" w:rsidRPr="00C07A07" w:rsidRDefault="00CC282A" w:rsidP="00CC282A">
      <w:pPr>
        <w:pStyle w:val="NormalHanging12a"/>
        <w:widowControl/>
        <w:rPr>
          <w:b/>
          <w:i/>
        </w:rPr>
      </w:pPr>
      <w:r w:rsidRPr="00C07A07">
        <w:rPr>
          <w:b/>
          <w:i/>
        </w:rPr>
        <w:t>Beskattning</w:t>
      </w:r>
    </w:p>
    <w:p w:rsidR="00CC282A" w:rsidRPr="00C07A07" w:rsidRDefault="00CC282A" w:rsidP="00CC282A">
      <w:pPr>
        <w:pStyle w:val="NormalHanging12a"/>
        <w:widowControl/>
      </w:pPr>
      <w:r w:rsidRPr="00C07A07">
        <w:t>48.</w:t>
      </w:r>
      <w:r w:rsidRPr="00C07A07">
        <w:tab/>
        <w:t>Europaparlamentet beklagar djupt de snedvridande effekter som aggressiv skatteplanering och skattesystem i vissa medlemsstater har på rättvis konkurrens, eftersom de kan hämma innovation och äventyra marknadernas öppenhet, särskilt för små och medelstora företag. Parlamentet begär att företag som ägnar sig åt skatteflykt med hjälp av skatteparadis i tredjeländer ska uteslutas från offentliga upphandlingar och från att ta emot statligt stöd, eftersom dessa företag konkurrerar på orättvisa villkor då de är etablerade i skatteparadis. Parlamentet välkomnar kommissionens rekommendation av den 14 juli 2020 om att inte bevilja ekonomiskt stöd till företag med kopplingar till skatteparadis och om att samtidigt skydda ärliga skattebetalare.</w:t>
      </w:r>
    </w:p>
    <w:p w:rsidR="00CC282A" w:rsidRPr="00C07A07" w:rsidRDefault="00CC282A" w:rsidP="00CC282A">
      <w:pPr>
        <w:pStyle w:val="NormalHanging12a"/>
        <w:widowControl/>
      </w:pPr>
      <w:r w:rsidRPr="00C07A07">
        <w:t>49.</w:t>
      </w:r>
      <w:r w:rsidRPr="00C07A07">
        <w:tab/>
        <w:t xml:space="preserve">Europaparlamentet uppmanar kommissionen att titta närmare på möjligheten att bötfälla länder som bryter mot EU:s regler för statligt stöd. Parlamentet uppmanar kommissionen att fortsätta sina undersökningar av medlemsstaternas förhandsbesked i skattefrågor. </w:t>
      </w:r>
    </w:p>
    <w:p w:rsidR="00CC282A" w:rsidRPr="00C07A07" w:rsidRDefault="00CC282A" w:rsidP="00CC282A">
      <w:pPr>
        <w:pStyle w:val="NormalHanging12a"/>
        <w:widowControl/>
      </w:pPr>
      <w:r w:rsidRPr="00C07A07">
        <w:t>50.</w:t>
      </w:r>
      <w:r w:rsidRPr="00C07A07">
        <w:tab/>
        <w:t>Europaparlamentet noterar vice ordförande Šefčovičs och kommissionsledamoten Hoekstras åtagande att inleda en diskussion om utfasning av subventioner till fossila bränslen. Parlamentet begär återigen att konkreta strategier, tidsplaner och åtgärder genomförs för att fasa ut subventioner till fossila bränslen med hjälp av skatteåtgärder så snart som möjligt.</w:t>
      </w:r>
    </w:p>
    <w:p w:rsidR="00CC282A" w:rsidRPr="00C07A07" w:rsidRDefault="00CC282A" w:rsidP="00CC282A">
      <w:pPr>
        <w:pStyle w:val="NormalHanging12a"/>
        <w:widowControl/>
      </w:pPr>
      <w:r w:rsidRPr="00C07A07">
        <w:t>51.</w:t>
      </w:r>
      <w:r w:rsidRPr="00C07A07">
        <w:tab/>
        <w:t>Europaparlamentet välkomnar kommissionens vaksamhet när det gäller verkställandet av statsstödsregler på skatteområdet.</w:t>
      </w:r>
    </w:p>
    <w:p w:rsidR="00CC282A" w:rsidRPr="00C07A07" w:rsidRDefault="00CC282A" w:rsidP="00CC282A">
      <w:pPr>
        <w:pStyle w:val="NormalHanging12a"/>
        <w:rPr>
          <w:sz w:val="20"/>
        </w:rPr>
      </w:pPr>
      <w:r w:rsidRPr="00C07A07">
        <w:t xml:space="preserve">52. </w:t>
      </w:r>
      <w:r w:rsidRPr="00C07A07">
        <w:tab/>
        <w:t xml:space="preserve">Europaparlamentet beklagar samtidigt att flera kommissionsbeslut på senare tid i </w:t>
      </w:r>
      <w:r w:rsidRPr="00C07A07">
        <w:lastRenderedPageBreak/>
        <w:t xml:space="preserve">konkurrensärenden med hög profil på skatteområdet har ogiltigförklarats av domstolen. Parlamentet uppmanar kommissionen att handlägga sina konkurrenspolitiska ärenden mer grundligt så att de håller i rätten. Parlamentet noterar med oro att annullering av böter och retroaktiv betalning av dröjsmålsränta i ogiltigförklarade ärenden också utgör en budgetrisk för EU. </w:t>
      </w:r>
    </w:p>
    <w:p w:rsidR="00CC282A" w:rsidRPr="00C07A07" w:rsidRDefault="00CC282A" w:rsidP="00CC282A">
      <w:pPr>
        <w:pStyle w:val="NormalHanging12a"/>
        <w:widowControl/>
        <w:rPr>
          <w:b/>
          <w:i/>
        </w:rPr>
      </w:pPr>
      <w:r w:rsidRPr="00C07A07">
        <w:rPr>
          <w:b/>
          <w:i/>
        </w:rPr>
        <w:t>Parlamentets medverkan</w:t>
      </w:r>
    </w:p>
    <w:p w:rsidR="00CC282A" w:rsidRPr="00C07A07" w:rsidRDefault="00CC282A" w:rsidP="00CC282A">
      <w:pPr>
        <w:pStyle w:val="NormalHanging12a"/>
        <w:widowControl/>
      </w:pPr>
      <w:r w:rsidRPr="00C07A07">
        <w:t>53.</w:t>
      </w:r>
      <w:r w:rsidRPr="00C07A07">
        <w:tab/>
        <w:t>Europaparlamentet betonar att parlamentet bör spela en aktiv roll i utformningen av konkurrenspolitiken och vara mer delaktigt i arbetsgruppernas och expertgruppernas verksamhet. Parlamentet anser att parlamentets rätt att ingripa i rättsliga förfaranden som rör konkurrenslagstiftning bör utnyttjas oftare.</w:t>
      </w:r>
    </w:p>
    <w:p w:rsidR="00CC282A" w:rsidRPr="00C07A07" w:rsidRDefault="00CC282A" w:rsidP="00CC282A">
      <w:pPr>
        <w:pStyle w:val="NormalHanging12a"/>
        <w:widowControl/>
      </w:pPr>
      <w:r w:rsidRPr="00C07A07">
        <w:t>54.</w:t>
      </w:r>
      <w:r w:rsidRPr="00C07A07">
        <w:tab/>
        <w:t>Europaparlamentet uppmanar kommissionsledamoten med ansvar för konkurrens att ha tät kontakt med parlamentets behöriga utskott och dess arbetsgrupp för konkurrensfrågor.</w:t>
      </w:r>
    </w:p>
    <w:p w:rsidR="00CC282A" w:rsidRPr="00C07A07" w:rsidRDefault="00CC282A" w:rsidP="00CC282A">
      <w:pPr>
        <w:pStyle w:val="NormalHanging12a"/>
        <w:widowControl/>
        <w:jc w:val="center"/>
      </w:pPr>
      <w:r w:rsidRPr="00C07A07">
        <w:t>°</w:t>
      </w:r>
    </w:p>
    <w:p w:rsidR="00CC282A" w:rsidRPr="00C07A07" w:rsidRDefault="00CC282A" w:rsidP="00CC282A">
      <w:pPr>
        <w:pStyle w:val="NormalHanging12a"/>
        <w:widowControl/>
        <w:jc w:val="center"/>
      </w:pPr>
      <w:r w:rsidRPr="00C07A07">
        <w:t>°</w:t>
      </w:r>
      <w:r w:rsidRPr="00C07A07">
        <w:tab/>
        <w:t>°</w:t>
      </w:r>
    </w:p>
    <w:p w:rsidR="00CC282A" w:rsidRPr="00C07A07" w:rsidRDefault="00CC282A" w:rsidP="00CC282A">
      <w:pPr>
        <w:pStyle w:val="NormalHanging12a"/>
        <w:widowControl/>
      </w:pPr>
      <w:r w:rsidRPr="00C07A07">
        <w:t>55.</w:t>
      </w:r>
      <w:r w:rsidRPr="00C07A07">
        <w:tab/>
        <w:t>Europaparlamentet uppdrar åt talmannen att översända denna resolution till rådet, kommissionen och medlemsstaternas parlament och konkurrensmyndigheter.</w:t>
      </w:r>
    </w:p>
    <w:p w:rsidR="00CC282A" w:rsidRPr="00C07A07" w:rsidRDefault="00CC282A" w:rsidP="00CC282A"/>
    <w:sectPr w:rsidR="00CC282A" w:rsidRPr="00C07A07" w:rsidSect="00C07A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893" w:rsidRPr="00C07A07" w:rsidRDefault="00B02893">
      <w:r w:rsidRPr="00C07A07">
        <w:separator/>
      </w:r>
    </w:p>
  </w:endnote>
  <w:endnote w:type="continuationSeparator" w:id="0">
    <w:p w:rsidR="00B02893" w:rsidRPr="00C07A07" w:rsidRDefault="00B02893">
      <w:r w:rsidRPr="00C07A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893" w:rsidRPr="00C07A07" w:rsidRDefault="00B02893">
      <w:r w:rsidRPr="00C07A07">
        <w:separator/>
      </w:r>
    </w:p>
  </w:footnote>
  <w:footnote w:type="continuationSeparator" w:id="0">
    <w:p w:rsidR="00B02893" w:rsidRPr="00C07A07" w:rsidRDefault="00B02893">
      <w:r w:rsidRPr="00C07A07">
        <w:continuationSeparator/>
      </w:r>
    </w:p>
  </w:footnote>
  <w:footnote w:id="1">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Antagna texter, P9_TA(2023)0227.</w:t>
      </w:r>
    </w:p>
  </w:footnote>
  <w:footnote w:id="2">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Europeiska unionens domstols dom av den 13 juli 2022 i mål T-227/21, Illumina, INC. mot kommissionen, ECLI:EU:T:2022:447.</w:t>
      </w:r>
    </w:p>
  </w:footnote>
  <w:footnote w:id="3">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EUT C 131 I, 24.3.2022, s. 1.</w:t>
      </w:r>
    </w:p>
  </w:footnote>
  <w:footnote w:id="4">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EUT L 24, 29.1.2004, s. 1.</w:t>
      </w:r>
    </w:p>
  </w:footnote>
  <w:footnote w:id="5">
    <w:p w:rsidR="00CC282A" w:rsidRPr="00C2003F" w:rsidRDefault="00CC282A" w:rsidP="00C07A07">
      <w:pPr>
        <w:pStyle w:val="FootnoteText"/>
        <w:ind w:left="567" w:hanging="567"/>
        <w:rPr>
          <w:sz w:val="24"/>
          <w:szCs w:val="24"/>
        </w:rPr>
      </w:pPr>
      <w:r w:rsidRPr="00C2003F">
        <w:rPr>
          <w:rStyle w:val="FootnoteReference"/>
          <w:sz w:val="24"/>
          <w:szCs w:val="24"/>
          <w:lang w:val="sv-SE"/>
        </w:rPr>
        <w:footnoteRef/>
      </w:r>
      <w:r w:rsidR="00C07A07" w:rsidRPr="00C2003F">
        <w:rPr>
          <w:sz w:val="24"/>
          <w:szCs w:val="24"/>
        </w:rPr>
        <w:t xml:space="preserve"> </w:t>
      </w:r>
      <w:r w:rsidR="00C07A07" w:rsidRPr="00C2003F">
        <w:rPr>
          <w:sz w:val="24"/>
          <w:szCs w:val="24"/>
        </w:rPr>
        <w:tab/>
      </w:r>
      <w:r w:rsidRPr="00C2003F">
        <w:rPr>
          <w:sz w:val="24"/>
          <w:szCs w:val="24"/>
        </w:rPr>
        <w:t>EUT L 265, 12.10.2022, s. 1.</w:t>
      </w:r>
    </w:p>
  </w:footnote>
  <w:footnote w:id="6">
    <w:p w:rsidR="00CC282A" w:rsidRPr="00C2003F" w:rsidRDefault="00CC282A" w:rsidP="00C07A07">
      <w:pPr>
        <w:pStyle w:val="FootnoteText"/>
        <w:ind w:left="567" w:hanging="567"/>
        <w:rPr>
          <w:sz w:val="24"/>
          <w:szCs w:val="24"/>
        </w:rPr>
      </w:pPr>
      <w:r w:rsidRPr="00C2003F">
        <w:rPr>
          <w:rStyle w:val="FootnoteReference"/>
          <w:sz w:val="24"/>
          <w:szCs w:val="24"/>
          <w:lang w:val="sv-SE"/>
        </w:rPr>
        <w:footnoteRef/>
      </w:r>
      <w:r w:rsidR="00C07A07" w:rsidRPr="00C2003F">
        <w:rPr>
          <w:sz w:val="24"/>
          <w:szCs w:val="24"/>
        </w:rPr>
        <w:t xml:space="preserve"> </w:t>
      </w:r>
      <w:r w:rsidR="00C07A07" w:rsidRPr="00C2003F">
        <w:rPr>
          <w:sz w:val="24"/>
          <w:szCs w:val="24"/>
        </w:rPr>
        <w:tab/>
      </w:r>
      <w:r w:rsidRPr="00C2003F">
        <w:rPr>
          <w:sz w:val="24"/>
          <w:szCs w:val="24"/>
        </w:rPr>
        <w:t xml:space="preserve">EUT L 11, 14.1.2019, </w:t>
      </w:r>
      <w:r w:rsidR="00A056EB">
        <w:rPr>
          <w:sz w:val="24"/>
          <w:szCs w:val="24"/>
        </w:rPr>
        <w:t>s</w:t>
      </w:r>
      <w:r w:rsidRPr="00C2003F">
        <w:rPr>
          <w:sz w:val="24"/>
          <w:szCs w:val="24"/>
        </w:rPr>
        <w:t>. 3.</w:t>
      </w:r>
    </w:p>
  </w:footnote>
  <w:footnote w:id="7">
    <w:p w:rsidR="00CC282A" w:rsidRPr="00C2003F" w:rsidRDefault="00CC282A" w:rsidP="00C07A07">
      <w:pPr>
        <w:pStyle w:val="FootnoteText"/>
        <w:ind w:left="567" w:hanging="567"/>
        <w:rPr>
          <w:sz w:val="24"/>
          <w:szCs w:val="24"/>
          <w:lang w:val="de-DE"/>
        </w:rPr>
      </w:pPr>
      <w:r w:rsidRPr="00C2003F">
        <w:rPr>
          <w:rStyle w:val="FootnoteReference"/>
          <w:sz w:val="24"/>
          <w:szCs w:val="24"/>
          <w:lang w:val="sv-SE"/>
        </w:rPr>
        <w:footnoteRef/>
      </w:r>
      <w:r w:rsidR="00C07A07" w:rsidRPr="00C2003F">
        <w:rPr>
          <w:sz w:val="24"/>
          <w:szCs w:val="24"/>
          <w:lang w:val="de-DE"/>
        </w:rPr>
        <w:t xml:space="preserve"> </w:t>
      </w:r>
      <w:r w:rsidR="00C07A07" w:rsidRPr="00C2003F">
        <w:rPr>
          <w:sz w:val="24"/>
          <w:szCs w:val="24"/>
          <w:lang w:val="de-DE"/>
        </w:rPr>
        <w:tab/>
      </w:r>
      <w:r w:rsidRPr="00C2003F">
        <w:rPr>
          <w:sz w:val="24"/>
          <w:szCs w:val="24"/>
          <w:lang w:val="de-DE"/>
        </w:rPr>
        <w:t>EGT L 1, 4.1.2003, s. 1.</w:t>
      </w:r>
    </w:p>
  </w:footnote>
  <w:footnote w:id="8">
    <w:p w:rsidR="00CC282A" w:rsidRPr="00C2003F" w:rsidRDefault="00CC282A" w:rsidP="00C07A07">
      <w:pPr>
        <w:pStyle w:val="FootnoteText"/>
        <w:ind w:left="567" w:hanging="567"/>
        <w:rPr>
          <w:sz w:val="24"/>
          <w:szCs w:val="24"/>
          <w:lang w:val="de-DE"/>
        </w:rPr>
      </w:pPr>
      <w:r w:rsidRPr="00C2003F">
        <w:rPr>
          <w:rStyle w:val="FootnoteReference"/>
          <w:sz w:val="24"/>
          <w:szCs w:val="24"/>
          <w:lang w:val="sv-SE"/>
        </w:rPr>
        <w:footnoteRef/>
      </w:r>
      <w:r w:rsidR="00C07A07" w:rsidRPr="00C2003F">
        <w:rPr>
          <w:sz w:val="24"/>
          <w:szCs w:val="24"/>
          <w:lang w:val="de-DE"/>
        </w:rPr>
        <w:t xml:space="preserve"> </w:t>
      </w:r>
      <w:r w:rsidR="00C07A07" w:rsidRPr="00C2003F">
        <w:rPr>
          <w:sz w:val="24"/>
          <w:szCs w:val="24"/>
          <w:lang w:val="de-DE"/>
        </w:rPr>
        <w:tab/>
      </w:r>
      <w:r w:rsidRPr="00C2003F">
        <w:rPr>
          <w:sz w:val="24"/>
          <w:szCs w:val="24"/>
          <w:lang w:val="de-DE"/>
        </w:rPr>
        <w:t>EUT L 123, 27.4.2004, s. 18.</w:t>
      </w:r>
    </w:p>
  </w:footnote>
  <w:footnote w:id="9">
    <w:p w:rsidR="00CC282A" w:rsidRPr="00C2003F" w:rsidRDefault="00CC282A" w:rsidP="00C07A07">
      <w:pPr>
        <w:pStyle w:val="FootnoteText"/>
        <w:ind w:left="567" w:hanging="567"/>
        <w:rPr>
          <w:sz w:val="24"/>
          <w:szCs w:val="24"/>
        </w:rPr>
      </w:pPr>
      <w:r w:rsidRPr="00C2003F">
        <w:rPr>
          <w:rStyle w:val="FootnoteReference"/>
          <w:sz w:val="24"/>
          <w:szCs w:val="24"/>
          <w:lang w:val="sv-SE"/>
        </w:rPr>
        <w:footnoteRef/>
      </w:r>
      <w:r w:rsidR="00C07A07" w:rsidRPr="00C2003F">
        <w:rPr>
          <w:sz w:val="24"/>
          <w:szCs w:val="24"/>
        </w:rPr>
        <w:t xml:space="preserve"> </w:t>
      </w:r>
      <w:r w:rsidR="00C07A07" w:rsidRPr="00C2003F">
        <w:rPr>
          <w:sz w:val="24"/>
          <w:szCs w:val="24"/>
        </w:rPr>
        <w:tab/>
      </w:r>
      <w:r w:rsidRPr="00C2003F">
        <w:rPr>
          <w:sz w:val="24"/>
          <w:szCs w:val="24"/>
        </w:rPr>
        <w:t>EUT C 80, 18.2.2022, s. 1.</w:t>
      </w:r>
    </w:p>
  </w:footnote>
  <w:footnote w:id="10">
    <w:p w:rsidR="00CC282A" w:rsidRPr="00C2003F" w:rsidRDefault="00CC282A" w:rsidP="00C07A07">
      <w:pPr>
        <w:pStyle w:val="FootnoteText"/>
        <w:ind w:left="567" w:hanging="567"/>
        <w:rPr>
          <w:sz w:val="24"/>
          <w:szCs w:val="24"/>
        </w:rPr>
      </w:pPr>
      <w:r w:rsidRPr="00C2003F">
        <w:rPr>
          <w:rStyle w:val="FootnoteReference"/>
          <w:sz w:val="24"/>
          <w:szCs w:val="24"/>
          <w:lang w:val="sv-SE"/>
        </w:rPr>
        <w:footnoteRef/>
      </w:r>
      <w:r w:rsidR="00C07A07" w:rsidRPr="00C2003F">
        <w:rPr>
          <w:sz w:val="24"/>
          <w:szCs w:val="24"/>
        </w:rPr>
        <w:t xml:space="preserve"> </w:t>
      </w:r>
      <w:r w:rsidR="00C07A07" w:rsidRPr="00C2003F">
        <w:rPr>
          <w:sz w:val="24"/>
          <w:szCs w:val="24"/>
        </w:rPr>
        <w:tab/>
      </w:r>
      <w:r w:rsidRPr="00C2003F">
        <w:rPr>
          <w:sz w:val="24"/>
          <w:szCs w:val="24"/>
        </w:rPr>
        <w:t>EUT C 36, 31.1.2023, s. 1.</w:t>
      </w:r>
    </w:p>
  </w:footnote>
  <w:footnote w:id="11">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EUT L 330, 23.12.2022, s. 1.</w:t>
      </w:r>
    </w:p>
  </w:footnote>
  <w:footnote w:id="12">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 xml:space="preserve">Kommissionens </w:t>
      </w:r>
      <w:hyperlink r:id="rId1" w:history="1">
        <w:r w:rsidRPr="00C2003F">
          <w:rPr>
            <w:rStyle w:val="Hyperlink"/>
            <w:sz w:val="24"/>
            <w:szCs w:val="24"/>
            <w:lang w:val="sv-SE"/>
          </w:rPr>
          <w:t>rapport av den 13 september 2023 om tillståndet i unionen</w:t>
        </w:r>
      </w:hyperlink>
      <w:r w:rsidRPr="00C2003F">
        <w:rPr>
          <w:sz w:val="24"/>
          <w:szCs w:val="24"/>
          <w:lang w:val="sv-SE"/>
        </w:rPr>
        <w:t>.</w:t>
      </w:r>
    </w:p>
  </w:footnote>
  <w:footnote w:id="13">
    <w:p w:rsidR="00CC282A" w:rsidRPr="00C2003F" w:rsidRDefault="00CC282A" w:rsidP="00C07A07">
      <w:pPr>
        <w:pStyle w:val="FootnoteText"/>
        <w:ind w:left="567" w:hanging="567"/>
        <w:rPr>
          <w:sz w:val="24"/>
          <w:szCs w:val="24"/>
        </w:rPr>
      </w:pPr>
      <w:r w:rsidRPr="00C2003F">
        <w:rPr>
          <w:rStyle w:val="FootnoteReference"/>
          <w:sz w:val="24"/>
          <w:szCs w:val="24"/>
          <w:lang w:val="sv-SE"/>
        </w:rPr>
        <w:footnoteRef/>
      </w:r>
      <w:r w:rsidR="00C07A07" w:rsidRPr="00C2003F">
        <w:rPr>
          <w:sz w:val="24"/>
          <w:szCs w:val="24"/>
        </w:rPr>
        <w:t xml:space="preserve"> </w:t>
      </w:r>
      <w:r w:rsidR="00C07A07" w:rsidRPr="00C2003F">
        <w:rPr>
          <w:sz w:val="24"/>
          <w:szCs w:val="24"/>
        </w:rPr>
        <w:tab/>
      </w:r>
      <w:r w:rsidRPr="00C2003F">
        <w:rPr>
          <w:sz w:val="24"/>
          <w:szCs w:val="24"/>
        </w:rPr>
        <w:t xml:space="preserve">EUT L 119, 5.5.2023, </w:t>
      </w:r>
      <w:r w:rsidR="00A056EB">
        <w:rPr>
          <w:sz w:val="24"/>
          <w:szCs w:val="24"/>
        </w:rPr>
        <w:t>s</w:t>
      </w:r>
      <w:r w:rsidRPr="00C2003F">
        <w:rPr>
          <w:sz w:val="24"/>
          <w:szCs w:val="24"/>
        </w:rPr>
        <w:t>. 22.</w:t>
      </w:r>
    </w:p>
  </w:footnote>
  <w:footnote w:id="14">
    <w:p w:rsidR="00CC282A" w:rsidRPr="00C2003F" w:rsidRDefault="00CC282A" w:rsidP="00C07A07">
      <w:pPr>
        <w:pStyle w:val="FootnoteText"/>
        <w:ind w:left="567" w:hanging="567"/>
        <w:rPr>
          <w:sz w:val="24"/>
          <w:szCs w:val="24"/>
        </w:rPr>
      </w:pPr>
      <w:r w:rsidRPr="00C2003F">
        <w:rPr>
          <w:rStyle w:val="FootnoteReference"/>
          <w:sz w:val="24"/>
          <w:szCs w:val="24"/>
          <w:lang w:val="sv-SE"/>
        </w:rPr>
        <w:footnoteRef/>
      </w:r>
      <w:r w:rsidR="00C07A07" w:rsidRPr="00C2003F">
        <w:rPr>
          <w:sz w:val="24"/>
          <w:szCs w:val="24"/>
        </w:rPr>
        <w:t xml:space="preserve"> </w:t>
      </w:r>
      <w:r w:rsidR="00C07A07" w:rsidRPr="00C2003F">
        <w:rPr>
          <w:sz w:val="24"/>
          <w:szCs w:val="24"/>
        </w:rPr>
        <w:tab/>
      </w:r>
      <w:r w:rsidRPr="00C2003F">
        <w:rPr>
          <w:sz w:val="24"/>
          <w:szCs w:val="24"/>
        </w:rPr>
        <w:t>EUT C 23, 23.1.2023, s. 1.</w:t>
      </w:r>
    </w:p>
  </w:footnote>
  <w:footnote w:id="15">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Europeiska unionens domstols dom (stora avdelningen) av den 4 juli 2023, Meta Platforms Inc m.fl./Bundeskartellamt, C-252/21, ECLI:EU:C:2023:537.</w:t>
      </w:r>
    </w:p>
  </w:footnote>
  <w:footnote w:id="16">
    <w:p w:rsidR="00CC282A" w:rsidRPr="00C2003F" w:rsidRDefault="00CC282A" w:rsidP="00C07A07">
      <w:pPr>
        <w:pStyle w:val="FootnoteText"/>
        <w:ind w:left="567" w:hanging="567"/>
        <w:rPr>
          <w:color w:val="0563C1" w:themeColor="hyperlink"/>
          <w:sz w:val="24"/>
          <w:szCs w:val="24"/>
          <w:u w:val="single"/>
          <w:lang w:val="en-GB"/>
        </w:rPr>
      </w:pPr>
      <w:r w:rsidRPr="00C2003F">
        <w:rPr>
          <w:rStyle w:val="FootnoteReference"/>
          <w:sz w:val="24"/>
          <w:szCs w:val="24"/>
          <w:lang w:val="sv-SE"/>
        </w:rPr>
        <w:footnoteRef/>
      </w:r>
      <w:r w:rsidR="00C07A07" w:rsidRPr="00C2003F">
        <w:rPr>
          <w:sz w:val="24"/>
          <w:szCs w:val="24"/>
          <w:lang w:val="en-GB"/>
        </w:rPr>
        <w:t xml:space="preserve"> </w:t>
      </w:r>
      <w:r w:rsidR="00C07A07" w:rsidRPr="00C2003F">
        <w:rPr>
          <w:sz w:val="24"/>
          <w:szCs w:val="24"/>
          <w:lang w:val="en-GB"/>
        </w:rPr>
        <w:tab/>
      </w:r>
      <w:hyperlink r:id="rId2" w:history="1">
        <w:r w:rsidRPr="00C2003F">
          <w:rPr>
            <w:rStyle w:val="Hyperlink"/>
            <w:sz w:val="24"/>
            <w:szCs w:val="24"/>
            <w:lang w:val="en-GB"/>
          </w:rPr>
          <w:t>DG COMP Code of good practices for a transparent, inclusive, faster design and assessment of IPCEIs</w:t>
        </w:r>
      </w:hyperlink>
      <w:r w:rsidRPr="00C2003F">
        <w:rPr>
          <w:sz w:val="24"/>
          <w:szCs w:val="24"/>
          <w:lang w:val="en-GB"/>
        </w:rPr>
        <w:t>.</w:t>
      </w:r>
    </w:p>
  </w:footnote>
  <w:footnote w:id="17">
    <w:p w:rsidR="00CC282A" w:rsidRPr="00C2003F" w:rsidRDefault="00CC282A" w:rsidP="00C07A07">
      <w:pPr>
        <w:pStyle w:val="FootnoteText"/>
        <w:ind w:left="567" w:hanging="567"/>
        <w:rPr>
          <w:sz w:val="24"/>
          <w:szCs w:val="24"/>
        </w:rPr>
      </w:pPr>
      <w:r w:rsidRPr="00C2003F">
        <w:rPr>
          <w:rStyle w:val="FootnoteReference"/>
          <w:sz w:val="24"/>
          <w:szCs w:val="24"/>
          <w:lang w:val="sv-SE"/>
        </w:rPr>
        <w:footnoteRef/>
      </w:r>
      <w:r w:rsidR="00C07A07" w:rsidRPr="00C2003F">
        <w:rPr>
          <w:sz w:val="24"/>
          <w:szCs w:val="24"/>
        </w:rPr>
        <w:t xml:space="preserve"> </w:t>
      </w:r>
      <w:r w:rsidR="00C07A07" w:rsidRPr="00C2003F">
        <w:rPr>
          <w:sz w:val="24"/>
          <w:szCs w:val="24"/>
        </w:rPr>
        <w:tab/>
      </w:r>
      <w:r w:rsidRPr="00C2003F">
        <w:rPr>
          <w:sz w:val="24"/>
          <w:szCs w:val="24"/>
        </w:rPr>
        <w:t>EUT C 101, 27.4.2004, s. 78.</w:t>
      </w:r>
      <w:bookmarkStart w:id="8" w:name="_GoBack"/>
      <w:bookmarkEnd w:id="8"/>
    </w:p>
  </w:footnote>
  <w:footnote w:id="18">
    <w:p w:rsidR="00CC282A" w:rsidRPr="00C2003F" w:rsidRDefault="00CC282A" w:rsidP="00C07A07">
      <w:pPr>
        <w:pStyle w:val="FootnoteText"/>
        <w:ind w:left="567" w:hanging="567"/>
        <w:rPr>
          <w:sz w:val="24"/>
          <w:szCs w:val="24"/>
        </w:rPr>
      </w:pPr>
      <w:r w:rsidRPr="00C2003F">
        <w:rPr>
          <w:rStyle w:val="FootnoteReference"/>
          <w:sz w:val="24"/>
          <w:szCs w:val="24"/>
          <w:lang w:val="sv-SE"/>
        </w:rPr>
        <w:footnoteRef/>
      </w:r>
      <w:r w:rsidR="00C07A07" w:rsidRPr="00C2003F">
        <w:rPr>
          <w:sz w:val="24"/>
          <w:szCs w:val="24"/>
        </w:rPr>
        <w:t xml:space="preserve"> </w:t>
      </w:r>
      <w:r w:rsidR="00C07A07" w:rsidRPr="00C2003F">
        <w:rPr>
          <w:sz w:val="24"/>
          <w:szCs w:val="24"/>
        </w:rPr>
        <w:tab/>
      </w:r>
      <w:r w:rsidRPr="00C2003F">
        <w:rPr>
          <w:sz w:val="24"/>
          <w:szCs w:val="24"/>
        </w:rPr>
        <w:t>EUT C 259, 21.7.2023, s. 1.</w:t>
      </w:r>
    </w:p>
  </w:footnote>
  <w:footnote w:id="19">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 xml:space="preserve">Europeiska ekonomiska och sociala kommittén, </w:t>
      </w:r>
      <w:hyperlink r:id="rId3" w:history="1">
        <w:r w:rsidRPr="00C2003F">
          <w:rPr>
            <w:rStyle w:val="Hyperlink"/>
            <w:sz w:val="24"/>
            <w:szCs w:val="24"/>
            <w:lang w:val="sv-SE"/>
          </w:rPr>
          <w:t>Report on Competition Policy 2022</w:t>
        </w:r>
      </w:hyperlink>
      <w:r w:rsidRPr="00C2003F">
        <w:rPr>
          <w:sz w:val="24"/>
          <w:szCs w:val="24"/>
          <w:lang w:val="sv-SE"/>
        </w:rPr>
        <w:t>, 25 oktober 2023.</w:t>
      </w:r>
    </w:p>
  </w:footnote>
  <w:footnote w:id="20">
    <w:p w:rsidR="00CC282A" w:rsidRPr="00C2003F" w:rsidRDefault="00CC282A" w:rsidP="00C07A07">
      <w:pPr>
        <w:pStyle w:val="FootnoteText"/>
        <w:ind w:left="567" w:hanging="567"/>
        <w:rPr>
          <w:sz w:val="24"/>
          <w:szCs w:val="24"/>
          <w:lang w:val="en-GB"/>
        </w:rPr>
      </w:pPr>
      <w:r w:rsidRPr="00C2003F">
        <w:rPr>
          <w:rStyle w:val="FootnoteReference"/>
          <w:sz w:val="24"/>
          <w:szCs w:val="24"/>
          <w:lang w:val="sv-SE"/>
        </w:rPr>
        <w:footnoteRef/>
      </w:r>
      <w:r w:rsidR="00C07A07" w:rsidRPr="00C2003F">
        <w:rPr>
          <w:sz w:val="24"/>
          <w:szCs w:val="24"/>
          <w:lang w:val="en-GB"/>
        </w:rPr>
        <w:t xml:space="preserve"> </w:t>
      </w:r>
      <w:r w:rsidR="00C07A07" w:rsidRPr="00C2003F">
        <w:rPr>
          <w:sz w:val="24"/>
          <w:szCs w:val="24"/>
          <w:lang w:val="en-GB"/>
        </w:rPr>
        <w:tab/>
      </w:r>
      <w:r w:rsidRPr="00C2003F">
        <w:rPr>
          <w:sz w:val="24"/>
          <w:szCs w:val="24"/>
          <w:lang w:val="en-GB"/>
        </w:rPr>
        <w:t>OECD, ‘</w:t>
      </w:r>
      <w:hyperlink r:id="rId4" w:history="1">
        <w:r w:rsidRPr="00C2003F">
          <w:rPr>
            <w:rStyle w:val="Hyperlink"/>
            <w:sz w:val="24"/>
            <w:szCs w:val="24"/>
            <w:lang w:val="en-GB"/>
          </w:rPr>
          <w:t>Competition and Inflation:</w:t>
        </w:r>
      </w:hyperlink>
      <w:hyperlink r:id="rId5" w:history="1">
        <w:r w:rsidRPr="00C2003F">
          <w:rPr>
            <w:rStyle w:val="Hyperlink"/>
            <w:sz w:val="24"/>
            <w:szCs w:val="24"/>
            <w:lang w:val="en-GB"/>
          </w:rPr>
          <w:t xml:space="preserve"> OECD Competition Policy Roundtable Background Note’</w:t>
        </w:r>
      </w:hyperlink>
      <w:r w:rsidRPr="00C2003F">
        <w:rPr>
          <w:sz w:val="24"/>
          <w:szCs w:val="24"/>
          <w:lang w:val="en-GB"/>
        </w:rPr>
        <w:t>, 2022.</w:t>
      </w:r>
    </w:p>
  </w:footnote>
  <w:footnote w:id="21">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Grekland, Tyskland.</w:t>
      </w:r>
    </w:p>
  </w:footnote>
  <w:footnote w:id="22">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Europaparlamentets och rådets förordning (EU) 2016/1037 av den 8 juni 2016 om skydd mot subventionerad import från länder som inte är medlemmar i Europeiska unionen (EUT L 176, 30.6.2016, s. 55).</w:t>
      </w:r>
    </w:p>
  </w:footnote>
  <w:footnote w:id="23">
    <w:p w:rsidR="00CC282A" w:rsidRPr="00C2003F" w:rsidRDefault="00CC282A" w:rsidP="00C07A07">
      <w:pPr>
        <w:pStyle w:val="FootnoteText"/>
        <w:ind w:left="567" w:hanging="567"/>
        <w:rPr>
          <w:color w:val="0563C1" w:themeColor="hyperlink"/>
          <w:sz w:val="24"/>
          <w:szCs w:val="24"/>
          <w:u w:val="single"/>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 xml:space="preserve">Europeiska värdepappers- och marknadsmyndigheten, </w:t>
      </w:r>
      <w:hyperlink r:id="rId6" w:history="1">
        <w:r w:rsidRPr="00C2003F">
          <w:rPr>
            <w:rStyle w:val="Hyperlink"/>
            <w:sz w:val="24"/>
            <w:szCs w:val="24"/>
            <w:lang w:val="sv-SE"/>
          </w:rPr>
          <w:t>Report on CRA Market Share Calculation</w:t>
        </w:r>
      </w:hyperlink>
      <w:r w:rsidRPr="00C2003F">
        <w:rPr>
          <w:sz w:val="24"/>
          <w:szCs w:val="24"/>
          <w:lang w:val="sv-SE"/>
        </w:rPr>
        <w:t>, 15 december 2022.</w:t>
      </w:r>
    </w:p>
  </w:footnote>
  <w:footnote w:id="24">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 xml:space="preserve">Europeiska kommissionen, </w:t>
      </w:r>
      <w:hyperlink r:id="rId7" w:history="1">
        <w:r w:rsidRPr="00C2003F">
          <w:rPr>
            <w:rStyle w:val="Hyperlink"/>
            <w:sz w:val="24"/>
            <w:szCs w:val="24"/>
            <w:lang w:val="sv-SE"/>
          </w:rPr>
          <w:t>Booking Holdings/Etraveli Group</w:t>
        </w:r>
      </w:hyperlink>
      <w:r w:rsidRPr="00C2003F">
        <w:rPr>
          <w:sz w:val="24"/>
          <w:szCs w:val="24"/>
          <w:lang w:val="sv-SE"/>
        </w:rPr>
        <w:t>, beslut av den 25 september 2023.</w:t>
      </w:r>
    </w:p>
  </w:footnote>
  <w:footnote w:id="25">
    <w:p w:rsidR="00CC282A" w:rsidRPr="00C2003F" w:rsidRDefault="00CC282A" w:rsidP="00C07A07">
      <w:pPr>
        <w:pStyle w:val="FootnoteText"/>
        <w:ind w:left="567" w:hanging="567"/>
        <w:rPr>
          <w:sz w:val="24"/>
          <w:szCs w:val="24"/>
          <w:lang w:val="en-GB"/>
        </w:rPr>
      </w:pPr>
      <w:r w:rsidRPr="00C2003F">
        <w:rPr>
          <w:rStyle w:val="FootnoteReference"/>
          <w:sz w:val="24"/>
          <w:szCs w:val="24"/>
          <w:lang w:val="sv-SE"/>
        </w:rPr>
        <w:footnoteRef/>
      </w:r>
      <w:r w:rsidR="00C07A07" w:rsidRPr="00C2003F">
        <w:rPr>
          <w:sz w:val="24"/>
          <w:szCs w:val="24"/>
          <w:lang w:val="en-GB"/>
        </w:rPr>
        <w:t xml:space="preserve"> </w:t>
      </w:r>
      <w:r w:rsidR="00C07A07" w:rsidRPr="00C2003F">
        <w:rPr>
          <w:sz w:val="24"/>
          <w:szCs w:val="24"/>
          <w:lang w:val="en-GB"/>
        </w:rPr>
        <w:tab/>
      </w:r>
      <w:r w:rsidRPr="00C2003F">
        <w:rPr>
          <w:sz w:val="24"/>
          <w:szCs w:val="24"/>
          <w:lang w:val="en-GB"/>
        </w:rPr>
        <w:t xml:space="preserve">Europeiska kommissionen (2021): </w:t>
      </w:r>
      <w:hyperlink r:id="rId8" w:history="1">
        <w:r w:rsidRPr="00C2003F">
          <w:rPr>
            <w:rStyle w:val="Hyperlink"/>
            <w:sz w:val="24"/>
            <w:szCs w:val="24"/>
            <w:lang w:val="en-GB"/>
          </w:rPr>
          <w:t>Antitrust:</w:t>
        </w:r>
      </w:hyperlink>
      <w:hyperlink r:id="rId9" w:history="1">
        <w:r w:rsidRPr="00C2003F">
          <w:rPr>
            <w:rStyle w:val="Hyperlink"/>
            <w:sz w:val="24"/>
            <w:szCs w:val="24"/>
            <w:lang w:val="en-GB"/>
          </w:rPr>
          <w:t xml:space="preserve"> Commission opens investigation into possible anticompetitive practices by Microsoft regarding Teams</w:t>
        </w:r>
      </w:hyperlink>
      <w:r w:rsidRPr="00C2003F">
        <w:rPr>
          <w:sz w:val="24"/>
          <w:szCs w:val="24"/>
          <w:lang w:val="en-GB"/>
        </w:rPr>
        <w:t>, 27 juli 2023.</w:t>
      </w:r>
    </w:p>
  </w:footnote>
  <w:footnote w:id="26">
    <w:p w:rsidR="00CC282A" w:rsidRPr="00C2003F" w:rsidRDefault="00CC282A" w:rsidP="00C07A07">
      <w:pPr>
        <w:pStyle w:val="FootnoteText"/>
        <w:ind w:left="567" w:hanging="567"/>
        <w:rPr>
          <w:sz w:val="24"/>
          <w:szCs w:val="24"/>
          <w:lang w:val="en-GB"/>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hyperlink r:id="rId10" w:history="1">
        <w:r w:rsidRPr="00C2003F">
          <w:rPr>
            <w:rStyle w:val="Hyperlink"/>
            <w:sz w:val="24"/>
            <w:szCs w:val="24"/>
            <w:lang w:val="sv-SE"/>
          </w:rPr>
          <w:t>Se officiella beslut</w:t>
        </w:r>
      </w:hyperlink>
      <w:r w:rsidRPr="00C2003F">
        <w:rPr>
          <w:sz w:val="24"/>
          <w:szCs w:val="24"/>
          <w:lang w:val="sv-SE"/>
        </w:rPr>
        <w:t xml:space="preserve"> , rättsakten om digitala marknader. </w:t>
      </w:r>
      <w:r w:rsidRPr="00C2003F">
        <w:rPr>
          <w:sz w:val="24"/>
          <w:szCs w:val="24"/>
          <w:lang w:val="en-GB"/>
        </w:rPr>
        <w:t>100044, 100040, 100035, 100027, 100026, 100025, 100024, 100020, 100018, 100017, 100016, 100013, 100011.</w:t>
      </w:r>
    </w:p>
  </w:footnote>
  <w:footnote w:id="27">
    <w:p w:rsidR="00CC282A" w:rsidRPr="00C2003F" w:rsidRDefault="00CC282A" w:rsidP="00C07A07">
      <w:pPr>
        <w:pStyle w:val="FootnoteText"/>
        <w:ind w:left="567" w:hanging="567"/>
        <w:rPr>
          <w:sz w:val="24"/>
          <w:szCs w:val="24"/>
          <w:lang w:val="en-GB"/>
        </w:rPr>
      </w:pPr>
      <w:r w:rsidRPr="00C2003F">
        <w:rPr>
          <w:rStyle w:val="FootnoteReference"/>
          <w:sz w:val="24"/>
          <w:szCs w:val="24"/>
          <w:lang w:val="sv-SE"/>
        </w:rPr>
        <w:footnoteRef/>
      </w:r>
      <w:r w:rsidR="00C07A07" w:rsidRPr="00C2003F">
        <w:rPr>
          <w:sz w:val="24"/>
          <w:szCs w:val="24"/>
          <w:lang w:val="en-GB"/>
        </w:rPr>
        <w:t xml:space="preserve"> </w:t>
      </w:r>
      <w:r w:rsidR="00C07A07" w:rsidRPr="00C2003F">
        <w:rPr>
          <w:sz w:val="24"/>
          <w:szCs w:val="24"/>
          <w:lang w:val="en-GB"/>
        </w:rPr>
        <w:tab/>
      </w:r>
      <w:r w:rsidRPr="00C2003F">
        <w:rPr>
          <w:sz w:val="24"/>
          <w:szCs w:val="24"/>
          <w:lang w:val="en-GB"/>
        </w:rPr>
        <w:t>Europeiska kommissionen, Study on the impact of recent developments in digital advertising on privacy, publishers and advertisers, s. 263–264.</w:t>
      </w:r>
    </w:p>
  </w:footnote>
  <w:footnote w:id="28">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Europaparlamentets och rådets förordning (EU) 2022/2065 av den 19 oktober 2022 om en inre marknad för digitala tjänster och om ändring av direktiv 2000/31/EG (EUT L 277, 27.10.2022, s. 1).</w:t>
      </w:r>
    </w:p>
  </w:footnote>
  <w:footnote w:id="29">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Beslut, rättsakten om digitala marknader. 100015. Rättsakten om digitala marknader. 100028 och rättsakten om digitala marknader. 100034.</w:t>
      </w:r>
    </w:p>
  </w:footnote>
  <w:footnote w:id="30">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Beslut, rättsakten om digitala marknader. 100047 och rättsakten om digitala marknader. 100022.</w:t>
      </w:r>
    </w:p>
  </w:footnote>
  <w:footnote w:id="31">
    <w:p w:rsidR="00CC282A" w:rsidRPr="00C2003F" w:rsidRDefault="00CC282A" w:rsidP="00C07A07">
      <w:pPr>
        <w:pStyle w:val="FootnoteText"/>
        <w:ind w:left="567" w:hanging="567"/>
        <w:rPr>
          <w:sz w:val="24"/>
          <w:szCs w:val="24"/>
          <w:lang w:val="sv-SE"/>
        </w:rPr>
      </w:pPr>
      <w:r w:rsidRPr="00C2003F">
        <w:rPr>
          <w:rStyle w:val="FootnoteReference"/>
          <w:sz w:val="24"/>
          <w:szCs w:val="24"/>
          <w:lang w:val="sv-SE"/>
        </w:rPr>
        <w:footnoteRef/>
      </w:r>
      <w:r w:rsidR="00C07A07" w:rsidRPr="00C2003F">
        <w:rPr>
          <w:sz w:val="24"/>
          <w:szCs w:val="24"/>
          <w:lang w:val="sv-SE"/>
        </w:rPr>
        <w:t xml:space="preserve"> </w:t>
      </w:r>
      <w:r w:rsidR="00C07A07" w:rsidRPr="00C2003F">
        <w:rPr>
          <w:sz w:val="24"/>
          <w:szCs w:val="24"/>
          <w:lang w:val="sv-SE"/>
        </w:rPr>
        <w:tab/>
      </w:r>
      <w:r w:rsidRPr="00C2003F">
        <w:rPr>
          <w:sz w:val="24"/>
          <w:szCs w:val="24"/>
          <w:lang w:val="sv-SE"/>
        </w:rPr>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32">
    <w:p w:rsidR="00CC282A" w:rsidRPr="00C2003F" w:rsidRDefault="00CC282A" w:rsidP="00C07A07">
      <w:pPr>
        <w:pStyle w:val="FootnoteText"/>
        <w:ind w:left="567" w:hanging="567"/>
        <w:rPr>
          <w:sz w:val="24"/>
          <w:szCs w:val="24"/>
          <w:lang w:val="en-GB"/>
        </w:rPr>
      </w:pPr>
      <w:r w:rsidRPr="00C2003F">
        <w:rPr>
          <w:rStyle w:val="FootnoteReference"/>
          <w:sz w:val="24"/>
          <w:szCs w:val="24"/>
          <w:lang w:val="sv-SE"/>
        </w:rPr>
        <w:footnoteRef/>
      </w:r>
      <w:r w:rsidR="00C07A07" w:rsidRPr="00C2003F">
        <w:rPr>
          <w:sz w:val="24"/>
          <w:szCs w:val="24"/>
          <w:lang w:val="en-GB"/>
        </w:rPr>
        <w:t xml:space="preserve"> </w:t>
      </w:r>
      <w:r w:rsidR="00C07A07" w:rsidRPr="00C2003F">
        <w:rPr>
          <w:sz w:val="24"/>
          <w:szCs w:val="24"/>
          <w:lang w:val="en-GB"/>
        </w:rPr>
        <w:tab/>
      </w:r>
      <w:r w:rsidRPr="00C2003F">
        <w:rPr>
          <w:sz w:val="24"/>
          <w:szCs w:val="24"/>
          <w:lang w:val="en-GB"/>
        </w:rPr>
        <w:t xml:space="preserve">G7-toppmötet i Hiroshima, </w:t>
      </w:r>
      <w:hyperlink r:id="rId11" w:history="1">
        <w:r w:rsidRPr="00C2003F">
          <w:rPr>
            <w:rStyle w:val="Hyperlink"/>
            <w:sz w:val="24"/>
            <w:szCs w:val="24"/>
            <w:lang w:val="en-GB"/>
          </w:rPr>
          <w:t>Compendium of approaches to improving competition in digital markets</w:t>
        </w:r>
      </w:hyperlink>
      <w:r w:rsidRPr="00C2003F">
        <w:rPr>
          <w:sz w:val="24"/>
          <w:szCs w:val="24"/>
          <w:lang w:val="en-GB"/>
        </w:rPr>
        <w:t>, 8 </w:t>
      </w:r>
      <w:proofErr w:type="gramStart"/>
      <w:r w:rsidRPr="00C2003F">
        <w:rPr>
          <w:sz w:val="24"/>
          <w:szCs w:val="24"/>
          <w:lang w:val="en-GB"/>
        </w:rPr>
        <w:t>november</w:t>
      </w:r>
      <w:proofErr w:type="gramEnd"/>
      <w:r w:rsidRPr="00C2003F">
        <w:rPr>
          <w:sz w:val="24"/>
          <w:szCs w:val="24"/>
          <w:lang w:val="en-GB"/>
        </w:rPr>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SV"/>
    <w:docVar w:name="dvnumam" w:val="0"/>
    <w:docVar w:name="dvpe" w:val="753.544"/>
    <w:docVar w:name="dvrapporteur" w:val="Föredragande: "/>
    <w:docVar w:name="dvtitre" w:val="Europaparlamentets resolution av den xx xx 2024 om konkurrenspolitiken – årsrapport 2023(2023/2077(INI))"/>
  </w:docVars>
  <w:rsids>
    <w:rsidRoot w:val="00B02893"/>
    <w:rsid w:val="00002272"/>
    <w:rsid w:val="0002724C"/>
    <w:rsid w:val="00064002"/>
    <w:rsid w:val="000677B9"/>
    <w:rsid w:val="000831BA"/>
    <w:rsid w:val="000A42CC"/>
    <w:rsid w:val="000E7DD9"/>
    <w:rsid w:val="0010095E"/>
    <w:rsid w:val="00125B37"/>
    <w:rsid w:val="00187494"/>
    <w:rsid w:val="001F32AE"/>
    <w:rsid w:val="002767FF"/>
    <w:rsid w:val="002B18FE"/>
    <w:rsid w:val="002B5493"/>
    <w:rsid w:val="002B72EC"/>
    <w:rsid w:val="00343214"/>
    <w:rsid w:val="00361C00"/>
    <w:rsid w:val="00395FA1"/>
    <w:rsid w:val="003E15D4"/>
    <w:rsid w:val="00411CCE"/>
    <w:rsid w:val="0041666E"/>
    <w:rsid w:val="00421060"/>
    <w:rsid w:val="00471C19"/>
    <w:rsid w:val="004867E3"/>
    <w:rsid w:val="00494A28"/>
    <w:rsid w:val="004972A9"/>
    <w:rsid w:val="004C0004"/>
    <w:rsid w:val="004C5D52"/>
    <w:rsid w:val="0050519A"/>
    <w:rsid w:val="005072A1"/>
    <w:rsid w:val="00514517"/>
    <w:rsid w:val="00545827"/>
    <w:rsid w:val="00560270"/>
    <w:rsid w:val="005B04D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2EE"/>
    <w:rsid w:val="00881A7B"/>
    <w:rsid w:val="008840E5"/>
    <w:rsid w:val="00887B3E"/>
    <w:rsid w:val="008C2AC6"/>
    <w:rsid w:val="00930C23"/>
    <w:rsid w:val="0093193B"/>
    <w:rsid w:val="009509D8"/>
    <w:rsid w:val="00950B64"/>
    <w:rsid w:val="00981893"/>
    <w:rsid w:val="00A056EB"/>
    <w:rsid w:val="00A1687D"/>
    <w:rsid w:val="00A43E52"/>
    <w:rsid w:val="00A4678D"/>
    <w:rsid w:val="00A778C7"/>
    <w:rsid w:val="00AB441E"/>
    <w:rsid w:val="00AB6293"/>
    <w:rsid w:val="00AE0928"/>
    <w:rsid w:val="00AF3B82"/>
    <w:rsid w:val="00B02893"/>
    <w:rsid w:val="00B12E95"/>
    <w:rsid w:val="00B22876"/>
    <w:rsid w:val="00B558F0"/>
    <w:rsid w:val="00BD48FE"/>
    <w:rsid w:val="00BD7BD8"/>
    <w:rsid w:val="00BE6ADC"/>
    <w:rsid w:val="00C05BFE"/>
    <w:rsid w:val="00C07A07"/>
    <w:rsid w:val="00C2003F"/>
    <w:rsid w:val="00C23CD4"/>
    <w:rsid w:val="00C61C0C"/>
    <w:rsid w:val="00C941CB"/>
    <w:rsid w:val="00CC2357"/>
    <w:rsid w:val="00CC282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97618"/>
  <w15:chartTrackingRefBased/>
  <w15:docId w15:val="{CBFE6271-793D-49B6-AEB8-BAFE021FB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C282A"/>
    <w:pPr>
      <w:spacing w:after="240"/>
      <w:ind w:left="567" w:hanging="567"/>
    </w:pPr>
  </w:style>
  <w:style w:type="paragraph" w:customStyle="1" w:styleId="EPComma">
    <w:name w:val="EPComma"/>
    <w:basedOn w:val="Normal"/>
    <w:rsid w:val="00CC282A"/>
    <w:pPr>
      <w:spacing w:before="480" w:after="240"/>
    </w:pPr>
  </w:style>
  <w:style w:type="character" w:styleId="Hyperlink">
    <w:name w:val="Hyperlink"/>
    <w:basedOn w:val="DefaultParagraphFont"/>
    <w:rsid w:val="00CC282A"/>
    <w:rPr>
      <w:color w:val="0563C1" w:themeColor="hyperlink"/>
      <w:u w:val="single"/>
    </w:rPr>
  </w:style>
  <w:style w:type="character" w:customStyle="1" w:styleId="NormalHanging12aChar">
    <w:name w:val="NormalHanging12a Char"/>
    <w:basedOn w:val="DefaultParagraphFont"/>
    <w:link w:val="NormalHanging12a"/>
    <w:rsid w:val="00CC282A"/>
    <w:rPr>
      <w:sz w:val="24"/>
      <w:lang w:val="sv-SE"/>
    </w:rPr>
  </w:style>
  <w:style w:type="paragraph" w:styleId="BalloonText">
    <w:name w:val="Balloon Text"/>
    <w:basedOn w:val="Normal"/>
    <w:link w:val="BalloonTextChar"/>
    <w:rsid w:val="008702EE"/>
    <w:rPr>
      <w:rFonts w:ascii="Segoe UI" w:hAnsi="Segoe UI" w:cs="Segoe UI"/>
      <w:sz w:val="18"/>
      <w:szCs w:val="18"/>
    </w:rPr>
  </w:style>
  <w:style w:type="character" w:customStyle="1" w:styleId="BalloonTextChar">
    <w:name w:val="Balloon Text Char"/>
    <w:basedOn w:val="DefaultParagraphFont"/>
    <w:link w:val="BalloonText"/>
    <w:rsid w:val="008702EE"/>
    <w:rPr>
      <w:rFonts w:ascii="Segoe UI" w:hAnsi="Segoe UI" w:cs="Segoe UI"/>
      <w:sz w:val="18"/>
      <w:szCs w:val="18"/>
      <w:lang w:val="sv-SE"/>
    </w:rPr>
  </w:style>
  <w:style w:type="character" w:styleId="FollowedHyperlink">
    <w:name w:val="FollowedHyperlink"/>
    <w:basedOn w:val="DefaultParagraphFont"/>
    <w:rsid w:val="008702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sv/ip_23_3991"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sv" TargetMode="External"/><Relationship Id="rId6" Type="http://schemas.openxmlformats.org/officeDocument/2006/relationships/hyperlink" Target="https://www.esma.europa.eu/sites/default/files/library/esma80-416-1564_report_on_cra_market_share_calculation_2022.pdf" TargetMode="External"/><Relationship Id="rId11" Type="http://schemas.openxmlformats.org/officeDocument/2006/relationships/hyperlink" Target="https://www.jftc.go.jp/en/pressreleases/yearly-2023/November/231108G7_result2EN.pdf" TargetMode="External"/><Relationship Id="rId5" Type="http://schemas.openxmlformats.org/officeDocument/2006/relationships/hyperlink" Target="https://www.oecd.org/daf/competition/competition-and-inflation-2022.pdf" TargetMode="External"/><Relationship Id="rId10" Type="http://schemas.openxmlformats.org/officeDocument/2006/relationships/hyperlink" Target="https://digital-markets-act-cases.ec.europa.eu/search"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ec.europa.eu/commission/presscorner/detail/sv/ip_23_3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E4CDA-8BB6-4D10-A0F6-8AB1147A9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4803</Words>
  <Characters>32647</Characters>
  <Application>Microsoft Office Word</Application>
  <DocSecurity>0</DocSecurity>
  <Lines>725</Lines>
  <Paragraphs>435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2024-02-14T09:50:00Z</dcterms:created>
  <dcterms:modified xsi:type="dcterms:W3CDTF">2024-02-14T09:50:00Z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P9_TA-PROV(2024)0011_A9-0427_2023_SV_r</vt:lpwstr>
  </property>
  <property fmtid="{D5CDD505-2E9C-101B-9397-08002B2CF9AE}" pid="4" name="&lt;Type&gt;">
    <vt:lpwstr>RR</vt:lpwstr>
  </property>
</Properties>
</file>