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3403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34030" w:rsidRDefault="005B13D1" w:rsidP="0010095E">
            <w:pPr>
              <w:pStyle w:val="EPName"/>
            </w:pPr>
            <w:r w:rsidRPr="00934030">
              <w:t>Evropský parlament</w:t>
            </w:r>
          </w:p>
          <w:p w:rsidR="00751A4A" w:rsidRPr="0093403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3403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34030" w:rsidRDefault="00187494" w:rsidP="0010095E">
            <w:pPr>
              <w:pStyle w:val="EPLogo"/>
            </w:pPr>
            <w:r w:rsidRPr="0093403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34030" w:rsidRDefault="00D058B8" w:rsidP="004C5D52">
      <w:pPr>
        <w:pStyle w:val="LineTop"/>
      </w:pPr>
    </w:p>
    <w:p w:rsidR="00680577" w:rsidRPr="00934030" w:rsidRDefault="005B13D1" w:rsidP="00680577">
      <w:pPr>
        <w:pStyle w:val="EPBodyTA1"/>
      </w:pPr>
      <w:r w:rsidRPr="00934030">
        <w:t>PŘIJATÉ TEXTY</w:t>
      </w:r>
    </w:p>
    <w:p w:rsidR="00D058B8" w:rsidRPr="00934030" w:rsidRDefault="00D058B8" w:rsidP="00D058B8">
      <w:pPr>
        <w:pStyle w:val="LineBottom"/>
      </w:pPr>
    </w:p>
    <w:p w:rsidR="005B13D1" w:rsidRPr="00934030" w:rsidRDefault="005B13D1" w:rsidP="005B13D1">
      <w:pPr>
        <w:pStyle w:val="ATHeading1"/>
      </w:pPr>
      <w:bookmarkStart w:id="0" w:name="TANumber"/>
      <w:r w:rsidRPr="00934030">
        <w:t>P9_TA(2024)00</w:t>
      </w:r>
      <w:r w:rsidR="00230D1A">
        <w:t>12</w:t>
      </w:r>
      <w:bookmarkEnd w:id="0"/>
    </w:p>
    <w:p w:rsidR="005B13D1" w:rsidRPr="00934030" w:rsidRDefault="005B13D1" w:rsidP="005B13D1">
      <w:pPr>
        <w:pStyle w:val="ATHeading2"/>
      </w:pPr>
      <w:bookmarkStart w:id="1" w:name="title"/>
      <w:r w:rsidRPr="00934030">
        <w:t>Bankovní unie – výroční zpráva za rok 2023</w:t>
      </w:r>
      <w:bookmarkEnd w:id="1"/>
    </w:p>
    <w:p w:rsidR="005B13D1" w:rsidRPr="00934030" w:rsidRDefault="005B13D1" w:rsidP="005B13D1">
      <w:pPr>
        <w:rPr>
          <w:i/>
          <w:vanish/>
        </w:rPr>
      </w:pPr>
      <w:r w:rsidRPr="00934030">
        <w:rPr>
          <w:i/>
        </w:rPr>
        <w:fldChar w:fldCharType="begin"/>
      </w:r>
      <w:r w:rsidRPr="00934030">
        <w:rPr>
          <w:i/>
        </w:rPr>
        <w:instrText xml:space="preserve"> TC"(</w:instrText>
      </w:r>
      <w:bookmarkStart w:id="2" w:name="DocNumber"/>
      <w:r w:rsidRPr="00934030">
        <w:rPr>
          <w:i/>
        </w:rPr>
        <w:instrText>A9-0431/2023</w:instrText>
      </w:r>
      <w:bookmarkEnd w:id="2"/>
      <w:r w:rsidRPr="00934030">
        <w:rPr>
          <w:i/>
        </w:rPr>
        <w:instrText xml:space="preserve"> - Zpravodaj: </w:instrText>
      </w:r>
      <w:proofErr w:type="spellStart"/>
      <w:r w:rsidRPr="00934030">
        <w:rPr>
          <w:i/>
        </w:rPr>
        <w:instrText>Ivars</w:instrText>
      </w:r>
      <w:proofErr w:type="spellEnd"/>
      <w:r w:rsidRPr="00934030">
        <w:rPr>
          <w:i/>
        </w:rPr>
        <w:instrText xml:space="preserve"> </w:instrText>
      </w:r>
      <w:proofErr w:type="spellStart"/>
      <w:r w:rsidRPr="00934030">
        <w:rPr>
          <w:i/>
        </w:rPr>
        <w:instrText>Ijabs</w:instrText>
      </w:r>
      <w:proofErr w:type="spellEnd"/>
      <w:r w:rsidRPr="00934030">
        <w:rPr>
          <w:i/>
        </w:rPr>
        <w:instrText xml:space="preserve">)"\l3 \n&gt; \* MERGEFORMAT </w:instrText>
      </w:r>
      <w:r w:rsidRPr="00934030">
        <w:rPr>
          <w:i/>
        </w:rPr>
        <w:fldChar w:fldCharType="end"/>
      </w:r>
    </w:p>
    <w:p w:rsidR="005B13D1" w:rsidRPr="00934030" w:rsidRDefault="005B13D1" w:rsidP="005B13D1">
      <w:pPr>
        <w:rPr>
          <w:vanish/>
        </w:rPr>
      </w:pPr>
      <w:bookmarkStart w:id="3" w:name="Commission"/>
      <w:r w:rsidRPr="00934030">
        <w:rPr>
          <w:vanish/>
        </w:rPr>
        <w:t>Hospodářský a měnový výbor</w:t>
      </w:r>
      <w:bookmarkEnd w:id="3"/>
    </w:p>
    <w:p w:rsidR="005B13D1" w:rsidRPr="00934030" w:rsidRDefault="005B13D1" w:rsidP="005B13D1">
      <w:pPr>
        <w:rPr>
          <w:vanish/>
        </w:rPr>
      </w:pPr>
      <w:bookmarkStart w:id="4" w:name="PE"/>
      <w:r w:rsidRPr="00934030">
        <w:rPr>
          <w:vanish/>
        </w:rPr>
        <w:t>PE752.739</w:t>
      </w:r>
      <w:bookmarkEnd w:id="4"/>
    </w:p>
    <w:p w:rsidR="005B13D1" w:rsidRPr="00934030" w:rsidRDefault="005B13D1" w:rsidP="005B13D1">
      <w:pPr>
        <w:pStyle w:val="ATHeading3"/>
      </w:pPr>
      <w:bookmarkStart w:id="5" w:name="Sujet"/>
      <w:r w:rsidRPr="00934030">
        <w:t xml:space="preserve">Usnesení </w:t>
      </w:r>
      <w:r w:rsidR="005651C8">
        <w:t xml:space="preserve">Evropského parlamentu ze dne </w:t>
      </w:r>
      <w:r w:rsidR="004D1A37">
        <w:t>16</w:t>
      </w:r>
      <w:r w:rsidR="005651C8">
        <w:t>. ledna</w:t>
      </w:r>
      <w:r w:rsidRPr="00934030">
        <w:t xml:space="preserve"> 2024 o bankovní unii – výroční zpráva za rok 2023</w:t>
      </w:r>
      <w:bookmarkEnd w:id="5"/>
      <w:r w:rsidRPr="00934030">
        <w:t xml:space="preserve"> </w:t>
      </w:r>
      <w:bookmarkStart w:id="6" w:name="References"/>
      <w:r w:rsidRPr="00934030">
        <w:t>(2023/2078(INI))</w:t>
      </w:r>
      <w:bookmarkEnd w:id="6"/>
    </w:p>
    <w:p w:rsidR="00537D98" w:rsidRPr="00934030" w:rsidRDefault="00537D98" w:rsidP="00537D98">
      <w:pPr>
        <w:pStyle w:val="EPComma"/>
      </w:pPr>
      <w:bookmarkStart w:id="7" w:name="TextBodyBegin"/>
      <w:bookmarkEnd w:id="7"/>
      <w:r w:rsidRPr="00934030">
        <w:rPr>
          <w:i/>
        </w:rPr>
        <w:t>Evropský parlament</w:t>
      </w:r>
      <w:r w:rsidRPr="00934030">
        <w:t>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 ohledem na své usnesení ze dne 11. července 2023 s názvem „Bankovní unie – výroční zpráva za rok 2022“</w:t>
      </w:r>
      <w:r w:rsidRPr="00934030">
        <w:rPr>
          <w:rStyle w:val="FootnoteReference"/>
        </w:rPr>
        <w:footnoteReference w:id="1"/>
      </w:r>
      <w:r w:rsidRPr="00934030">
        <w:t>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 ohledem na opatření Komise v návaznosti na usnesení Parlamentu ze dne 11. července 2023 o bankovní unii – výroční zpráva za rok 2022,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 xml:space="preserve">s ohledem na dokument Evropské centrální banky nazvaný „Feedback on </w:t>
      </w:r>
      <w:proofErr w:type="spellStart"/>
      <w:r w:rsidRPr="00934030">
        <w:t>the</w:t>
      </w:r>
      <w:proofErr w:type="spellEnd"/>
      <w:r w:rsidRPr="00934030">
        <w:t xml:space="preserve"> input </w:t>
      </w:r>
      <w:proofErr w:type="spellStart"/>
      <w:r w:rsidRPr="00934030">
        <w:t>provided</w:t>
      </w:r>
      <w:proofErr w:type="spellEnd"/>
      <w:r w:rsidRPr="00934030">
        <w:t xml:space="preserve"> by </w:t>
      </w:r>
      <w:proofErr w:type="spellStart"/>
      <w:r w:rsidRPr="00934030">
        <w:t>the</w:t>
      </w:r>
      <w:proofErr w:type="spellEnd"/>
      <w:r w:rsidRPr="00934030">
        <w:t xml:space="preserve"> </w:t>
      </w:r>
      <w:proofErr w:type="spellStart"/>
      <w:r w:rsidRPr="00934030">
        <w:t>European</w:t>
      </w:r>
      <w:proofErr w:type="spellEnd"/>
      <w:r w:rsidRPr="00934030">
        <w:t xml:space="preserve"> </w:t>
      </w:r>
      <w:proofErr w:type="spellStart"/>
      <w:r w:rsidRPr="00934030">
        <w:t>Parliament</w:t>
      </w:r>
      <w:proofErr w:type="spellEnd"/>
      <w:r w:rsidRPr="00934030">
        <w:t xml:space="preserve"> as part </w:t>
      </w:r>
      <w:proofErr w:type="spellStart"/>
      <w:r w:rsidRPr="00934030">
        <w:t>of</w:t>
      </w:r>
      <w:proofErr w:type="spellEnd"/>
      <w:r w:rsidRPr="00934030">
        <w:t xml:space="preserve"> </w:t>
      </w:r>
      <w:proofErr w:type="spellStart"/>
      <w:r w:rsidRPr="00934030">
        <w:t>its</w:t>
      </w:r>
      <w:proofErr w:type="spellEnd"/>
      <w:r w:rsidRPr="00934030">
        <w:t xml:space="preserve"> </w:t>
      </w:r>
      <w:proofErr w:type="spellStart"/>
      <w:r w:rsidRPr="00934030">
        <w:t>Resolution</w:t>
      </w:r>
      <w:proofErr w:type="spellEnd"/>
      <w:r w:rsidRPr="00934030">
        <w:t xml:space="preserve"> on </w:t>
      </w:r>
      <w:proofErr w:type="spellStart"/>
      <w:r w:rsidRPr="00934030">
        <w:t>Banking</w:t>
      </w:r>
      <w:proofErr w:type="spellEnd"/>
      <w:r w:rsidRPr="00934030">
        <w:t xml:space="preserve"> Union – </w:t>
      </w:r>
      <w:proofErr w:type="spellStart"/>
      <w:r w:rsidRPr="00934030">
        <w:t>Annual</w:t>
      </w:r>
      <w:proofErr w:type="spellEnd"/>
      <w:r w:rsidRPr="00934030">
        <w:t xml:space="preserve"> Report 2022“ (Odpověď na podněty, které Evropský parlament vyjádřil ve svém usnesení o bankovní unii – výroční zpráva za rok 2022) zveřejněný dne 20. října 2023,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 ohledem na výroční zprávu Evropské centrální banky (ECB) za rok 2022 o činnostech v oblasti dohledu ze dne 21. března 2023,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 ohledem na výroční zprávu Jednotného výboru pro řešení krizí (SRB) za rok 2022 ze dne 30. června 2023,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 ohledem na návrh nařízení Evropského parlamentu a Rady, kterým se mění nařízení (EU) č. 806/2014 za účelem zřízení evropského systému pojištění vkladů, předložený Komisí dne 24. listopadu 2015 (</w:t>
      </w:r>
      <w:proofErr w:type="gramStart"/>
      <w:r w:rsidRPr="00934030">
        <w:t>COM(2015</w:t>
      </w:r>
      <w:proofErr w:type="gramEnd"/>
      <w:r w:rsidRPr="00934030">
        <w:t>)0586),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 ohledem na návrh Komise ze dne 14. března 2018 o obsluhovatelích úvěrů, kupcích úvěrů a vymáhání kolaterálu (</w:t>
      </w:r>
      <w:proofErr w:type="gramStart"/>
      <w:r w:rsidRPr="00934030">
        <w:t>COM(2018</w:t>
      </w:r>
      <w:proofErr w:type="gramEnd"/>
      <w:r w:rsidRPr="00934030">
        <w:t>)</w:t>
      </w:r>
      <w:r w:rsidR="005651C8">
        <w:t>0</w:t>
      </w:r>
      <w:r w:rsidRPr="00934030">
        <w:t>135),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 ohledem na tiskovou zprávu Rady ze dne 7. prosince 2022 nazvanou „Boj proti praní peněz: Rada se dohodla na postoji k posílenému souboru pravidel“,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 xml:space="preserve">s ohledem na tiskovou zprávu Rady ze dne 27. června 2023 nazvanou „Bankovní </w:t>
      </w:r>
      <w:r w:rsidRPr="00934030">
        <w:lastRenderedPageBreak/>
        <w:t xml:space="preserve">sektor: Bylo dosaženo předběžné dohody ohledně provádění reforem </w:t>
      </w:r>
      <w:proofErr w:type="spellStart"/>
      <w:r w:rsidRPr="00934030">
        <w:t>Basel</w:t>
      </w:r>
      <w:proofErr w:type="spellEnd"/>
      <w:r w:rsidRPr="00934030">
        <w:t xml:space="preserve"> III“,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 ohledem na návrh nařízení Evropského parlamentu a Rady, kterým se mění nařízení (EU) č. 806/2014, pokud jde o opatření včasného zásahu, podmínky zahájení řešení krize a financování opatření k řešení krize, jenž dne 18. dubna 2023 předložila Komise (</w:t>
      </w:r>
      <w:proofErr w:type="gramStart"/>
      <w:r w:rsidRPr="00934030">
        <w:t>COM(2023</w:t>
      </w:r>
      <w:proofErr w:type="gramEnd"/>
      <w:r w:rsidRPr="00934030">
        <w:t>)</w:t>
      </w:r>
      <w:r w:rsidR="005651C8">
        <w:t>0</w:t>
      </w:r>
      <w:r w:rsidRPr="00934030">
        <w:t>226),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 ohledem na návrh směrnice Evropského parlamentu a Rady, kterou se mění směrnice 2014/59/EU, pokud jde o opatření včasného zásahu, podmínky zahájení řešení krize a financování opatření k řešení krize, jenž dne 18. dubna 2023 předložila Komise (</w:t>
      </w:r>
      <w:proofErr w:type="gramStart"/>
      <w:r w:rsidRPr="00934030">
        <w:t>COM(2023</w:t>
      </w:r>
      <w:proofErr w:type="gramEnd"/>
      <w:r w:rsidRPr="00934030">
        <w:t>)</w:t>
      </w:r>
      <w:r w:rsidR="005651C8">
        <w:t>0</w:t>
      </w:r>
      <w:r w:rsidRPr="00934030">
        <w:t>227),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 ohledem na návrh směrnice Evropského parlamentu a Rady, kterou se mění směrnice 2014/49/EU, pokud jde o rozsah ochrany vkladů, použití finančních prostředků systémů pojištění vkladů, přeshraniční spolupráci a transparentnost, jenž dne 18. dubna 2023 předložila Komise (</w:t>
      </w:r>
      <w:proofErr w:type="gramStart"/>
      <w:r w:rsidRPr="00934030">
        <w:t>COM(2023</w:t>
      </w:r>
      <w:proofErr w:type="gramEnd"/>
      <w:r w:rsidRPr="00934030">
        <w:t>)0228),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 ohledem na zprávu pěti předsedů ze dne 22. června 2015 nazvanou „Dokončení evropské hospodářské a měnové unie“,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 ohledem na prohlášení Euroskupiny ze dne 16. června 2022 o budoucnosti bankovní unie,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 xml:space="preserve">s ohledem na normy Basilejského výboru pro bankovní dohled týkající se obezřetnostního zacházení s expozicemi vůči </w:t>
      </w:r>
      <w:proofErr w:type="spellStart"/>
      <w:r w:rsidRPr="00934030">
        <w:t>kryptoaktivům</w:t>
      </w:r>
      <w:proofErr w:type="spellEnd"/>
      <w:r w:rsidRPr="00934030">
        <w:t xml:space="preserve"> zveřejněné dne 16. prosince 2022,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 ohledem na sdělení Komise ze dne 16. prosince 2020 o řešení úvěrů se selháním v období po pandemii COVID-19 (</w:t>
      </w:r>
      <w:proofErr w:type="gramStart"/>
      <w:r w:rsidRPr="00934030">
        <w:t>COM(2020</w:t>
      </w:r>
      <w:proofErr w:type="gramEnd"/>
      <w:r w:rsidRPr="00934030">
        <w:t>)0822),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 ohledem na doporučení ECB ze dne 15. prosince 2020 o rozdělování dividend během pandemie COVID-19,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 xml:space="preserve">s ohledem na dokument ECB z řady </w:t>
      </w:r>
      <w:proofErr w:type="spellStart"/>
      <w:r w:rsidRPr="00934030">
        <w:t>Occasional</w:t>
      </w:r>
      <w:proofErr w:type="spellEnd"/>
      <w:r w:rsidRPr="00934030">
        <w:t xml:space="preserve"> </w:t>
      </w:r>
      <w:proofErr w:type="spellStart"/>
      <w:r w:rsidRPr="00934030">
        <w:t>Paper</w:t>
      </w:r>
      <w:proofErr w:type="spellEnd"/>
      <w:r w:rsidRPr="00934030">
        <w:t xml:space="preserve"> </w:t>
      </w:r>
      <w:proofErr w:type="spellStart"/>
      <w:r w:rsidRPr="00934030">
        <w:t>Series</w:t>
      </w:r>
      <w:proofErr w:type="spellEnd"/>
      <w:r w:rsidRPr="00934030">
        <w:t xml:space="preserve"> nazvaný „Před pařížskou konferencí: zátěžové testování přechodu k hospodářství s nulovými čistými emisemi“,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 xml:space="preserve">s ohledem na </w:t>
      </w:r>
      <w:proofErr w:type="spellStart"/>
      <w:r w:rsidRPr="00934030">
        <w:t>celounijní</w:t>
      </w:r>
      <w:proofErr w:type="spellEnd"/>
      <w:r w:rsidRPr="00934030">
        <w:t xml:space="preserve"> přezkum transparentnosti za rok 2023, jehož výsledek Evropský orgán pro bankovnictví (EBA) zveřejnil dne 28. července 2023,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 ohledem na zprávu orgánu EBA o úloze environmentálních a sociálních rizik v obezřetnostním rámci,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 ohledem na dokument ECB z května 2023 nazvaný „Přezkum finanční stability“,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 ohledem na zprávu ECB ze dne 12. prosince 2022 o svých prioritách v oblasti dohledu na období 2023–2025,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 ohledem na zprávu Evropského účetního dvora ze dne 12. května 2023 nazvanou „Zvláštní zpráva 12/2023: Dohled EU nad úvěrovým rizikem bank – ECB vystupňovala své úsilí, avšak je zapotřebí dalších kroků, aby se zvýšila jistota, že je úvěrové riziko řádně řízeno a kryto“,</w:t>
      </w:r>
    </w:p>
    <w:p w:rsidR="00537D98" w:rsidRPr="00934030" w:rsidRDefault="00537D98" w:rsidP="00537D98">
      <w:pPr>
        <w:pStyle w:val="NormalHanging12a"/>
      </w:pPr>
      <w:r w:rsidRPr="00934030">
        <w:lastRenderedPageBreak/>
        <w:t>–</w:t>
      </w:r>
      <w:r w:rsidRPr="00934030">
        <w:tab/>
        <w:t xml:space="preserve">s ohledem na prohlášení, které učinil předseda Rady dohledu ECB Andrea </w:t>
      </w:r>
      <w:proofErr w:type="spellStart"/>
      <w:r w:rsidRPr="00934030">
        <w:t>Enria</w:t>
      </w:r>
      <w:proofErr w:type="spellEnd"/>
      <w:r w:rsidRPr="00934030">
        <w:t xml:space="preserve"> na slyšeních v Hospodářském a měnovém výboru Evropského parlamentu ve dnech 21. března 2023 a 28. června 2023,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 ohledem na prohlášení učiněná dne 20. září 2023 na veřejných slyšeních Hospodářského a měnového výboru s kandidátem navrženým Komisí na funkci předsedy výboru ECB,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 xml:space="preserve">s ohledem na prohlášení, které učinil předseda Rady dohledu Jednotného výboru pro řešení krizí (SRB) Dominique </w:t>
      </w:r>
      <w:proofErr w:type="spellStart"/>
      <w:r w:rsidRPr="00934030">
        <w:t>Laboureix</w:t>
      </w:r>
      <w:proofErr w:type="spellEnd"/>
      <w:r w:rsidRPr="00934030">
        <w:t xml:space="preserve"> na slyšeních v Hospodářském a měnovém výboru ve dnech 1. března 2023 a 18. července 2023,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 ohledem na pololetní zprávu výboru SRB pro Euroskupinu ze dne 15. května 2023,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 ohledem na společné prohlášení bankovního dohledu ECB, EBA a SRB ze dne 20. března 2023 k oznámení švýcarských orgánů zveřejněnému dne 19. března 2023,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 ohledem na memorandum o porozumění ze dne 27. června 2023 o zřízení rámce pro spolupráci v oblasti regulace finančních služeb mezi Evropskou unií a Spojeným královstvím Velké Británie a Severního Irska,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 xml:space="preserve">s ohledem na prohlášení ze dne 7. prosince 2022 podepsané předsedkyní Hospodářského a měnového výboru EP a schválené koordinátory šesti politických skupin EP (skupina Evropské lidové strany (Křesťanští demokraté), skupina Pokrokové aliance socialistů a demokratů v Evropském parlamentu, skupina </w:t>
      </w:r>
      <w:proofErr w:type="spellStart"/>
      <w:r w:rsidRPr="00934030">
        <w:t>Renew</w:t>
      </w:r>
      <w:proofErr w:type="spellEnd"/>
      <w:r w:rsidRPr="00934030">
        <w:t xml:space="preserve"> </w:t>
      </w:r>
      <w:proofErr w:type="spellStart"/>
      <w:r w:rsidRPr="00934030">
        <w:t>Europe</w:t>
      </w:r>
      <w:proofErr w:type="spellEnd"/>
      <w:r w:rsidRPr="00934030">
        <w:t>, skupina Zelených / Evropské svobodné aliance, skupina Evropských konzervativců a reformistů a skupina Levice v Evropském parlamentu) o evropském systému pojištění vkladů,</w:t>
      </w:r>
    </w:p>
    <w:p w:rsidR="00537D98" w:rsidRPr="00934030" w:rsidRDefault="00BD21A7" w:rsidP="00537D98">
      <w:pPr>
        <w:pStyle w:val="NormalHanging12a"/>
      </w:pPr>
      <w:r w:rsidRPr="00934030">
        <w:t>–</w:t>
      </w:r>
      <w:r w:rsidRPr="00934030">
        <w:tab/>
      </w:r>
      <w:bookmarkStart w:id="8" w:name="_GoBack"/>
      <w:bookmarkEnd w:id="8"/>
      <w:r w:rsidR="00537D98" w:rsidRPr="00934030">
        <w:t>s ohledem na své usnesení ze dne 25. března 2021 o posílení mezinárodní úlohy eura</w:t>
      </w:r>
      <w:r w:rsidR="00537D98" w:rsidRPr="00934030">
        <w:rPr>
          <w:rStyle w:val="FootnoteReference"/>
        </w:rPr>
        <w:footnoteReference w:id="2"/>
      </w:r>
      <w:r w:rsidR="00537D98" w:rsidRPr="00934030">
        <w:t>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 ohledem na své usnesení ze dne 14. března 2019 o genderové vyváženosti při navrhování kandidátů v oblasti hospodářských a měnových záležitostí EU</w:t>
      </w:r>
      <w:r w:rsidRPr="00934030">
        <w:rPr>
          <w:rStyle w:val="FootnoteReference"/>
        </w:rPr>
        <w:footnoteReference w:id="3"/>
      </w:r>
      <w:r w:rsidRPr="00934030">
        <w:t>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 ohledem na článek 54 jednacího řádu,</w:t>
      </w:r>
    </w:p>
    <w:p w:rsidR="00537D98" w:rsidRPr="00934030" w:rsidRDefault="00537D98" w:rsidP="00537D98">
      <w:pPr>
        <w:pStyle w:val="NormalHanging12a"/>
      </w:pPr>
      <w:r w:rsidRPr="00934030">
        <w:t>–</w:t>
      </w:r>
      <w:r w:rsidRPr="00934030">
        <w:tab/>
        <w:t>s ohledem na zprávu Hospodářského a měnového výboru (A9-0431/2023),</w:t>
      </w:r>
    </w:p>
    <w:p w:rsidR="00537D98" w:rsidRPr="00934030" w:rsidRDefault="00537D98" w:rsidP="00537D98">
      <w:pPr>
        <w:pStyle w:val="NormalHanging12a"/>
      </w:pPr>
      <w:r w:rsidRPr="00934030">
        <w:t>A.</w:t>
      </w:r>
      <w:r w:rsidRPr="00934030">
        <w:tab/>
        <w:t>vzhledem k tomu, že bankovní unie, která v současné době zahrnuje jednotný mechanismus dohledu a jednotné mechanismy pro řešení krizí a</w:t>
      </w:r>
      <w:r w:rsidRPr="00934030">
        <w:rPr>
          <w:b/>
          <w:i/>
        </w:rPr>
        <w:t xml:space="preserve"> </w:t>
      </w:r>
      <w:r w:rsidRPr="00934030">
        <w:t>jednotný soubor pravidel jako svůj základ, je nedílnou součástí finanční stability Unie a při neexistenci evropského systému pojištění vkladů (EDIS) zaručuje přísný minimální standard pro ochranu vkladů;</w:t>
      </w:r>
    </w:p>
    <w:p w:rsidR="00537D98" w:rsidRPr="00934030" w:rsidRDefault="00537D98" w:rsidP="00537D98">
      <w:pPr>
        <w:pStyle w:val="NormalHanging12a"/>
      </w:pPr>
      <w:r w:rsidRPr="00934030">
        <w:t>B.</w:t>
      </w:r>
      <w:r w:rsidRPr="00934030">
        <w:tab/>
        <w:t>vzhledem k tomu, že řešení rizik vyplývajících z problému příliš koncentrovaného propojení mezi bankami a státy by evropskému bankovnímu systému a zákazníkům, kteří jej využívají, poskytlo zásadní dodatečnou stabilitu a bezpečnost;</w:t>
      </w:r>
    </w:p>
    <w:p w:rsidR="00537D98" w:rsidRPr="00934030" w:rsidRDefault="00537D98" w:rsidP="00537D98">
      <w:pPr>
        <w:pStyle w:val="NormalHanging12a"/>
      </w:pPr>
      <w:r w:rsidRPr="00934030">
        <w:t>C.</w:t>
      </w:r>
      <w:r w:rsidRPr="00934030">
        <w:tab/>
        <w:t xml:space="preserve">vzhledem k tomu, že plně rozvinutá bankovní unie by znamenala pozitivní vývoj pro </w:t>
      </w:r>
      <w:r w:rsidRPr="00934030">
        <w:lastRenderedPageBreak/>
        <w:t>občany a hospodářství EU, neboť by poskytla základ pro stabilnější bankovní systém, snížení systémového rizika, posílení hospodářské soutěže, lepší výběr pro spotřebitele a ochranu spotřebitele, větší možnosti přeshraničního bankovnictví a přístupu k retailovým finančním službám, větší hospodářské investice, lepší přístup domácností a podniků k financování a nižší náklady pro bankovní klienty při zajištění, že veřejné prostředky nebudou využívány k záchraně bankovního sektoru;</w:t>
      </w:r>
    </w:p>
    <w:p w:rsidR="00537D98" w:rsidRPr="00934030" w:rsidRDefault="00537D98" w:rsidP="00537D98">
      <w:pPr>
        <w:pStyle w:val="NormalHanging12a"/>
      </w:pPr>
      <w:r w:rsidRPr="00934030">
        <w:t>D.</w:t>
      </w:r>
      <w:r w:rsidRPr="00934030">
        <w:tab/>
        <w:t>vzhledem k tomu, že banky EU odolaly dopadu ruské agrese; vzhledem k tomu, že hrají klíčovou úlohu při zajišťování průběžného uplatňování a dodržování sankcí, které EU uložila Rusku v reakci na invazi; vzhledem k tomu, že je zapotřebí další koordinace, aby se zabránilo obcházení sankcí;</w:t>
      </w:r>
    </w:p>
    <w:p w:rsidR="00537D98" w:rsidRPr="00934030" w:rsidRDefault="00537D98" w:rsidP="00537D98">
      <w:pPr>
        <w:pStyle w:val="NormalHanging12a"/>
      </w:pPr>
      <w:r w:rsidRPr="00934030">
        <w:t>E.</w:t>
      </w:r>
      <w:r w:rsidRPr="00934030">
        <w:tab/>
        <w:t>vzhledem k tomu, že změna klimatu, zhoršování stavu životního prostředí a přechod na nízkouhlíkové hospodářství jsou faktory, které je třeba brát v úvahu při posuzování udržitelnosti rozvah bank jako zdroj rizika s potenciálním dopadem na investice ve všech regionech a odvětvích;</w:t>
      </w:r>
    </w:p>
    <w:p w:rsidR="00537D98" w:rsidRPr="00934030" w:rsidRDefault="00537D98" w:rsidP="00537D98">
      <w:pPr>
        <w:pStyle w:val="NormalHanging12a"/>
      </w:pPr>
      <w:r w:rsidRPr="00934030">
        <w:t>F.</w:t>
      </w:r>
      <w:r w:rsidRPr="00934030">
        <w:tab/>
        <w:t>vzhledem k tomu, že dosud nebylo dosaženo dohody o systému EDIS; vzhledem k tomu, že Komise na základě výzev Parlamentu navrhla reformu rámce pro krizové řízení a pojištění vkladů, přičemž uznává, že tento rámec by neměl být považován za náhradu evropského systému pojištění vkladů;</w:t>
      </w:r>
    </w:p>
    <w:p w:rsidR="00537D98" w:rsidRPr="00934030" w:rsidRDefault="00537D98" w:rsidP="00537D98">
      <w:pPr>
        <w:pStyle w:val="NormalHanging12a"/>
      </w:pPr>
      <w:r w:rsidRPr="00934030">
        <w:t>G.</w:t>
      </w:r>
      <w:r w:rsidRPr="00934030">
        <w:tab/>
        <w:t xml:space="preserve">vzhledem k tomu, že ačkoli v roce 2020 bylo dosaženo politické dohody o vytvoření záložního fondu Jednotného fondu pro řešení krizí, tento záložní fond stále chybí; vzhledem k tomu, že podle nejnovějších dostupných údajů bylo 16 </w:t>
      </w:r>
      <w:proofErr w:type="gramStart"/>
      <w:r w:rsidRPr="00934030">
        <w:t>ze</w:t>
      </w:r>
      <w:proofErr w:type="gramEnd"/>
      <w:r w:rsidRPr="00934030">
        <w:t xml:space="preserve"> 36 systémů pojištění vkladů v EU pod požadovanou (minimální) úrovní financování;</w:t>
      </w:r>
    </w:p>
    <w:p w:rsidR="00537D98" w:rsidRPr="00934030" w:rsidRDefault="00537D98" w:rsidP="00537D98">
      <w:pPr>
        <w:pStyle w:val="NormalHanging12a"/>
      </w:pPr>
      <w:r w:rsidRPr="00934030">
        <w:t>H.</w:t>
      </w:r>
      <w:r w:rsidRPr="00934030">
        <w:tab/>
        <w:t>vzhledem k tomu, že nedostatečná přeshraniční konsolidace bankovního sektoru EU ovlivňuje jeho globální konkurenceschopnost a že bankovním službám pro spotřebitele v některých členských státech stále dominuje malý počet bank; vzhledem k tomu, že rozdíly v ziskovosti mezi bankami EU a USA se v posledním desetiletí prohloubily a že návratnost vlastního kapitálu bank v EU je o 5 procentních bodů nižší než u bank v USA</w:t>
      </w:r>
      <w:r w:rsidRPr="00934030">
        <w:rPr>
          <w:rStyle w:val="FootnoteReference"/>
        </w:rPr>
        <w:footnoteReference w:id="4"/>
      </w:r>
      <w:r w:rsidRPr="00934030">
        <w:t>;</w:t>
      </w:r>
    </w:p>
    <w:p w:rsidR="00537D98" w:rsidRPr="00934030" w:rsidRDefault="00537D98" w:rsidP="00537D98">
      <w:pPr>
        <w:pStyle w:val="NormalHanging12a"/>
      </w:pPr>
      <w:r w:rsidRPr="00934030">
        <w:t>I.</w:t>
      </w:r>
      <w:r w:rsidRPr="00934030">
        <w:tab/>
        <w:t>vzhledem k tomu, že bankovní sektor EU vykazuje rostoucí ziskovost, částečně z důvodu vyšších úrokových sazeb a v důsledku zvýšené sazby ECB u vkladů; vzhledem k tomu, že zvýšení úrokových sazeb vedlo ke zhoršení rozvahy některých bank v důsledku nerealizovaných kapitálových ztrát;</w:t>
      </w:r>
    </w:p>
    <w:p w:rsidR="00537D98" w:rsidRPr="00934030" w:rsidRDefault="00537D98" w:rsidP="00537D98">
      <w:pPr>
        <w:pStyle w:val="NormalHanging12a"/>
      </w:pPr>
      <w:r w:rsidRPr="00934030">
        <w:t>J.</w:t>
      </w:r>
      <w:r w:rsidRPr="00934030">
        <w:tab/>
        <w:t>vzhledem k tomu, že silný, stabilní, odolný, dynamický a konkurenceschopný bankovní sektor je klíčem k zajištění hospodářského růstu, financování malých a středních podniků a začínajících podniků, k rozšíření možnosti vlastnit bydlení a naléhavě nezbytnému přechodu na zelenou a digitální ekonomiku;</w:t>
      </w:r>
    </w:p>
    <w:p w:rsidR="00537D98" w:rsidRPr="00934030" w:rsidRDefault="00537D98" w:rsidP="00537D98">
      <w:pPr>
        <w:pStyle w:val="NormalHanging12a"/>
      </w:pPr>
      <w:r w:rsidRPr="00934030">
        <w:t>K.</w:t>
      </w:r>
      <w:r w:rsidRPr="00934030">
        <w:tab/>
        <w:t xml:space="preserve">vzhledem k tomu, že bankovní sektor čelí po pandemii a invazi rizikům, zejména v souvislosti se zhoršováním kvality aktiv; vzhledem k tomu, že ačkoli se podíl úvěrů se selháním v prvním čtvrtletí 2023 snížil na 2,24 % a od konce velké recese se neustále </w:t>
      </w:r>
      <w:r w:rsidRPr="00934030">
        <w:lastRenderedPageBreak/>
        <w:t>snižuje, je zapotřebí další snižování;</w:t>
      </w:r>
    </w:p>
    <w:p w:rsidR="00537D98" w:rsidRPr="00934030" w:rsidRDefault="00537D98" w:rsidP="00537D98">
      <w:pPr>
        <w:pStyle w:val="NormalHanging12a"/>
      </w:pPr>
      <w:r w:rsidRPr="00934030">
        <w:t>L.</w:t>
      </w:r>
      <w:r w:rsidRPr="00934030">
        <w:tab/>
        <w:t xml:space="preserve">vzhledem k tomu, že normotvůrci EU vyjednali pravidla pro provádění standardů </w:t>
      </w:r>
      <w:proofErr w:type="spellStart"/>
      <w:r w:rsidRPr="00934030">
        <w:t>Basel</w:t>
      </w:r>
      <w:proofErr w:type="spellEnd"/>
      <w:r w:rsidRPr="00934030">
        <w:t xml:space="preserve"> III způsobem, který zachovává konkurenceschopnost bank a zohledňuje specifika bankovního sektoru EU;</w:t>
      </w:r>
    </w:p>
    <w:p w:rsidR="00537D98" w:rsidRPr="00934030" w:rsidRDefault="00537D98" w:rsidP="00537D98">
      <w:pPr>
        <w:pStyle w:val="NormalHanging12a"/>
      </w:pPr>
      <w:r w:rsidRPr="00934030">
        <w:t>M.</w:t>
      </w:r>
      <w:r w:rsidRPr="00934030">
        <w:tab/>
        <w:t>vzhledem k tomu, že digitalizace financí nabízí bankovnímu sektoru významné příležitosti a přinesla významný technologický pokrok v bankovním sektoru EU díky vyšší efektivitě poskytování bankovních služeb a většímu zájmu o inovace; vzhledem k tomu, že s sebou nese také výzvy, a to i pokud jde o ochranu osobních údajů, rizika poškození dobré pověsti, rizika praní peněz a obavy o ochranu spotřebitele;</w:t>
      </w:r>
    </w:p>
    <w:p w:rsidR="00537D98" w:rsidRPr="00934030" w:rsidRDefault="00537D98" w:rsidP="00537D98">
      <w:pPr>
        <w:pStyle w:val="NormalHanging12a"/>
      </w:pPr>
      <w:r w:rsidRPr="00934030">
        <w:t>N.</w:t>
      </w:r>
      <w:r w:rsidRPr="00934030">
        <w:tab/>
        <w:t>vzhledem k tomu, že finanční instituce se stále více spoléhají na využívání informačních a komunikačních technologií (IKT); vzhledem k tomu, že bankovní sektor EU musí zvýšit svou kybernetickou odolnost, aby bylo zajištěno, že systémy IKT budou odolávat různým druhům hrozeb kybernetické bezpečnosti;</w:t>
      </w:r>
    </w:p>
    <w:p w:rsidR="00537D98" w:rsidRPr="00934030" w:rsidRDefault="00537D98" w:rsidP="00537D98">
      <w:pPr>
        <w:pStyle w:val="NormalHanging12a"/>
      </w:pPr>
      <w:r w:rsidRPr="00934030">
        <w:t>O.</w:t>
      </w:r>
      <w:r w:rsidRPr="00934030">
        <w:tab/>
        <w:t>vzhledem k tomu, že míra expozice státních dluhopisů v řadě bank rostla; vzhledem k tomu, že je zapotřebí řešit rizika vyplývající z problému příliš koncentrovaného propojení mezi bankami a státy;</w:t>
      </w:r>
    </w:p>
    <w:p w:rsidR="00537D98" w:rsidRPr="00934030" w:rsidRDefault="00537D98" w:rsidP="00537D98">
      <w:pPr>
        <w:pStyle w:val="NormalHanging12a"/>
        <w:rPr>
          <w:b/>
          <w:i/>
        </w:rPr>
      </w:pPr>
      <w:r w:rsidRPr="00934030">
        <w:t>P.</w:t>
      </w:r>
      <w:r w:rsidRPr="00934030">
        <w:tab/>
        <w:t>vzhledem k tomu, že bankovní unie by měla pomoci řešit i nadále existující vazbu nebo začarovaný kruh mezi bankami a státy; vzhledem k tomu, že míra expozice státních dluhopisů v řadě bank rostla; vzhledem k tomu, že obezřetnostní zacházení se státními dluhopisy by mělo být v souladu s mezinárodními standardy;</w:t>
      </w:r>
    </w:p>
    <w:p w:rsidR="00537D98" w:rsidRPr="00934030" w:rsidRDefault="00537D98" w:rsidP="00537D98">
      <w:pPr>
        <w:pStyle w:val="NormalHanging12a"/>
      </w:pPr>
      <w:r w:rsidRPr="00934030">
        <w:t>Q.</w:t>
      </w:r>
      <w:r w:rsidRPr="00934030">
        <w:tab/>
        <w:t>vzhledem k tomu, že zvýšení úrokových sazeb mělo negativní dopad na schopnost domácností půjčovat si úvěr a na schopnost vypůjčovatelů splácet dluh, což činí v budoucnu zejména banky v EU zranitelnými vůči potenciálním ztrátám;</w:t>
      </w:r>
      <w:r w:rsidRPr="00934030">
        <w:rPr>
          <w:b/>
          <w:i/>
        </w:rPr>
        <w:t xml:space="preserve"> </w:t>
      </w:r>
      <w:r w:rsidRPr="00934030">
        <w:t>vzhledem k tomu, že rizika vyplývající ze zvýšení úrokových sazeb byla</w:t>
      </w:r>
      <w:r w:rsidRPr="00934030">
        <w:rPr>
          <w:b/>
          <w:i/>
        </w:rPr>
        <w:t xml:space="preserve"> </w:t>
      </w:r>
      <w:r w:rsidRPr="00934030">
        <w:t>náležitě řešena;</w:t>
      </w:r>
    </w:p>
    <w:p w:rsidR="00537D98" w:rsidRPr="00934030" w:rsidRDefault="00537D98" w:rsidP="00537D98">
      <w:pPr>
        <w:pStyle w:val="NormalHanging12a"/>
      </w:pPr>
      <w:r w:rsidRPr="00934030">
        <w:t>R.</w:t>
      </w:r>
      <w:r w:rsidRPr="00934030">
        <w:tab/>
        <w:t>vzhledem k tomu, že dokončení unie kapitálových trhů vyžaduje zavedení společných pravidel a účinných nástrojů ke snížení roztříštěnosti vnitřního trhu a usnadnění přístupu k alternativnímu financování;</w:t>
      </w:r>
    </w:p>
    <w:p w:rsidR="00537D98" w:rsidRPr="00934030" w:rsidRDefault="00537D98" w:rsidP="00537D98">
      <w:pPr>
        <w:pStyle w:val="NormalHanging12a"/>
      </w:pPr>
      <w:r w:rsidRPr="00934030">
        <w:t>S.</w:t>
      </w:r>
      <w:r w:rsidRPr="00934030">
        <w:tab/>
        <w:t>vzhledem k tomu, že EU a Spojené království podepsaly memorandum o porozumění o spolupráci v oblasti regulace finančních služeb a že tento přístup založený na spolupráci by měl být základem dlouhodobých vztahů mezi EU a Spojeným královstvím, zejména v oblasti bankovnictví; vzhledem k tomu, že Komise opět rozšířila své dočasné povolení, které bankám a správcům fondů v EU umožní využívat clearingové instituce Spojeného království;</w:t>
      </w:r>
    </w:p>
    <w:p w:rsidR="00537D98" w:rsidRPr="00934030" w:rsidRDefault="00537D98" w:rsidP="00537D98">
      <w:pPr>
        <w:spacing w:after="240"/>
        <w:ind w:left="567" w:hanging="567"/>
      </w:pPr>
      <w:r w:rsidRPr="00934030">
        <w:rPr>
          <w:rStyle w:val="BoldItalic"/>
        </w:rPr>
        <w:t>Obecné aspekty</w:t>
      </w:r>
    </w:p>
    <w:p w:rsidR="00537D98" w:rsidRPr="00934030" w:rsidRDefault="00537D98" w:rsidP="00537D98">
      <w:pPr>
        <w:pStyle w:val="NormalHanging12a"/>
      </w:pPr>
      <w:r w:rsidRPr="00934030">
        <w:t>1.</w:t>
      </w:r>
      <w:r w:rsidRPr="00934030">
        <w:tab/>
        <w:t>odsuzuje ruskou agresi vůči Ukrajině a její dopad na ukrajinský lid, na EU i na zbytek světa; vyzývá banky, aby pokračovaly v přizpůsobování svých strategických rozhodnutí novému evropskému a mezinárodnímu kontextu vyplývajícímu z těchto okolností, a zabývaly se tak systémovými riziky, a aby i nadále uplatňovaly a dodržovaly finanční sankce přijaté v reakci na ruskou invazi na Ukrajinu;</w:t>
      </w:r>
    </w:p>
    <w:p w:rsidR="00537D98" w:rsidRPr="00934030" w:rsidRDefault="00537D98" w:rsidP="00537D98">
      <w:pPr>
        <w:pStyle w:val="NormalHanging12a"/>
      </w:pPr>
      <w:r w:rsidRPr="00934030">
        <w:t>2.</w:t>
      </w:r>
      <w:r w:rsidRPr="00934030">
        <w:tab/>
        <w:t xml:space="preserve">připomíná, že ačkoli členské státy jsou odpovědné za zjišťování případů porušení sankcí EU, bankovní sektor hraje klíčovou úlohu při uplatňování sankcí a při sledování jejich </w:t>
      </w:r>
      <w:r w:rsidRPr="00934030">
        <w:lastRenderedPageBreak/>
        <w:t>dodržování; vyzývá Komisi, aby vytvořila databázi na úrovni EU s cílem podpořit koordinaci mezi bankami, odstranit mezery v uplatňování sankcí členskými státy a posoudit, jak banky EU sankce uplatňují; bere na vědomí postoj Parlamentu k návrhu nařízení, kterým se zřizuje Orgán pro boj proti praní peněz a financování terorismu, jenž tomuto novému orgánu ukládá povinnost podílet se na důsledném uplatňování cílených finančních sankcí EU;</w:t>
      </w:r>
    </w:p>
    <w:p w:rsidR="00537D98" w:rsidRPr="00934030" w:rsidRDefault="00537D98" w:rsidP="00537D98">
      <w:pPr>
        <w:pStyle w:val="NormalHanging12a"/>
      </w:pPr>
      <w:r w:rsidRPr="00934030">
        <w:t>3.</w:t>
      </w:r>
      <w:r w:rsidRPr="00934030">
        <w:tab/>
        <w:t>konstatuje, že celkové přímé expozice bankovního sektoru vůči Rusku a Ukrajině jsou omezené a banky v současné době své expozice snižují, a vyzývá orgány dohledu a bankovní dohled ECB, aby pomohly zbývajícím bankám EU působícím v Rusku při přípravě spořádaného odchodu z ruského trhu;</w:t>
      </w:r>
    </w:p>
    <w:p w:rsidR="00537D98" w:rsidRPr="00934030" w:rsidRDefault="00537D98" w:rsidP="00537D98">
      <w:pPr>
        <w:pStyle w:val="NormalHanging12a"/>
        <w:rPr>
          <w:b/>
          <w:i/>
        </w:rPr>
      </w:pPr>
      <w:r w:rsidRPr="00934030">
        <w:t>4.</w:t>
      </w:r>
      <w:r w:rsidRPr="00934030">
        <w:tab/>
        <w:t>zdůrazňuje, že bankovní unie je i nadále zásadním doplňkem hospodářské a měnové unie (HMU), a tudíž vnitřního trhu; připomíná, že klíčovým cílem Bankovní unie je bezpečnost bankovního systému, ochrana vkladatelů a prevence zachraňování bank ze strany poplatníků daně; bere na vědomí pokrok, jehož bylo za posledních 15 let dosaženo zavedením jednotného mechanismu dohledu a jednotného mechanismu pro řešení krizí, i to, že jsou nyní evropské banky v lepší pozici, aby odolávaly finančním otřesům; vyzývá k dokončení bankovní unie a konstatuje, že její třetí pilíř, tedy systém EDIS, dosud nebyl dokončen;</w:t>
      </w:r>
    </w:p>
    <w:p w:rsidR="005651C8" w:rsidRDefault="00537D98" w:rsidP="00537D98">
      <w:pPr>
        <w:pStyle w:val="NormalHanging12a"/>
      </w:pPr>
      <w:r w:rsidRPr="00934030">
        <w:t>5.</w:t>
      </w:r>
      <w:r w:rsidRPr="00934030">
        <w:tab/>
        <w:t xml:space="preserve">žádá Komisi, aby zachovala dokončení bankovní unie a unie kapitálových trhů jakožto klíčové priority zbytku současného a příštího funkčního období; zdůrazňuje, že oba tyto projekty: </w:t>
      </w:r>
    </w:p>
    <w:p w:rsidR="005651C8" w:rsidRDefault="00537D98" w:rsidP="004D1A37">
      <w:pPr>
        <w:pStyle w:val="NormalHanging12a"/>
        <w:ind w:left="1134"/>
      </w:pPr>
      <w:r w:rsidRPr="00934030">
        <w:t>–</w:t>
      </w:r>
      <w:r w:rsidR="005651C8">
        <w:tab/>
      </w:r>
      <w:r w:rsidRPr="00934030">
        <w:t>nabízejí domácnostem a malým a středním podnikům, které jsou stále do značné míry závislé na bankovních úvěrech, širší přístup k financování,</w:t>
      </w:r>
    </w:p>
    <w:p w:rsidR="005651C8" w:rsidRDefault="004D1A37" w:rsidP="004D1A37">
      <w:pPr>
        <w:pStyle w:val="NormalHanging12a"/>
        <w:ind w:left="1134"/>
      </w:pPr>
      <w:r w:rsidRPr="004D1A37">
        <w:t>–</w:t>
      </w:r>
      <w:r w:rsidR="005651C8">
        <w:tab/>
      </w:r>
      <w:r w:rsidR="00537D98" w:rsidRPr="00934030">
        <w:t>podporují investice a vytváření pracovních míst,</w:t>
      </w:r>
    </w:p>
    <w:p w:rsidR="005651C8" w:rsidRDefault="00537D98" w:rsidP="004D1A37">
      <w:pPr>
        <w:pStyle w:val="NormalHanging12a"/>
        <w:ind w:left="1134"/>
      </w:pPr>
      <w:r w:rsidRPr="00934030">
        <w:t>–</w:t>
      </w:r>
      <w:r w:rsidR="005651C8">
        <w:tab/>
      </w:r>
      <w:r w:rsidRPr="00934030">
        <w:t>podporují evropské hospodářství,</w:t>
      </w:r>
    </w:p>
    <w:p w:rsidR="005651C8" w:rsidRDefault="00537D98" w:rsidP="004D1A37">
      <w:pPr>
        <w:pStyle w:val="NormalHanging12a"/>
        <w:ind w:left="1134"/>
      </w:pPr>
      <w:r w:rsidRPr="00934030">
        <w:t>–</w:t>
      </w:r>
      <w:r w:rsidR="005651C8">
        <w:tab/>
      </w:r>
      <w:r w:rsidRPr="00934030">
        <w:t>zvyšují finanční stabilitu,</w:t>
      </w:r>
    </w:p>
    <w:p w:rsidR="005651C8" w:rsidRDefault="00537D98" w:rsidP="004D1A37">
      <w:pPr>
        <w:pStyle w:val="NormalHanging12a"/>
        <w:ind w:left="1134"/>
      </w:pPr>
      <w:r w:rsidRPr="00934030">
        <w:t>–</w:t>
      </w:r>
      <w:r w:rsidR="005651C8">
        <w:tab/>
      </w:r>
      <w:r w:rsidRPr="00934030">
        <w:t>snižují dopad hospodářských útlumů,</w:t>
      </w:r>
    </w:p>
    <w:p w:rsidR="005651C8" w:rsidRDefault="00537D98" w:rsidP="004D1A37">
      <w:pPr>
        <w:pStyle w:val="NormalHanging12a"/>
        <w:ind w:left="1134"/>
      </w:pPr>
      <w:r w:rsidRPr="00934030">
        <w:t>–</w:t>
      </w:r>
      <w:r w:rsidR="005651C8">
        <w:tab/>
      </w:r>
      <w:r w:rsidRPr="00934030">
        <w:t>financují digitální transformaci a přechod na udržitelnou ekonomiku,</w:t>
      </w:r>
    </w:p>
    <w:p w:rsidR="00537D98" w:rsidRPr="00934030" w:rsidRDefault="00537D98" w:rsidP="004D1A37">
      <w:pPr>
        <w:pStyle w:val="NormalHanging12a"/>
        <w:ind w:left="1134"/>
      </w:pPr>
      <w:r w:rsidRPr="00934030">
        <w:t>–</w:t>
      </w:r>
      <w:r w:rsidR="005651C8">
        <w:tab/>
      </w:r>
      <w:r w:rsidRPr="00934030">
        <w:t>uvolňují růstový potenciál EU;</w:t>
      </w:r>
    </w:p>
    <w:p w:rsidR="00537D98" w:rsidRPr="00934030" w:rsidRDefault="00537D98" w:rsidP="00537D98">
      <w:pPr>
        <w:pStyle w:val="NormalHanging12a"/>
      </w:pPr>
      <w:r w:rsidRPr="00934030">
        <w:t>6.</w:t>
      </w:r>
      <w:r w:rsidRPr="00934030">
        <w:tab/>
        <w:t>bere na vědomí prohlášení orgánu EBA ze dne 13. července 2023, v němž se uvádí, že bankovní sektor EU/EHP vykazuje rostoucí ziskovost, ale hrozí riziko spojené s kvalitou aktiv a ziskovostí; bere na vědomí nedávné krátkodobé zvýšení ziskovosti bank v EU (roční návratnost vlastního kapitálu vzrostla ve druhém čtvrtletí roku 2023 na 10,04 %, zatímco ve stejném období roku 2022 činila 7,59 %, což představuje nejvyšší úroveň za 14 let</w:t>
      </w:r>
      <w:r w:rsidRPr="00934030">
        <w:rPr>
          <w:rStyle w:val="FootnoteReference"/>
        </w:rPr>
        <w:footnoteReference w:id="5"/>
      </w:r>
      <w:r w:rsidRPr="00934030">
        <w:t>), varuje však, že tyto hodnoty musí být udržitelné, aby byla zajištěna dlouhodobá konkurenceschopnost;</w:t>
      </w:r>
    </w:p>
    <w:p w:rsidR="00537D98" w:rsidRPr="00934030" w:rsidRDefault="00537D98" w:rsidP="00537D98">
      <w:pPr>
        <w:pStyle w:val="NormalHanging12a"/>
      </w:pPr>
      <w:r w:rsidRPr="00934030">
        <w:lastRenderedPageBreak/>
        <w:t>7.</w:t>
      </w:r>
      <w:r w:rsidRPr="00934030">
        <w:tab/>
        <w:t>vybízí k využívání zisků k vytváření polštářů, a tím k zajištění stability finančního systému a financování evropského hospodářství; konstatuje, že dočasné pozastavení výplaty dividend a zpětného odkupu akcií bylo účinné pro ochranu odolnosti bank během krize COVID-19;</w:t>
      </w:r>
    </w:p>
    <w:p w:rsidR="00537D98" w:rsidRPr="00934030" w:rsidRDefault="00537D98" w:rsidP="00537D98">
      <w:pPr>
        <w:pStyle w:val="NormalHanging12a"/>
      </w:pPr>
      <w:r w:rsidRPr="00934030">
        <w:t>8.</w:t>
      </w:r>
      <w:r w:rsidRPr="00934030">
        <w:tab/>
        <w:t>konstatuje, že druhý průzkum bankovních úvěrů v eurozóně z roku 2023 ukázal, že banky dále zpřísnily své úvěrové standardy u úvěrů poskytovaných podnikům a domácnostem na nákupy rezidenčních nemovitostí v důsledku vyššího vnímání rizika, nižší tolerance rizika a zvýšených nákladů na financování a že banky rovněž zpřísnily úvěrové podmínky v souvislosti s vyšší mírou obav z úvěrů v selhání</w:t>
      </w:r>
      <w:r w:rsidRPr="00934030">
        <w:rPr>
          <w:vertAlign w:val="superscript"/>
        </w:rPr>
        <w:footnoteReference w:id="6"/>
      </w:r>
      <w:r w:rsidRPr="00934030">
        <w:t>; připomíná klíčovou úlohu bankovního sektoru EU, pokud jde o financování oživení hospodářství EU, a domnívá se, že oživení bude rovněž záviset na tom, zda banky budou mít dostatečný kapitál k poskytování úvěrů, zejména v důsledku postupného odstraňování opatření veřejné podpory v členských státech;</w:t>
      </w:r>
    </w:p>
    <w:p w:rsidR="00537D98" w:rsidRPr="00934030" w:rsidRDefault="00537D98" w:rsidP="00537D98">
      <w:pPr>
        <w:pStyle w:val="NormalHanging12a"/>
      </w:pPr>
      <w:r w:rsidRPr="00934030">
        <w:t>9.</w:t>
      </w:r>
      <w:r w:rsidRPr="00934030">
        <w:tab/>
        <w:t xml:space="preserve">vyzývá Komisi, aby posoudila překážky přeshraničních fúzí, jakož i potenciální pobídky pro vyčlenění; konstatuje, že podle veřejného prohlášení Andrey </w:t>
      </w:r>
      <w:proofErr w:type="spellStart"/>
      <w:r w:rsidRPr="00934030">
        <w:t>Enriy</w:t>
      </w:r>
      <w:proofErr w:type="spellEnd"/>
      <w:r w:rsidRPr="00934030">
        <w:t>, předsedy Rady dohledu ECB, zůstává bankovní sektor v zásadě souborem vnitrostátních bankovních sektorů; konstatuje, že integrovanější bankovní sektor EU by mohl zlepšit schopnost bank provádět strategické investice a podporovat rozvoj unijních kapitálových trhů, a zároveň uznává, že rozmanitost bankovních obchodních modelů v eurozóně zvyšuje odolnost finančního systému; bere na vědomí rizika, která by mohly přinášet instituce „příliš významné, aby mohly být v úpadku“, konstatuje, že finanční stabilitu by mohla zvýšit reforma bank systémového významu EU, která by řešila rizika morálního hazardu, a zdůrazňuje, že přeshraniční konsolidace bez nadměrné koncentrace by zvýšila ziskovost bankovního sektoru EU a zároveň případně zlepšila současnou situaci v oblasti omezených služeb nabízených občanům a zvýšených nákladů pro občany v mnoha členských státech;</w:t>
      </w:r>
    </w:p>
    <w:p w:rsidR="00537D98" w:rsidRPr="00934030" w:rsidRDefault="00537D98" w:rsidP="00537D98">
      <w:pPr>
        <w:pStyle w:val="NormalHanging12a"/>
      </w:pPr>
      <w:r w:rsidRPr="00934030">
        <w:t>10.</w:t>
      </w:r>
      <w:r w:rsidRPr="00934030">
        <w:tab/>
        <w:t>konstatuje, že ve službách retailového bankovnictví v některých členských státech i nadále dominuje malý počet bank a v důsledku toho mají spotřebitelé a klienti retailového bankovnictví omezený výběr; domnívá se, že integrovaná bankovní unie musí být podmíněna dobře fungujícím jednotným trhem retailových finančních služeb; lituje přetrvávajících překážek přeshraničních služeb retailového bankovnictví a vyzývá Komisi, aby posoudila překážky, které spotřebitelům vznikají při přeshraničním využívání retailových bankovních produktů; zdůrazňuje, že integrovaná bankovní unie může zlepšit hospodářskou soutěž a možnost volby pro spotřebitele v oblasti retailového bankovnictví, a to i díky lepším možnostem poskytování přeshraničních retailových bankovních služeb; zdůrazňuje výhody diverzifikovaného a konkurenceschopného bankovního sektoru v EU;</w:t>
      </w:r>
    </w:p>
    <w:p w:rsidR="00537D98" w:rsidRPr="00934030" w:rsidRDefault="00537D98" w:rsidP="00537D98">
      <w:pPr>
        <w:pStyle w:val="NormalHanging12a"/>
      </w:pPr>
      <w:r w:rsidRPr="00934030">
        <w:t>11.</w:t>
      </w:r>
      <w:r w:rsidRPr="00934030">
        <w:tab/>
        <w:t>zdůrazňuje, že úrokové sazby nabízené domácnostem a malým  a středním podnikům v členských státech jsou velmi rozdílné; naléhavě vyzývá orgány a instituce EU, aby zvážily opatření ke zlepšení výběru a hospodářské soutěže spotřebitelů a ke snížení zátěže držitelů hypoték a malých a středních podniků v členských státech s vyššími úvěrovými sazbami, tak aby všichni občané a podniky měli přístup k velmi potřebnému kapitálu za spravedlivé a konkurenční sazby;</w:t>
      </w:r>
    </w:p>
    <w:p w:rsidR="00537D98" w:rsidRPr="00934030" w:rsidRDefault="00537D98" w:rsidP="00537D98">
      <w:pPr>
        <w:pStyle w:val="NormalHanging12a"/>
      </w:pPr>
      <w:r w:rsidRPr="00934030">
        <w:t>12.</w:t>
      </w:r>
      <w:r w:rsidRPr="00934030">
        <w:tab/>
        <w:t xml:space="preserve">vyzdvihuje úlohu bankovního sektoru v podpoře přechodu na digitalizované a uhlíkově </w:t>
      </w:r>
      <w:r w:rsidRPr="00934030">
        <w:lastRenderedPageBreak/>
        <w:t>neutrální hospodářství, nasměrování finančních prostředků na obnovitelné zdroje energie a podpoře dosažení cílů Zelené dohody pro Evropu a právního rámce EU pro klima</w:t>
      </w:r>
      <w:r w:rsidRPr="00934030">
        <w:rPr>
          <w:rStyle w:val="FootnoteReference"/>
        </w:rPr>
        <w:footnoteReference w:id="7"/>
      </w:r>
      <w:r w:rsidRPr="00934030">
        <w:t>; bere na vědomí, že banky EU i nadále snižují svou expozici vůči energeticky náročným podnikům a podnikům využívajícím fosilní paliva, a rovněž bere na vědomí faktory, které ovlivňují finanční stabilitu, včetně hodnot aktiv z fosilních paliv; očekává zveřejnění zpráv orgánu EBA o klíčových otázkách rizikovosti expozic institucí vůči aktivům ESG a o možných dopadech upraveného obezřetnostního zacházení s těmito expozicemi, které mají být zveřejněny do konce roku 2024 a 2025;</w:t>
      </w:r>
    </w:p>
    <w:p w:rsidR="00537D98" w:rsidRPr="00934030" w:rsidRDefault="00537D98" w:rsidP="00537D98">
      <w:pPr>
        <w:pStyle w:val="NormalHanging12a"/>
      </w:pPr>
      <w:r w:rsidRPr="00934030">
        <w:t>13.</w:t>
      </w:r>
      <w:r w:rsidRPr="00934030">
        <w:tab/>
        <w:t xml:space="preserve">lituje, že finanční instituce nezajišťují genderovou vyváženost, zejména ve svých řídících orgánech; zdůrazňuje, že vyvážené zastoupení žen a mužů v řídících orgánech a mezi zaměstnanci má jak společenské, tak hospodářské přínosy; vyzývá finanční instituce, aby pravidelně aktualizovaly své politiky rozmanitosti a začleňování a aby pomáhaly podporovat zdravé pracovní kultury, které upřednostňují </w:t>
      </w:r>
      <w:proofErr w:type="spellStart"/>
      <w:r w:rsidRPr="00934030">
        <w:t>inkluzivnost</w:t>
      </w:r>
      <w:proofErr w:type="spellEnd"/>
      <w:r w:rsidRPr="00934030">
        <w:t>; vyzývá orgány dohledu, aby využily svých pravomocí v oblasti dohledu k řešení nedostatečné rozmanitosti a genderové vyváženosti v řídících orgánech finančních institucí;</w:t>
      </w:r>
    </w:p>
    <w:p w:rsidR="00537D98" w:rsidRPr="00934030" w:rsidRDefault="00537D98" w:rsidP="00537D98">
      <w:pPr>
        <w:pStyle w:val="NormalHanging12a"/>
      </w:pPr>
      <w:r w:rsidRPr="00934030">
        <w:t>14.</w:t>
      </w:r>
      <w:r w:rsidRPr="00934030">
        <w:tab/>
        <w:t>vyjadřuje politování nad nedostatečnou genderovou vyvážeností v Radě guvernérů ECB, její dozorčí radě a radě SRB; vyzývá dotčené aktéry, aby zajistili, že budoucí jmenování tuto mezeru odstraní; připomíná usnesení Parlamentu ze dne 14. března 2019, jehož cílem je zajistit vyvážené zastoupení žen a mužů na nadcházejícím seznamu kandidátů v oblasti hospodářských a měnových záležitostí EU, a opakuje svůj závazek nebrat v úvahu seznamy kandidátů, u nichž nebyla dodržena zásada vyváženého zastoupení žen a mužů;</w:t>
      </w:r>
    </w:p>
    <w:p w:rsidR="00537D98" w:rsidRPr="00934030" w:rsidRDefault="00537D98" w:rsidP="00537D98">
      <w:pPr>
        <w:pStyle w:val="NormalHanging12a"/>
      </w:pPr>
      <w:r w:rsidRPr="00934030">
        <w:t>15.</w:t>
      </w:r>
      <w:r w:rsidRPr="00934030">
        <w:tab/>
        <w:t>vyjadřuje politování nad tím, že ECB v rámci výběrového řízení na předsedu Rady dohledu ECB nezohlednila zpětnou vazbu, kterou poskytl Parlament; naléhavě vyzývá ECB, aby v nadcházejících výběrových řízeních řádně zohlednila stanovisko Parlamentu;</w:t>
      </w:r>
    </w:p>
    <w:p w:rsidR="00537D98" w:rsidRPr="00934030" w:rsidRDefault="00537D98" w:rsidP="00537D98">
      <w:pPr>
        <w:pStyle w:val="NormalHanging12a"/>
      </w:pPr>
      <w:r w:rsidRPr="00934030">
        <w:t>16.</w:t>
      </w:r>
      <w:r w:rsidRPr="00934030">
        <w:tab/>
        <w:t>konstatuje, že banky v bankovní unii zůstávají i nadále ve velké míře vystavené domácímu státnímu dluhu; připomíná, že jedním z hlavních cílů bankovní unie je přerušení vazby mezi bankovními riziky a riziky vlády; zdůrazňuje, že otázka regulačního zacházení se státními expozicemi vyžaduje důkladný přezkum v rámci mezinárodních fór a měla by být v souladu s mezinárodními normami, a vyzývá Komisi, aby to zohlednila při řešení této otázky ve všech budoucích návrzích; sdílí obavy EBA, že expozice vůči státním dluhopisům jsou pro banky v EU významné a mohly by se stát zdrojem potenciální zranitelnosti</w:t>
      </w:r>
      <w:r w:rsidRPr="00934030">
        <w:rPr>
          <w:vertAlign w:val="superscript"/>
        </w:rPr>
        <w:footnoteReference w:id="8"/>
      </w:r>
      <w:r w:rsidRPr="00934030">
        <w:t>;</w:t>
      </w:r>
    </w:p>
    <w:p w:rsidR="00537D98" w:rsidRPr="00934030" w:rsidRDefault="00537D98" w:rsidP="00537D98">
      <w:pPr>
        <w:pStyle w:val="NormalHanging12a"/>
      </w:pPr>
      <w:r w:rsidRPr="00934030">
        <w:t>17.</w:t>
      </w:r>
      <w:r w:rsidRPr="00934030">
        <w:tab/>
        <w:t xml:space="preserve">zdůrazňuje, že vytvoření bezpečného aktiva EU by mohlo pomoci zmírnit negativní vazby mezi státy a domácími bankovními sektory; domnívá se, že nástroj </w:t>
      </w:r>
      <w:proofErr w:type="spellStart"/>
      <w:r w:rsidRPr="00934030">
        <w:t>Next</w:t>
      </w:r>
      <w:proofErr w:type="spellEnd"/>
      <w:r w:rsidRPr="00934030">
        <w:t xml:space="preserve"> </w:t>
      </w:r>
      <w:proofErr w:type="spellStart"/>
      <w:r w:rsidRPr="00934030">
        <w:t>Generation</w:t>
      </w:r>
      <w:proofErr w:type="spellEnd"/>
      <w:r w:rsidRPr="00934030">
        <w:t xml:space="preserve"> EU poskytuje vysoce kvalitní evropská aktiva s nízkým rizikem, což umožňuje vyvážit státní dluhopisy v rozvahách bank;</w:t>
      </w:r>
    </w:p>
    <w:p w:rsidR="00537D98" w:rsidRPr="00934030" w:rsidRDefault="00537D98" w:rsidP="00537D98">
      <w:pPr>
        <w:pStyle w:val="NormalHanging12a"/>
        <w:spacing w:line="276" w:lineRule="auto"/>
        <w:ind w:left="0" w:firstLine="0"/>
        <w:rPr>
          <w:rStyle w:val="BoldItalic"/>
        </w:rPr>
      </w:pPr>
      <w:r w:rsidRPr="00934030">
        <w:rPr>
          <w:rStyle w:val="BoldItalic"/>
        </w:rPr>
        <w:lastRenderedPageBreak/>
        <w:t>Dohled</w:t>
      </w:r>
    </w:p>
    <w:p w:rsidR="00537D98" w:rsidRPr="00934030" w:rsidRDefault="00537D98" w:rsidP="00537D98">
      <w:pPr>
        <w:pStyle w:val="NormalHanging12a"/>
      </w:pPr>
      <w:r w:rsidRPr="00934030">
        <w:t>18.</w:t>
      </w:r>
      <w:r w:rsidRPr="00934030">
        <w:tab/>
        <w:t xml:space="preserve">konstatuje, že poměr kmenového kapitálu </w:t>
      </w:r>
      <w:proofErr w:type="spellStart"/>
      <w:r w:rsidRPr="00934030">
        <w:t>tier</w:t>
      </w:r>
      <w:proofErr w:type="spellEnd"/>
      <w:r w:rsidRPr="00934030">
        <w:t xml:space="preserve"> 1 se v druhém čtvrtletí roku 2023 zvýšil na 15,72 % (oproti 14,96 % v druhém čtvrtletí roku 2022); vyjadřuje politování nad tím, že ukazatel krytí likvidity klesl v druhém čtvrtletí roku 2023 na 158,00 % (pokles </w:t>
      </w:r>
      <w:proofErr w:type="gramStart"/>
      <w:r w:rsidRPr="00934030">
        <w:t>ze</w:t>
      </w:r>
      <w:proofErr w:type="gramEnd"/>
      <w:r w:rsidRPr="00934030">
        <w:t xml:space="preserve"> 164,36 % v druhém čtvrtletí roku 2022)</w:t>
      </w:r>
      <w:r w:rsidRPr="00934030">
        <w:rPr>
          <w:rStyle w:val="FootnoteReference"/>
        </w:rPr>
        <w:footnoteReference w:id="9"/>
      </w:r>
      <w:r w:rsidRPr="00934030">
        <w:t>;</w:t>
      </w:r>
    </w:p>
    <w:p w:rsidR="00537D98" w:rsidRPr="00934030" w:rsidRDefault="00537D98" w:rsidP="00537D98">
      <w:pPr>
        <w:pStyle w:val="NormalHanging12a"/>
      </w:pPr>
      <w:r w:rsidRPr="00934030">
        <w:t>19.</w:t>
      </w:r>
      <w:r w:rsidRPr="00934030">
        <w:tab/>
        <w:t>konstatuje, že poměr úvěrů se selháním se dále snížil, a vyzývá k dalšímu snižování; připomíná, že snížení rizik v bankovním sektoru by přispělo ke stabilnější a silnější bankovní unii orientované na hospodářský růst; vyzývá orgány dohledu, aby rovněž sledovaly vývoj úvěrů druhého stupně; bere na vědomí nedostatečný pokrok v návrhu směrnice o obsluhovatelích úvěrů, kupcích úvěrů a vymáhání kolaterálu, jejímž cílem je poskytnout bankám za určitých podmínek mechanismus k urychlení zpětného získávání hodnoty ze zajištěných úvěrů prostřednictvím mimosoudního vymáhání postupů s cílem vytvořit sekundární trhy s úvěry se selháním; zdůrazňuje, že směrnice o správcích úvěru a obchodnících s úvěry</w:t>
      </w:r>
      <w:r w:rsidRPr="00934030">
        <w:rPr>
          <w:rStyle w:val="FootnoteReference"/>
        </w:rPr>
        <w:footnoteReference w:id="10"/>
      </w:r>
      <w:r w:rsidRPr="00934030">
        <w:t xml:space="preserve"> zefektivnila sekundární trh s úvěry v selhání a zároveň zavedla vysoké záruky pro dlužníky; zdůrazňuje, že prodej úvěrů v selhání představuje druhé nejlepší řešení ve srovnání s návratem úvěru do stavu spláceného úvěru;</w:t>
      </w:r>
    </w:p>
    <w:p w:rsidR="00537D98" w:rsidRPr="00934030" w:rsidRDefault="00537D98" w:rsidP="00537D98">
      <w:pPr>
        <w:pStyle w:val="NormalHanging12a"/>
      </w:pPr>
      <w:r w:rsidRPr="00934030">
        <w:t>20.</w:t>
      </w:r>
      <w:r w:rsidRPr="00934030">
        <w:tab/>
        <w:t>bere na vědomí zhoršující se makroekonomickou situaci; upozorňuje, že banky EU by se měly připravit na možné zhoršení kvality aktiv; zdůrazňuje proto význam obezřetného řízení rizik a vhodného vytváření rezerv; vyzývá Komisi a vnitrostátní a orgány dohledu EU, aby se na možné zhoršení kvality aktiv připravily;</w:t>
      </w:r>
    </w:p>
    <w:p w:rsidR="00537D98" w:rsidRPr="00934030" w:rsidRDefault="00537D98" w:rsidP="00537D98">
      <w:pPr>
        <w:pStyle w:val="NormalHanging12a"/>
      </w:pPr>
      <w:r w:rsidRPr="00934030">
        <w:t>21.</w:t>
      </w:r>
      <w:r w:rsidRPr="00934030">
        <w:tab/>
        <w:t xml:space="preserve">zdůrazňuje, že poslední kolo úpadků bank v USA a Švýcarsku ukázalo zranitelnost finančního systému, zejména v těchto zemích; zdůrazňuje, že v této souvislosti zůstává situace bank EU v oblasti kapitálu a likvidity i nadále stabilní, což prokazuje odolnost bankovního sektoru EU; zdůrazňuje, že unijní a vnitrostátní orgány dohledu tato rizika řešily, a vítá výsledky </w:t>
      </w:r>
      <w:proofErr w:type="spellStart"/>
      <w:r w:rsidRPr="00934030">
        <w:t>celounijního</w:t>
      </w:r>
      <w:proofErr w:type="spellEnd"/>
      <w:r w:rsidRPr="00934030">
        <w:t xml:space="preserve"> zátěžového testu z roku 2023 i skutečnost, že banky v EU by mohly odolat hospodářskému útlumu;</w:t>
      </w:r>
    </w:p>
    <w:p w:rsidR="00537D98" w:rsidRPr="00934030" w:rsidRDefault="00537D98" w:rsidP="00537D98">
      <w:pPr>
        <w:pStyle w:val="NormalHanging12a"/>
      </w:pPr>
      <w:r w:rsidRPr="00934030">
        <w:t>22.</w:t>
      </w:r>
      <w:r w:rsidRPr="00934030">
        <w:tab/>
        <w:t>vyzývá orgány dohledu, aby i nadále posuzovaly expozice bank vůči úrokovému riziku vyplývajícímu z dalších změn úrovní úrokových sazeb; konstatuje, že expozice bank vůči úrokovému riziku závisí na jejich struktuře aktiv a obchodním modelu, a očekává, že Komise vyhodnotí regulační rámec pro banky; je znepokojen značným podílem státního dluhu v rozvahách bank v bankovní unii; zdůrazňuje, že otázka regulačního zacházení se státními expozicemi vyžaduje důkladný přezkum v rámci mezinárodních fór a měla by být v souladu s mezinárodními normami; připomíná, že jedním z hlavních cílů bankovní unie je přerušení vazby mezi bankovními riziky a riziky vlády;</w:t>
      </w:r>
    </w:p>
    <w:p w:rsidR="00537D98" w:rsidRPr="00934030" w:rsidRDefault="00537D98" w:rsidP="00537D98">
      <w:pPr>
        <w:pStyle w:val="NormalHanging12a"/>
      </w:pPr>
      <w:r w:rsidRPr="00934030">
        <w:t>23.</w:t>
      </w:r>
      <w:r w:rsidRPr="00934030">
        <w:tab/>
        <w:t xml:space="preserve">připomíná, že zpráva ECB o finanční stabilitě v roce 2023 zdůrazňuje, že je důležité zohlednit zhoršení bankovních rozvah spojené se zvyšováním úrokových sazeb, a zdůrazňuje, že </w:t>
      </w:r>
      <w:proofErr w:type="spellStart"/>
      <w:r w:rsidRPr="00934030">
        <w:t>makroobezřetnostní</w:t>
      </w:r>
      <w:proofErr w:type="spellEnd"/>
      <w:r w:rsidRPr="00934030">
        <w:t xml:space="preserve"> orgány budou muset postupně posilovat opatření týkající se kapitálu a/nebo dlužníků;</w:t>
      </w:r>
    </w:p>
    <w:p w:rsidR="00537D98" w:rsidRPr="00934030" w:rsidRDefault="00537D98" w:rsidP="00537D98">
      <w:pPr>
        <w:pStyle w:val="NormalHanging12a"/>
      </w:pPr>
      <w:r w:rsidRPr="00934030">
        <w:lastRenderedPageBreak/>
        <w:t>24.</w:t>
      </w:r>
      <w:r w:rsidRPr="00934030">
        <w:tab/>
        <w:t>vyzývá k další harmonizaci regulačního rámce EU tam, kde je to vhodné, k podpoře sbližování vnitrostátních orgánů a k využívání dialogu o dohledu k posouzení vývoje hrozeb pro bankovní sektor;</w:t>
      </w:r>
    </w:p>
    <w:p w:rsidR="00537D98" w:rsidRPr="00934030" w:rsidRDefault="00537D98" w:rsidP="00537D98">
      <w:pPr>
        <w:pStyle w:val="NormalHanging12a"/>
      </w:pPr>
      <w:r w:rsidRPr="00934030">
        <w:t>25.</w:t>
      </w:r>
      <w:r w:rsidRPr="00934030">
        <w:tab/>
        <w:t xml:space="preserve">vítá dohodu dosaženou na interinstitucionální úrovni ohledně uplatňování standardů </w:t>
      </w:r>
      <w:proofErr w:type="spellStart"/>
      <w:r w:rsidRPr="00934030">
        <w:t>Basel</w:t>
      </w:r>
      <w:proofErr w:type="spellEnd"/>
      <w:r w:rsidRPr="00934030">
        <w:t xml:space="preserve"> III v EU; zdůrazňuje, že rámec přinese různé úrovně zvýšení obezřetnostních požadavků v závislosti na tom, jak se banky při výpočtu rizikových vah spoléhají na využívání interních modelů; zdůrazňuje, že nová pravidla posílila a lépe specifikovala proporcionalitu bankovního dohledu a budou i nadále zvyšovat finanční stabilitu v EU; zdůrazňuje, že je důležité vytvořit rovné podmínky mezi jurisdikcemi;</w:t>
      </w:r>
    </w:p>
    <w:p w:rsidR="00537D98" w:rsidRPr="00934030" w:rsidRDefault="00537D98" w:rsidP="00537D98">
      <w:pPr>
        <w:pStyle w:val="NormalHanging12a"/>
      </w:pPr>
      <w:r w:rsidRPr="00934030">
        <w:t>26.</w:t>
      </w:r>
      <w:r w:rsidRPr="00934030">
        <w:tab/>
        <w:t>bere na vědomí obavy vyjádřené EBA a ECB ohledně odchylek od mezinárodní dohody zavedené v nařízení o kapitálových požadavcích</w:t>
      </w:r>
      <w:r w:rsidRPr="00934030">
        <w:rPr>
          <w:rStyle w:val="FootnoteReference"/>
        </w:rPr>
        <w:footnoteReference w:id="11"/>
      </w:r>
      <w:r w:rsidRPr="00934030">
        <w:t>;</w:t>
      </w:r>
    </w:p>
    <w:p w:rsidR="00537D98" w:rsidRPr="00934030" w:rsidRDefault="00537D98" w:rsidP="00537D98">
      <w:pPr>
        <w:pStyle w:val="NormalHanging12a"/>
      </w:pPr>
      <w:r w:rsidRPr="00934030">
        <w:t>27.</w:t>
      </w:r>
      <w:r w:rsidRPr="00934030">
        <w:tab/>
        <w:t xml:space="preserve">zdůrazňuje, že </w:t>
      </w:r>
      <w:proofErr w:type="spellStart"/>
      <w:r w:rsidRPr="00934030">
        <w:t>kryptoaktiva</w:t>
      </w:r>
      <w:proofErr w:type="spellEnd"/>
      <w:r w:rsidRPr="00934030">
        <w:t xml:space="preserve"> vytvářejí pro banky nové příležitosti a výzvy; konstatuje, že k uplatnění basilejských standardů vůči </w:t>
      </w:r>
      <w:proofErr w:type="spellStart"/>
      <w:r w:rsidRPr="00934030">
        <w:t>kryptoaktivům</w:t>
      </w:r>
      <w:proofErr w:type="spellEnd"/>
      <w:r w:rsidRPr="00934030">
        <w:t xml:space="preserve"> doposud nedošlo; vítá však přechodný režim, který je součástí stávajícího přezkumu směrnice o kapitálových požadavcích</w:t>
      </w:r>
      <w:r w:rsidRPr="00934030">
        <w:rPr>
          <w:rStyle w:val="FootnoteReference"/>
        </w:rPr>
        <w:footnoteReference w:id="12"/>
      </w:r>
      <w:r w:rsidRPr="00934030">
        <w:t xml:space="preserve"> a nařízení o kapitálových požadavcích; očekává do 30. června 2025 legislativní návrh Komise na zavedení zvláštního obezřetnostního zacházení s expozicemi vůči </w:t>
      </w:r>
      <w:proofErr w:type="spellStart"/>
      <w:r w:rsidRPr="00934030">
        <w:t>kryptoaktivům</w:t>
      </w:r>
      <w:proofErr w:type="spellEnd"/>
      <w:r w:rsidRPr="00934030">
        <w:t xml:space="preserve"> s přihlédnutím k basilejským standardům;</w:t>
      </w:r>
    </w:p>
    <w:p w:rsidR="00537D98" w:rsidRPr="00934030" w:rsidRDefault="00537D98" w:rsidP="00537D98">
      <w:pPr>
        <w:pStyle w:val="NormalHanging12a"/>
      </w:pPr>
      <w:r w:rsidRPr="00934030">
        <w:t>28.</w:t>
      </w:r>
      <w:r w:rsidRPr="00934030">
        <w:tab/>
        <w:t>konstatuje, že odvětví nebankovních finančních zprostředkovatelů i nadále roste; zdůrazňuje, že je třeba zvýšit odolnost nebankovních finančních zprostředkovatelů a vytvořit pro bankovní sektor rovné podmínky, a to i vypracováním specifických nástrojů regulace a dohledu, které by zabránily krizi likvidity; vítá zprávu MMF o světové finanční stabilitě zveřejněnou v dubnu 2023, která identifikuje tři možné zdroje rizika pro finanční sektor: varuje, že propojení nebankovních finančních institucí s bankami zvyšuje riziko přesunu problémů z jedné instituce do druhé;</w:t>
      </w:r>
    </w:p>
    <w:p w:rsidR="00537D98" w:rsidRPr="00934030" w:rsidRDefault="00537D98" w:rsidP="00537D98">
      <w:pPr>
        <w:pStyle w:val="NormalHanging12a"/>
      </w:pPr>
      <w:r w:rsidRPr="00934030">
        <w:t>29.</w:t>
      </w:r>
      <w:r w:rsidRPr="00934030">
        <w:tab/>
        <w:t>zdůrazňuje, že je důležité kombinovat další integraci s přiměřenými zárukami, které odpovídajícím a důvěryhodným způsobem řeší otázku domovského a hostitelského státu;</w:t>
      </w:r>
    </w:p>
    <w:p w:rsidR="00537D98" w:rsidRPr="00934030" w:rsidRDefault="00537D98" w:rsidP="00537D98">
      <w:pPr>
        <w:pStyle w:val="NormalHanging12a"/>
      </w:pPr>
      <w:r w:rsidRPr="00934030">
        <w:t>30.</w:t>
      </w:r>
      <w:r w:rsidRPr="00934030">
        <w:tab/>
        <w:t xml:space="preserve">bere na vědomí zahrnutí finančních rizik souvisejících s klimatem a přírodou do priorit ECB v oblasti dohledu pro nadcházející roky; vítá mimo jiné druhý zátěžový test ECB v oblasti klimatu provedený v rámci celého hospodářství v září 2023; bere na vědomí závěry dokumentu ECB z řady </w:t>
      </w:r>
      <w:proofErr w:type="spellStart"/>
      <w:r w:rsidRPr="00934030">
        <w:t>Occasional</w:t>
      </w:r>
      <w:proofErr w:type="spellEnd"/>
      <w:r w:rsidRPr="00934030">
        <w:t xml:space="preserve"> </w:t>
      </w:r>
      <w:proofErr w:type="spellStart"/>
      <w:r w:rsidRPr="00934030">
        <w:t>Paper</w:t>
      </w:r>
      <w:proofErr w:type="spellEnd"/>
      <w:r w:rsidRPr="00934030">
        <w:t xml:space="preserve"> </w:t>
      </w:r>
      <w:proofErr w:type="spellStart"/>
      <w:r w:rsidRPr="00934030">
        <w:t>Series</w:t>
      </w:r>
      <w:proofErr w:type="spellEnd"/>
      <w:r w:rsidRPr="00934030">
        <w:t xml:space="preserve"> č. 328 nazvaný „Před pařížskou konferencí: zátěžové testování přechodu k hospodářství s nulovými čistými emisemi“, neboť uvádí, že nejlepším způsobem, jak mohou podniky, domácnosti a banky v eurozóně dosáhnout hospodářství s nulovými čistými emisemi, je urychlit ekologickou transformaci tak, aby byla rychlejší, než tomu je v rámci současných politik; bere na vědomí, že ECB ve svých postupech dohledu zohledňuje finanční rizika související s klimatem a přírodou a pečlivě sleduje rostoucí fyzická rizika a rizika transformace;</w:t>
      </w:r>
    </w:p>
    <w:p w:rsidR="00537D98" w:rsidRPr="00934030" w:rsidRDefault="00537D98" w:rsidP="00537D98">
      <w:pPr>
        <w:pStyle w:val="NormalHanging12a"/>
      </w:pPr>
      <w:r w:rsidRPr="00934030">
        <w:lastRenderedPageBreak/>
        <w:t>31.</w:t>
      </w:r>
      <w:r w:rsidRPr="00934030">
        <w:tab/>
        <w:t>bere na vědomí návrh Komise v oblasti transparentnosti, srovnatelnosti a kvality ratingů ESG; konstatuje, že orgán EBA doporučuje, aby externí úvěrová hodnocení vždy, když je to relevantní, zahrnovala environmentální a/nebo sociální faktory jako faktory ovlivňující úvěrové riziko;</w:t>
      </w:r>
    </w:p>
    <w:p w:rsidR="00537D98" w:rsidRPr="00934030" w:rsidRDefault="00537D98" w:rsidP="00537D98">
      <w:pPr>
        <w:pStyle w:val="NormalHanging12a"/>
        <w:rPr>
          <w:rStyle w:val="BoldItalic"/>
        </w:rPr>
      </w:pPr>
      <w:r w:rsidRPr="00934030">
        <w:rPr>
          <w:rStyle w:val="BoldItalic"/>
        </w:rPr>
        <w:t>Řešení krizí</w:t>
      </w:r>
    </w:p>
    <w:p w:rsidR="00537D98" w:rsidRPr="00934030" w:rsidRDefault="00537D98" w:rsidP="00537D98">
      <w:pPr>
        <w:pStyle w:val="NormalHanging12a"/>
      </w:pPr>
      <w:r w:rsidRPr="00934030">
        <w:t>32.</w:t>
      </w:r>
      <w:r w:rsidRPr="00934030">
        <w:tab/>
        <w:t>vítá přístup Jednotného výboru pro řešení krizí (SRB) k prohloubení způsobilosti k řešení krize vypracováním opatření ke kontrole kvality pro plány řešení krize a posuzováním toho, zda lze tyto plány provést v krátké lhůtě; upozorňuje na skutečnost, že mají-li být plány pro řešení krize zcela v souladu s právními předpisy, musí zahrnovat komplexní posouzení způsobilosti každé banky k řešení krize, včetně toho, zda existují zásadní překážky pro tuto způsobilost a jak je lze odstranit, a to i tím, že bude v případě potřeby nutné provést změny struktury a organizace banky;</w:t>
      </w:r>
    </w:p>
    <w:p w:rsidR="00537D98" w:rsidRPr="00934030" w:rsidRDefault="00537D98" w:rsidP="00537D98">
      <w:pPr>
        <w:pStyle w:val="NormalHanging12a"/>
      </w:pPr>
      <w:r w:rsidRPr="00934030">
        <w:t>33.</w:t>
      </w:r>
      <w:r w:rsidRPr="00934030">
        <w:tab/>
        <w:t>vítá skutečnost, že banky, které spadají do působnosti Jednotného výboru pro řešení krizí, celkově dosáhly značného pokroku, pokud jde o způsobilost k řešení krize a budování schopnosti absorbovat ztráty; očekává, že tento pozitivní trend bude pokračovat, a připomíná, že dosažení způsobilosti k řešení krize pro všechny instituce by nemělo být „pohyblivým cílem“ a že všechny banky by měly být plně způsobilé k řešení krize do konce roku 2023; konstatuje, že je třeba, aby všechny banky dosáhly dalšího pokroku;</w:t>
      </w:r>
    </w:p>
    <w:p w:rsidR="00537D98" w:rsidRPr="00934030" w:rsidRDefault="00537D98" w:rsidP="00537D98">
      <w:pPr>
        <w:pStyle w:val="NormalHanging12a"/>
      </w:pPr>
      <w:r w:rsidRPr="00934030">
        <w:t>34.</w:t>
      </w:r>
      <w:r w:rsidRPr="00934030">
        <w:tab/>
        <w:t>vítá rozhodnutí nového předsedy výboru SRB provést komplexní strategický přezkum a předložit nový akční plán; vyzývá SRB, aby dále zlepšil transparentnost svých rozhodnutí;</w:t>
      </w:r>
    </w:p>
    <w:p w:rsidR="00537D98" w:rsidRPr="00934030" w:rsidRDefault="00537D98" w:rsidP="00537D98">
      <w:pPr>
        <w:pStyle w:val="NormalHanging12a"/>
      </w:pPr>
      <w:r w:rsidRPr="00934030">
        <w:t>35.</w:t>
      </w:r>
      <w:r w:rsidRPr="00934030">
        <w:tab/>
        <w:t xml:space="preserve">vyzdvihuje, že je důležité chránit hierarchii věřitelů při řešení krize bank a insolvenčních řízeních; vítá prohlášení bankovního dohledu ECB, Jednotného výboru pro řešení krizí a Evropského orgánu pro bankovnictví, v němž se zdůrazňuje, že nástroje kmenového kapitálu EU absorbují ztráty a vedlejší kapitál </w:t>
      </w:r>
      <w:proofErr w:type="spellStart"/>
      <w:r w:rsidRPr="00934030">
        <w:t>tier</w:t>
      </w:r>
      <w:proofErr w:type="spellEnd"/>
      <w:r w:rsidRPr="00934030">
        <w:t xml:space="preserve"> 1 by mohl být odepsán pouze v případě, že budou plně využity; připomíná, že je třeba plně respektovat hierarchii odpisů v případě úpadku banky, jak uvedl předseda Jednotného výboru Evropské unie pro řešení krizí;</w:t>
      </w:r>
    </w:p>
    <w:p w:rsidR="00537D98" w:rsidRPr="00934030" w:rsidRDefault="00537D98" w:rsidP="00537D98">
      <w:pPr>
        <w:pStyle w:val="NormalHanging12a"/>
      </w:pPr>
      <w:r w:rsidRPr="00934030">
        <w:t>36.</w:t>
      </w:r>
      <w:r w:rsidRPr="00934030">
        <w:tab/>
        <w:t>poznamenává, že fosilní paliva jsou hlavním přispěvatelem k urychlení změny klimatu a že mnoho aktiv spojených s fosilními palivy bude muset být před koncem své ekonomické životnosti opuštěno, ztratí veškerou svou hodnotu a stane se uvíznutými aktivy;</w:t>
      </w:r>
    </w:p>
    <w:p w:rsidR="00537D98" w:rsidRPr="00934030" w:rsidRDefault="00537D98" w:rsidP="00537D98">
      <w:pPr>
        <w:pStyle w:val="NormalHanging12a"/>
      </w:pPr>
      <w:r w:rsidRPr="00934030">
        <w:t>37.</w:t>
      </w:r>
      <w:r w:rsidRPr="00934030">
        <w:tab/>
        <w:t>bere na vědomí návrh na reformu rámce pro krizové řízení a pojištění vkladů na základě výzev Parlamentu; vyzývá k rozšíření oblasti působnosti usnesení, k vyjasnění posouzení veřejného zájmu a k tomu, aby byli daňoví poplatníci izolováni od nákladů spojených s úpadky bank a aby byl omezen rozsah státní podpory, jakož i ke zmírnění veškerých opatření, která by mohla vést k nadměrnému morálnímu hazardu; vyzývá k rychlému a účinnému přijetí přezkumu rámce pro krizové řízení a pojištění vkladů;</w:t>
      </w:r>
    </w:p>
    <w:p w:rsidR="00537D98" w:rsidRPr="00934030" w:rsidRDefault="00537D98" w:rsidP="00537D98">
      <w:pPr>
        <w:pStyle w:val="NormalHanging12a"/>
      </w:pPr>
      <w:r w:rsidRPr="00934030">
        <w:t>38.</w:t>
      </w:r>
      <w:r w:rsidRPr="00934030">
        <w:tab/>
        <w:t xml:space="preserve">podotýká, že banka v úpadku je poslána do režimu řešení krize pouze tehdy, pokud nemůže projít běžným úpadkovým řízením, aniž by poškodila veřejný zájem nebo způsobila finanční nestabilitu; konstatuje také, že návrhy budoucí reformy zahrnují poskytnutí přístupu malým a středním bankám s pozitivním hodnocením veřejného </w:t>
      </w:r>
      <w:r w:rsidRPr="00934030">
        <w:lastRenderedPageBreak/>
        <w:t>zájmu k rámci pro řešení krizí na úrovni EU za předpokladu, že splní podmínky pro přístup k Jednotnému fondu pro řešení krizí;</w:t>
      </w:r>
    </w:p>
    <w:p w:rsidR="00537D98" w:rsidRPr="00934030" w:rsidRDefault="00537D98" w:rsidP="00537D98">
      <w:pPr>
        <w:pStyle w:val="NormalHanging12a"/>
      </w:pPr>
      <w:r w:rsidRPr="00934030">
        <w:t>39.</w:t>
      </w:r>
      <w:r w:rsidRPr="00934030">
        <w:tab/>
        <w:t>zdůrazňuje úlohu Jednotného výboru pro řešení krizí a záchranných sítí financovaných odvětvím při ochraně daňových poplatníků před placením za rekapitalizaci; domnívá se, že příspěvky do záchranných sítí financovaných odvětvím musí být vždy vypočteny v poměru k riziku, které instituce představuje; lituje, že navzdory politické dohodě z listopadu 2020 o brzkém zavedení dosud nebylo zavedeno společné jištění Jednotného fondu pro řešení krizí, skládající se z úvěrové linky z Evropského mechanismu stability, a to z důvodu zpoždění v ratifikačním procesu dohody o změně smlouvy o zřízení evropského mechanismu stability; zdůrazňuje význam Jednotného fondu pro řešení krizí pro zajištění robustního a důvěryhodného rámce krizového řízení; vyzývá všechny členské státy, aby v plném rozsahu ratifikovaly dohodu o změně smlouvy o zřízení evropského mechanismu stability, včetně zřízení společného jištění SRF;</w:t>
      </w:r>
    </w:p>
    <w:p w:rsidR="00537D98" w:rsidRPr="00934030" w:rsidRDefault="00537D98" w:rsidP="00537D98">
      <w:pPr>
        <w:pStyle w:val="NormalHanging12a"/>
      </w:pPr>
      <w:r w:rsidRPr="00934030">
        <w:t>40.</w:t>
      </w:r>
      <w:r w:rsidRPr="00934030">
        <w:tab/>
        <w:t>připomíná, že banky musí i po provedení rozhodnutí o řešení krize nadále plnit své závazky a klíčové funkce; obává se, že banky by mohly čelit nedostatku likvidity při řešení krizí bezprostředně po obnovení přístupu na trh; vyzývá orgány EU, aby schválily řešení, které by zajistilo důvěru a zlepšilo předvídatelnost;</w:t>
      </w:r>
    </w:p>
    <w:p w:rsidR="00537D98" w:rsidRPr="00934030" w:rsidRDefault="00537D98" w:rsidP="00537D98">
      <w:pPr>
        <w:pStyle w:val="NormalHanging12a"/>
        <w:rPr>
          <w:rStyle w:val="BoldItalic"/>
        </w:rPr>
      </w:pPr>
      <w:r w:rsidRPr="00934030">
        <w:rPr>
          <w:rStyle w:val="BoldItalic"/>
        </w:rPr>
        <w:t>Pojištění vkladů</w:t>
      </w:r>
    </w:p>
    <w:p w:rsidR="00537D98" w:rsidRPr="00934030" w:rsidRDefault="00537D98" w:rsidP="00537D98">
      <w:pPr>
        <w:pStyle w:val="NormalHanging12a"/>
      </w:pPr>
      <w:r w:rsidRPr="00934030">
        <w:t>41.</w:t>
      </w:r>
      <w:r w:rsidRPr="00934030">
        <w:tab/>
        <w:t>podporuje společné výzvy vyjednávacího týmu Parlamentu o evropském systému pojištění vkladů (EDIS), koordinátorů a předsedkyně výboru ECON v rámci prohlášení ze dne 7. prosince 2022 týkající se provedení ambiciózního přezkumu rámce pro krizové řízení a pojištění vkladů, který může pomoci překonat překážky bránící zřízení systému EDIS a směrem k obnovení jednání o systému EDIS; souhlasí s ECB, která vyzývá k obnovení práce na zřízení systému EDIS;</w:t>
      </w:r>
    </w:p>
    <w:p w:rsidR="00537D98" w:rsidRPr="00934030" w:rsidRDefault="00537D98" w:rsidP="00537D98">
      <w:pPr>
        <w:pStyle w:val="NormalHanging12a"/>
      </w:pPr>
      <w:r w:rsidRPr="00934030">
        <w:t>42.</w:t>
      </w:r>
      <w:r w:rsidRPr="00934030">
        <w:tab/>
        <w:t xml:space="preserve">vítá legislativní práci na parlamentní úrovni týkající se návrhu systému EDIS, která proběhla od prohlášení vyjednávacího týmu Parlamentu o evropském systému pojištění vkladů z prosince 2022; znovu opakuje závazek Parlamentu usilovat o dosažení dohody o systému EDIS; vyzývá </w:t>
      </w:r>
      <w:proofErr w:type="spellStart"/>
      <w:r w:rsidRPr="00934030">
        <w:t>spolunormotvůrce</w:t>
      </w:r>
      <w:proofErr w:type="spellEnd"/>
      <w:r w:rsidRPr="00934030">
        <w:t>, aby usilovali o vytvoření realistického, důvěryhodného a kvalitního evropského systému pojištění vkladů;</w:t>
      </w:r>
    </w:p>
    <w:p w:rsidR="00537D98" w:rsidRPr="00934030" w:rsidRDefault="00537D98" w:rsidP="00537D98">
      <w:pPr>
        <w:widowControl/>
        <w:spacing w:after="240"/>
        <w:ind w:left="567" w:hanging="567"/>
      </w:pPr>
      <w:r w:rsidRPr="00934030">
        <w:t>43.</w:t>
      </w:r>
      <w:r w:rsidRPr="00934030">
        <w:tab/>
        <w:t>vítá úsilí Komise o vyjasnění rozsahu ochrany vkladatelů a zlepšení konvergence prostřednictvím revize směrnice 2014/49/EU o systémech pojištění vkladů v rámci přezkumu rámce pro krizové řízení a pojištění vkladů</w:t>
      </w:r>
      <w:r w:rsidRPr="00934030">
        <w:rPr>
          <w:vertAlign w:val="superscript"/>
        </w:rPr>
        <w:footnoteReference w:id="13"/>
      </w:r>
      <w:r w:rsidRPr="00934030">
        <w:t>; vyzdvihuje, že ačkoli přezkum rámce pro krizové řízení a pojištění vkladů nelze považovat za náhradu systému EDIS, harmonizovanější rámec může pomoci překonat překážky bránící zřízení systému EDIS; zdůrazňuje, že je důležité, aby příspěvky do systémů pojištění vkladů byly úměrné riziku;</w:t>
      </w:r>
    </w:p>
    <w:p w:rsidR="00537D98" w:rsidRPr="00934030" w:rsidRDefault="00537D98" w:rsidP="00537D98">
      <w:pPr>
        <w:pStyle w:val="NormalHanging12a"/>
      </w:pPr>
      <w:r w:rsidRPr="00934030">
        <w:t>44.</w:t>
      </w:r>
      <w:r w:rsidRPr="00934030">
        <w:tab/>
        <w:t>zdůrazňuje potřebu plnohodnotného evropského systému pojištění vkladů s příspěvky založenými na posouzení rizik, který bude umožňovat sdílení ztrát; vyzývá k cílenému posouzení kvality bankovních aktiv; doporučuje začít sdružováním likvidity a postupným navyšováním finančních prostředků EU;</w:t>
      </w:r>
    </w:p>
    <w:p w:rsidR="00537D98" w:rsidRPr="00934030" w:rsidRDefault="00537D98" w:rsidP="00537D98">
      <w:pPr>
        <w:pStyle w:val="NormalHanging12a"/>
      </w:pPr>
      <w:r w:rsidRPr="00934030">
        <w:t>45.</w:t>
      </w:r>
      <w:r w:rsidRPr="00934030">
        <w:tab/>
        <w:t xml:space="preserve">vyzývá k tomu, aby byly v rámci jakéhokoli systému EDIS zohledněny institucionální </w:t>
      </w:r>
      <w:r w:rsidRPr="00934030">
        <w:lastRenderedPageBreak/>
        <w:t>systémy ochrany, zejména jejich účinek na zmírnění rizik, při současném zachování rovných podmínek na jednotném trhu;</w:t>
      </w:r>
    </w:p>
    <w:p w:rsidR="00537D98" w:rsidRPr="00934030" w:rsidRDefault="00537D98" w:rsidP="00537D98">
      <w:pPr>
        <w:pStyle w:val="NormalHanging12a"/>
      </w:pPr>
      <w:r w:rsidRPr="00934030">
        <w:t>46.</w:t>
      </w:r>
      <w:r w:rsidRPr="00934030">
        <w:tab/>
        <w:t>připomíná, že jedním z hlavních cílů bankovní unie je přerušení vazby mezi bankovními riziky a riziky vlády; konstatuje, že banky v bankovní unii zůstávají i nadále ve velké míře vystavené domácímu státnímu dluhu; sdílí obavy EBA, že expozice vůči státním dluhopisům jsou pro banky v EU významné a mohly by se stát zdrojem potenciální zranitelnosti; zdůrazňuje, že otázka regulačního zacházení se státními expozicemi by měla být v souladu s mezinárodními normami, a vyzývá Komisi, aby to zohlednila při řešení této otázky ve všech budoucích návrzích v této oblasti;</w:t>
      </w:r>
    </w:p>
    <w:p w:rsidR="00537D98" w:rsidRPr="00934030" w:rsidRDefault="00537D98" w:rsidP="00537D98">
      <w:pPr>
        <w:pStyle w:val="NormalHanging12a"/>
      </w:pPr>
      <w:r w:rsidRPr="00934030">
        <w:t>47.</w:t>
      </w:r>
      <w:r w:rsidRPr="00934030">
        <w:tab/>
        <w:t>vítá významný pokrok, jehož bylo od roku 2015 dosaženo při snižování rizik; na druhé straně shledává, že nebylo dosaženo výrazného pokroku v oblasti sdílení rizik; konstatuje však, že pro úspěch bankovní unie je zapotřebí náležité a účinné snižování rizik;</w:t>
      </w:r>
    </w:p>
    <w:p w:rsidR="00537D98" w:rsidRPr="00934030" w:rsidRDefault="00537D98" w:rsidP="00537D98">
      <w:pPr>
        <w:spacing w:after="240"/>
        <w:ind w:left="567" w:hanging="567"/>
        <w:jc w:val="center"/>
      </w:pPr>
      <w:r w:rsidRPr="00934030">
        <w:t>°</w:t>
      </w:r>
    </w:p>
    <w:p w:rsidR="00537D98" w:rsidRPr="00934030" w:rsidRDefault="00537D98" w:rsidP="00537D98">
      <w:pPr>
        <w:spacing w:after="240"/>
        <w:ind w:left="567" w:hanging="567"/>
        <w:jc w:val="center"/>
      </w:pPr>
      <w:r w:rsidRPr="00934030">
        <w:t>°</w:t>
      </w:r>
      <w:r w:rsidRPr="00934030">
        <w:tab/>
        <w:t>°</w:t>
      </w:r>
    </w:p>
    <w:p w:rsidR="00537D98" w:rsidRPr="00934030" w:rsidRDefault="00537D98" w:rsidP="00537D98">
      <w:pPr>
        <w:pStyle w:val="NormalHanging12a"/>
      </w:pPr>
      <w:r w:rsidRPr="00934030">
        <w:t>48.</w:t>
      </w:r>
      <w:r w:rsidRPr="00934030">
        <w:tab/>
        <w:t>pověřuje svou předsedkyni, aby předala toto usnesení Radě, Komisi, Evropské centrální bance, Jednotnému výboru pro řešení krizí a Evropskému orgánu pro bankovnictví.</w:t>
      </w:r>
    </w:p>
    <w:p w:rsidR="00537D98" w:rsidRPr="00934030" w:rsidRDefault="00537D98" w:rsidP="00537D98"/>
    <w:p w:rsidR="00E365E1" w:rsidRPr="00934030" w:rsidRDefault="00E365E1" w:rsidP="005B13D1">
      <w:bookmarkStart w:id="9" w:name="TextBodyEnd"/>
      <w:bookmarkEnd w:id="9"/>
    </w:p>
    <w:sectPr w:rsidR="00E365E1" w:rsidRPr="00934030" w:rsidSect="009340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3D1" w:rsidRPr="00934030" w:rsidRDefault="005B13D1">
      <w:r w:rsidRPr="00934030">
        <w:separator/>
      </w:r>
    </w:p>
  </w:endnote>
  <w:endnote w:type="continuationSeparator" w:id="0">
    <w:p w:rsidR="005B13D1" w:rsidRPr="00934030" w:rsidRDefault="005B13D1">
      <w:r w:rsidRPr="009340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403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403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403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3D1" w:rsidRPr="00934030" w:rsidRDefault="005B13D1">
      <w:r w:rsidRPr="00934030">
        <w:separator/>
      </w:r>
    </w:p>
  </w:footnote>
  <w:footnote w:type="continuationSeparator" w:id="0">
    <w:p w:rsidR="005B13D1" w:rsidRPr="00934030" w:rsidRDefault="005B13D1">
      <w:r w:rsidRPr="00934030">
        <w:continuationSeparator/>
      </w:r>
    </w:p>
  </w:footnote>
  <w:footnote w:id="1">
    <w:p w:rsidR="00537D98" w:rsidRPr="00934030" w:rsidRDefault="00537D98" w:rsidP="00934030">
      <w:pPr>
        <w:pStyle w:val="FootnoteText"/>
        <w:ind w:left="567" w:hanging="567"/>
        <w:rPr>
          <w:sz w:val="24"/>
          <w:lang w:val="cs-CZ"/>
        </w:rPr>
      </w:pPr>
      <w:r w:rsidRPr="00934030">
        <w:rPr>
          <w:rStyle w:val="FootnoteReference"/>
          <w:sz w:val="24"/>
          <w:lang w:val="cs-CZ"/>
        </w:rPr>
        <w:footnoteRef/>
      </w:r>
      <w:r w:rsidR="00934030" w:rsidRPr="00934030">
        <w:rPr>
          <w:sz w:val="24"/>
          <w:lang w:val="cs-CZ"/>
        </w:rPr>
        <w:t xml:space="preserve"> </w:t>
      </w:r>
      <w:r w:rsidR="00934030" w:rsidRPr="00934030">
        <w:rPr>
          <w:sz w:val="24"/>
          <w:lang w:val="cs-CZ"/>
        </w:rPr>
        <w:tab/>
      </w:r>
      <w:r w:rsidRPr="00934030">
        <w:rPr>
          <w:sz w:val="24"/>
          <w:lang w:val="cs-CZ"/>
        </w:rPr>
        <w:t>Přijaté texty, P9_TA(2023)0270.</w:t>
      </w:r>
    </w:p>
  </w:footnote>
  <w:footnote w:id="2">
    <w:p w:rsidR="00537D98" w:rsidRPr="00934030" w:rsidRDefault="00537D98" w:rsidP="00934030">
      <w:pPr>
        <w:pStyle w:val="FootnoteText"/>
        <w:ind w:left="567" w:hanging="567"/>
        <w:rPr>
          <w:sz w:val="24"/>
          <w:lang w:val="cs-CZ"/>
        </w:rPr>
      </w:pPr>
      <w:r w:rsidRPr="00934030">
        <w:rPr>
          <w:rStyle w:val="FootnoteReference"/>
          <w:sz w:val="24"/>
          <w:lang w:val="cs-CZ"/>
        </w:rPr>
        <w:footnoteRef/>
      </w:r>
      <w:r w:rsidR="00934030" w:rsidRPr="00934030">
        <w:rPr>
          <w:sz w:val="24"/>
          <w:lang w:val="cs-CZ"/>
        </w:rPr>
        <w:t xml:space="preserve"> </w:t>
      </w:r>
      <w:r w:rsidR="00934030" w:rsidRPr="00934030">
        <w:rPr>
          <w:sz w:val="24"/>
          <w:lang w:val="cs-CZ"/>
        </w:rPr>
        <w:tab/>
      </w:r>
      <w:proofErr w:type="spellStart"/>
      <w:r w:rsidR="005651C8" w:rsidRPr="004D1A37">
        <w:t>Úř</w:t>
      </w:r>
      <w:proofErr w:type="spellEnd"/>
      <w:r w:rsidR="005651C8" w:rsidRPr="004D1A37">
        <w:t xml:space="preserve">. </w:t>
      </w:r>
      <w:proofErr w:type="spellStart"/>
      <w:proofErr w:type="gramStart"/>
      <w:r w:rsidR="005651C8" w:rsidRPr="004D1A37">
        <w:t>věst</w:t>
      </w:r>
      <w:proofErr w:type="spellEnd"/>
      <w:proofErr w:type="gramEnd"/>
      <w:r w:rsidR="005651C8" w:rsidRPr="004D1A37">
        <w:t>. C 494, 8.12.2021, s. 118</w:t>
      </w:r>
      <w:r w:rsidRPr="00934030">
        <w:rPr>
          <w:sz w:val="24"/>
          <w:lang w:val="cs-CZ"/>
        </w:rPr>
        <w:t>.</w:t>
      </w:r>
    </w:p>
  </w:footnote>
  <w:footnote w:id="3">
    <w:p w:rsidR="00537D98" w:rsidRPr="00934030" w:rsidRDefault="00537D98" w:rsidP="00934030">
      <w:pPr>
        <w:pStyle w:val="FootnoteText"/>
        <w:ind w:left="567" w:hanging="567"/>
        <w:rPr>
          <w:sz w:val="24"/>
          <w:lang w:val="cs-CZ"/>
        </w:rPr>
      </w:pPr>
      <w:r w:rsidRPr="00934030">
        <w:rPr>
          <w:rStyle w:val="FootnoteReference"/>
          <w:sz w:val="24"/>
          <w:lang w:val="cs-CZ"/>
        </w:rPr>
        <w:footnoteRef/>
      </w:r>
      <w:r w:rsidR="00934030" w:rsidRPr="00934030">
        <w:rPr>
          <w:sz w:val="24"/>
          <w:lang w:val="cs-CZ"/>
        </w:rPr>
        <w:t xml:space="preserve"> </w:t>
      </w:r>
      <w:r w:rsidR="00934030" w:rsidRPr="00934030">
        <w:rPr>
          <w:sz w:val="24"/>
          <w:lang w:val="cs-CZ"/>
        </w:rPr>
        <w:tab/>
      </w:r>
      <w:proofErr w:type="spellStart"/>
      <w:r w:rsidR="005651C8" w:rsidRPr="004D1A37">
        <w:t>Úř</w:t>
      </w:r>
      <w:proofErr w:type="spellEnd"/>
      <w:r w:rsidR="005651C8" w:rsidRPr="004D1A37">
        <w:t xml:space="preserve">. </w:t>
      </w:r>
      <w:proofErr w:type="spellStart"/>
      <w:proofErr w:type="gramStart"/>
      <w:r w:rsidR="005651C8" w:rsidRPr="004D1A37">
        <w:t>věst</w:t>
      </w:r>
      <w:proofErr w:type="spellEnd"/>
      <w:proofErr w:type="gramEnd"/>
      <w:r w:rsidR="005651C8" w:rsidRPr="004D1A37">
        <w:t>. C 23, 21.1.2021, s. 105</w:t>
      </w:r>
      <w:r w:rsidRPr="00934030">
        <w:rPr>
          <w:sz w:val="24"/>
          <w:lang w:val="cs-CZ"/>
        </w:rPr>
        <w:t>.</w:t>
      </w:r>
    </w:p>
  </w:footnote>
  <w:footnote w:id="4">
    <w:p w:rsidR="00537D98" w:rsidRPr="00934030" w:rsidRDefault="00537D98" w:rsidP="00934030">
      <w:pPr>
        <w:pStyle w:val="FootnoteText"/>
        <w:ind w:left="567" w:hanging="567"/>
        <w:rPr>
          <w:sz w:val="24"/>
          <w:lang w:val="cs-CZ"/>
        </w:rPr>
      </w:pPr>
      <w:r w:rsidRPr="00934030">
        <w:rPr>
          <w:rStyle w:val="FootnoteReference"/>
          <w:sz w:val="24"/>
          <w:lang w:val="cs-CZ"/>
        </w:rPr>
        <w:footnoteRef/>
      </w:r>
      <w:r w:rsidR="00934030" w:rsidRPr="00934030">
        <w:rPr>
          <w:sz w:val="24"/>
          <w:lang w:val="cs-CZ"/>
        </w:rPr>
        <w:t xml:space="preserve"> </w:t>
      </w:r>
      <w:r w:rsidR="00934030" w:rsidRPr="00934030">
        <w:rPr>
          <w:sz w:val="24"/>
          <w:lang w:val="cs-CZ"/>
        </w:rPr>
        <w:tab/>
      </w:r>
      <w:proofErr w:type="gramStart"/>
      <w:r w:rsidRPr="00934030">
        <w:rPr>
          <w:sz w:val="24"/>
          <w:lang w:val="cs-CZ"/>
        </w:rPr>
        <w:t>De Vito</w:t>
      </w:r>
      <w:proofErr w:type="gramEnd"/>
      <w:r w:rsidRPr="00934030">
        <w:rPr>
          <w:sz w:val="24"/>
          <w:lang w:val="cs-CZ"/>
        </w:rPr>
        <w:t xml:space="preserve">, L. a kol., </w:t>
      </w:r>
      <w:hyperlink r:id="rId1" w:history="1">
        <w:proofErr w:type="spellStart"/>
        <w:r w:rsidRPr="00934030">
          <w:rPr>
            <w:rStyle w:val="Hyperlink"/>
            <w:i/>
            <w:sz w:val="24"/>
            <w:lang w:val="cs-CZ"/>
          </w:rPr>
          <w:t>Understanding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the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profitability gap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between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euro area and US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global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systemically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important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banks</w:t>
        </w:r>
        <w:proofErr w:type="spellEnd"/>
      </w:hyperlink>
      <w:r w:rsidRPr="00934030">
        <w:rPr>
          <w:sz w:val="24"/>
          <w:lang w:val="cs-CZ"/>
        </w:rPr>
        <w:t xml:space="preserve"> (Porozumění rozdílu v ziskovosti mezi globálními systémově významnými bankami v eurozóně a v USA), ECB </w:t>
      </w:r>
      <w:proofErr w:type="spellStart"/>
      <w:r w:rsidRPr="00934030">
        <w:rPr>
          <w:sz w:val="24"/>
          <w:lang w:val="cs-CZ"/>
        </w:rPr>
        <w:t>Occasional</w:t>
      </w:r>
      <w:proofErr w:type="spellEnd"/>
      <w:r w:rsidRPr="00934030">
        <w:rPr>
          <w:sz w:val="24"/>
          <w:lang w:val="cs-CZ"/>
        </w:rPr>
        <w:t xml:space="preserve"> </w:t>
      </w:r>
      <w:proofErr w:type="spellStart"/>
      <w:r w:rsidRPr="00934030">
        <w:rPr>
          <w:sz w:val="24"/>
          <w:lang w:val="cs-CZ"/>
        </w:rPr>
        <w:t>Paper</w:t>
      </w:r>
      <w:proofErr w:type="spellEnd"/>
      <w:r w:rsidRPr="00934030">
        <w:rPr>
          <w:sz w:val="24"/>
          <w:lang w:val="cs-CZ"/>
        </w:rPr>
        <w:t xml:space="preserve"> </w:t>
      </w:r>
      <w:proofErr w:type="spellStart"/>
      <w:r w:rsidRPr="00934030">
        <w:rPr>
          <w:sz w:val="24"/>
          <w:lang w:val="cs-CZ"/>
        </w:rPr>
        <w:t>Series</w:t>
      </w:r>
      <w:proofErr w:type="spellEnd"/>
      <w:r w:rsidRPr="00934030">
        <w:rPr>
          <w:sz w:val="24"/>
          <w:lang w:val="cs-CZ"/>
        </w:rPr>
        <w:t xml:space="preserve"> 327, 2023.</w:t>
      </w:r>
    </w:p>
  </w:footnote>
  <w:footnote w:id="5">
    <w:p w:rsidR="00537D98" w:rsidRPr="00934030" w:rsidRDefault="00537D98" w:rsidP="00934030">
      <w:pPr>
        <w:pStyle w:val="FootnoteText"/>
        <w:ind w:left="567" w:hanging="567"/>
        <w:rPr>
          <w:sz w:val="24"/>
          <w:lang w:val="cs-CZ"/>
        </w:rPr>
      </w:pPr>
      <w:r w:rsidRPr="00934030">
        <w:rPr>
          <w:rStyle w:val="FootnoteReference"/>
          <w:sz w:val="24"/>
          <w:lang w:val="cs-CZ"/>
        </w:rPr>
        <w:footnoteRef/>
      </w:r>
      <w:r w:rsidR="00934030" w:rsidRPr="00934030">
        <w:rPr>
          <w:sz w:val="24"/>
          <w:lang w:val="cs-CZ"/>
        </w:rPr>
        <w:t xml:space="preserve"> </w:t>
      </w:r>
      <w:r w:rsidR="00934030" w:rsidRPr="00934030">
        <w:rPr>
          <w:sz w:val="24"/>
          <w:lang w:val="cs-CZ"/>
        </w:rPr>
        <w:tab/>
      </w:r>
      <w:r w:rsidRPr="00934030">
        <w:rPr>
          <w:sz w:val="24"/>
          <w:lang w:val="cs-CZ"/>
        </w:rPr>
        <w:t xml:space="preserve">ECB, </w:t>
      </w:r>
      <w:hyperlink r:id="rId2" w:history="1">
        <w:proofErr w:type="spellStart"/>
        <w:r w:rsidRPr="00934030">
          <w:rPr>
            <w:rStyle w:val="Hyperlink"/>
            <w:i/>
            <w:sz w:val="24"/>
            <w:lang w:val="cs-CZ"/>
          </w:rPr>
          <w:t>Supervisory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Banking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Statistics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for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significant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institutions.</w:t>
        </w:r>
      </w:hyperlink>
      <w:hyperlink r:id="rId3" w:history="1">
        <w:r w:rsidRPr="00934030">
          <w:rPr>
            <w:rStyle w:val="Hyperlink"/>
            <w:i/>
            <w:sz w:val="24"/>
            <w:lang w:val="cs-CZ"/>
          </w:rPr>
          <w:t>Second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quarter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2023</w:t>
        </w:r>
      </w:hyperlink>
      <w:r w:rsidRPr="00934030">
        <w:rPr>
          <w:sz w:val="24"/>
          <w:lang w:val="cs-CZ"/>
        </w:rPr>
        <w:t xml:space="preserve"> (Bankovní statistiky dohledu pro významné instituce, druhé čtvrtletí roku 2023), říjen 2023.</w:t>
      </w:r>
    </w:p>
  </w:footnote>
  <w:footnote w:id="6">
    <w:p w:rsidR="00537D98" w:rsidRPr="00934030" w:rsidRDefault="00537D98" w:rsidP="00934030">
      <w:pPr>
        <w:pStyle w:val="FootnoteText"/>
        <w:ind w:left="567" w:hanging="567"/>
        <w:rPr>
          <w:sz w:val="24"/>
          <w:lang w:val="cs-CZ"/>
        </w:rPr>
      </w:pPr>
      <w:r w:rsidRPr="00934030">
        <w:rPr>
          <w:rStyle w:val="FootnoteReference"/>
          <w:sz w:val="24"/>
          <w:lang w:val="cs-CZ"/>
        </w:rPr>
        <w:footnoteRef/>
      </w:r>
      <w:r w:rsidR="00934030" w:rsidRPr="00934030">
        <w:rPr>
          <w:sz w:val="24"/>
          <w:lang w:val="cs-CZ"/>
        </w:rPr>
        <w:t xml:space="preserve"> </w:t>
      </w:r>
      <w:r w:rsidR="00934030" w:rsidRPr="00934030">
        <w:rPr>
          <w:sz w:val="24"/>
          <w:lang w:val="cs-CZ"/>
        </w:rPr>
        <w:tab/>
      </w:r>
      <w:r w:rsidRPr="00934030">
        <w:rPr>
          <w:sz w:val="24"/>
          <w:lang w:val="cs-CZ"/>
        </w:rPr>
        <w:t xml:space="preserve">ECB, </w:t>
      </w:r>
      <w:hyperlink r:id="rId4" w:history="1">
        <w:r w:rsidRPr="00934030">
          <w:rPr>
            <w:rStyle w:val="Hyperlink"/>
            <w:i/>
            <w:sz w:val="24"/>
            <w:lang w:val="cs-CZ"/>
          </w:rPr>
          <w:t xml:space="preserve">Euro area bank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lending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survey</w:t>
        </w:r>
        <w:proofErr w:type="spellEnd"/>
      </w:hyperlink>
      <w:r w:rsidRPr="00934030">
        <w:rPr>
          <w:sz w:val="24"/>
          <w:lang w:val="cs-CZ"/>
        </w:rPr>
        <w:t xml:space="preserve"> (Průzkum bankovních úvěrů v eurozóně).</w:t>
      </w:r>
    </w:p>
  </w:footnote>
  <w:footnote w:id="7">
    <w:p w:rsidR="00537D98" w:rsidRPr="005651C8" w:rsidRDefault="00537D98" w:rsidP="00934030">
      <w:pPr>
        <w:pStyle w:val="FootnoteText"/>
        <w:ind w:left="567" w:hanging="567"/>
        <w:rPr>
          <w:sz w:val="24"/>
          <w:szCs w:val="24"/>
          <w:lang w:val="cs-CZ"/>
        </w:rPr>
      </w:pPr>
      <w:r w:rsidRPr="00934030">
        <w:rPr>
          <w:rStyle w:val="FootnoteReference"/>
          <w:sz w:val="24"/>
          <w:lang w:val="cs-CZ"/>
        </w:rPr>
        <w:footnoteRef/>
      </w:r>
      <w:r w:rsidR="00934030" w:rsidRPr="00934030">
        <w:rPr>
          <w:sz w:val="24"/>
          <w:lang w:val="cs-CZ"/>
        </w:rPr>
        <w:t xml:space="preserve"> </w:t>
      </w:r>
      <w:r w:rsidR="00934030" w:rsidRPr="00934030">
        <w:rPr>
          <w:sz w:val="24"/>
          <w:lang w:val="cs-CZ"/>
        </w:rPr>
        <w:tab/>
      </w:r>
      <w:r w:rsidRPr="00934030">
        <w:rPr>
          <w:sz w:val="24"/>
          <w:lang w:val="cs-CZ"/>
        </w:rPr>
        <w:t xml:space="preserve">Nařízení (EU) 2021/1119 ze dne 30. června 2021, kterým se stanoví rámec pro dosažení klimatické neutrality a mění nařízení (ES) č. 401/2009 a nařízení (EU) 2018/1999 </w:t>
      </w:r>
      <w:r w:rsidR="005651C8">
        <w:rPr>
          <w:sz w:val="24"/>
          <w:lang w:val="cs-CZ"/>
        </w:rPr>
        <w:t>(</w:t>
      </w:r>
      <w:proofErr w:type="spellStart"/>
      <w:r w:rsidRPr="004D1A37">
        <w:rPr>
          <w:szCs w:val="24"/>
        </w:rPr>
        <w:fldChar w:fldCharType="begin"/>
      </w:r>
      <w:r w:rsidRPr="004D1A37">
        <w:rPr>
          <w:sz w:val="24"/>
          <w:szCs w:val="24"/>
          <w:lang w:val="cs-CZ"/>
        </w:rPr>
        <w:instrText xml:space="preserve"> HYPERLINK "https://eur-lex.europa.eu/legal-content/CS/TXT/PDF/?uri=CELEX:32021R1119&amp;from=EN" \l ":~:text=This%20Regulation%20sets%20out%20a,Article%207%20of%20the%20Paris" </w:instrText>
      </w:r>
      <w:r w:rsidRPr="004D1A37">
        <w:rPr>
          <w:sz w:val="24"/>
          <w:szCs w:val="24"/>
          <w:lang w:val="cs-CZ"/>
        </w:rPr>
        <w:fldChar w:fldCharType="separate"/>
      </w:r>
      <w:r w:rsidRPr="004D1A37">
        <w:rPr>
          <w:szCs w:val="24"/>
          <w:lang w:val="cs-CZ"/>
        </w:rPr>
        <w:t>Úř</w:t>
      </w:r>
      <w:proofErr w:type="spellEnd"/>
      <w:r w:rsidRPr="004D1A37">
        <w:rPr>
          <w:szCs w:val="24"/>
          <w:lang w:val="cs-CZ"/>
        </w:rPr>
        <w:t xml:space="preserve">. </w:t>
      </w:r>
      <w:proofErr w:type="spellStart"/>
      <w:proofErr w:type="gramStart"/>
      <w:r w:rsidRPr="004D1A37">
        <w:rPr>
          <w:szCs w:val="24"/>
          <w:lang w:val="cs-CZ"/>
        </w:rPr>
        <w:t>věst</w:t>
      </w:r>
      <w:proofErr w:type="spellEnd"/>
      <w:proofErr w:type="gramEnd"/>
      <w:r w:rsidRPr="004D1A37">
        <w:rPr>
          <w:szCs w:val="24"/>
          <w:lang w:val="cs-CZ"/>
        </w:rPr>
        <w:t xml:space="preserve">. L 243, </w:t>
      </w:r>
      <w:proofErr w:type="gramStart"/>
      <w:r w:rsidRPr="004D1A37">
        <w:rPr>
          <w:szCs w:val="24"/>
          <w:lang w:val="cs-CZ"/>
        </w:rPr>
        <w:t>9.7.2021</w:t>
      </w:r>
      <w:proofErr w:type="gramEnd"/>
      <w:r w:rsidRPr="004D1A37">
        <w:rPr>
          <w:szCs w:val="24"/>
          <w:lang w:val="cs-CZ"/>
        </w:rPr>
        <w:t>, s. 1</w:t>
      </w:r>
      <w:r w:rsidRPr="004D1A37">
        <w:rPr>
          <w:szCs w:val="24"/>
        </w:rPr>
        <w:fldChar w:fldCharType="end"/>
      </w:r>
      <w:r w:rsidR="005651C8" w:rsidRPr="004D1A37">
        <w:rPr>
          <w:szCs w:val="24"/>
          <w:lang w:val="cs-CZ"/>
        </w:rPr>
        <w:t>)</w:t>
      </w:r>
      <w:r w:rsidRPr="005651C8">
        <w:rPr>
          <w:sz w:val="24"/>
          <w:szCs w:val="24"/>
          <w:lang w:val="cs-CZ"/>
        </w:rPr>
        <w:t>.</w:t>
      </w:r>
    </w:p>
  </w:footnote>
  <w:footnote w:id="8">
    <w:p w:rsidR="00537D98" w:rsidRPr="00934030" w:rsidRDefault="00537D98" w:rsidP="00934030">
      <w:pPr>
        <w:pStyle w:val="FootnoteText"/>
        <w:ind w:left="567" w:hanging="567"/>
        <w:rPr>
          <w:sz w:val="24"/>
          <w:lang w:val="cs-CZ"/>
        </w:rPr>
      </w:pPr>
      <w:r w:rsidRPr="00934030">
        <w:rPr>
          <w:rStyle w:val="FootnoteReference"/>
          <w:sz w:val="24"/>
          <w:lang w:val="cs-CZ"/>
        </w:rPr>
        <w:footnoteRef/>
      </w:r>
      <w:r w:rsidR="00934030" w:rsidRPr="00934030">
        <w:rPr>
          <w:sz w:val="24"/>
          <w:lang w:val="cs-CZ"/>
        </w:rPr>
        <w:t xml:space="preserve"> </w:t>
      </w:r>
      <w:r w:rsidR="00934030" w:rsidRPr="00934030">
        <w:rPr>
          <w:sz w:val="24"/>
          <w:lang w:val="cs-CZ"/>
        </w:rPr>
        <w:tab/>
      </w:r>
      <w:r w:rsidRPr="00934030">
        <w:rPr>
          <w:sz w:val="24"/>
          <w:lang w:val="cs-CZ"/>
        </w:rPr>
        <w:t xml:space="preserve">EBA, </w:t>
      </w:r>
      <w:hyperlink r:id="rId5" w:history="1">
        <w:r w:rsidRPr="00934030">
          <w:rPr>
            <w:rStyle w:val="Hyperlink"/>
            <w:i/>
            <w:sz w:val="24"/>
            <w:lang w:val="cs-CZ"/>
          </w:rPr>
          <w:t xml:space="preserve">Risk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Assessment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of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the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European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Banking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System</w:t>
        </w:r>
        <w:proofErr w:type="spellEnd"/>
      </w:hyperlink>
      <w:r w:rsidRPr="00934030">
        <w:rPr>
          <w:sz w:val="24"/>
          <w:lang w:val="cs-CZ"/>
        </w:rPr>
        <w:t xml:space="preserve"> (Posouzení rizik Evropského bankovního systému), prosinec 2022.</w:t>
      </w:r>
    </w:p>
  </w:footnote>
  <w:footnote w:id="9">
    <w:p w:rsidR="00537D98" w:rsidRPr="00934030" w:rsidRDefault="00537D98" w:rsidP="00934030">
      <w:pPr>
        <w:pStyle w:val="FootnoteText"/>
        <w:ind w:left="567" w:hanging="567"/>
        <w:rPr>
          <w:sz w:val="24"/>
          <w:lang w:val="cs-CZ"/>
        </w:rPr>
      </w:pPr>
      <w:r w:rsidRPr="00934030">
        <w:rPr>
          <w:rStyle w:val="FootnoteReference"/>
          <w:sz w:val="24"/>
          <w:lang w:val="cs-CZ"/>
        </w:rPr>
        <w:footnoteRef/>
      </w:r>
      <w:r w:rsidR="00934030" w:rsidRPr="00934030">
        <w:rPr>
          <w:sz w:val="24"/>
          <w:lang w:val="cs-CZ"/>
        </w:rPr>
        <w:t xml:space="preserve"> </w:t>
      </w:r>
      <w:r w:rsidR="00934030" w:rsidRPr="00934030">
        <w:rPr>
          <w:sz w:val="24"/>
          <w:lang w:val="cs-CZ"/>
        </w:rPr>
        <w:tab/>
      </w:r>
      <w:r w:rsidRPr="00934030">
        <w:rPr>
          <w:sz w:val="24"/>
          <w:lang w:val="cs-CZ"/>
        </w:rPr>
        <w:t xml:space="preserve">ECB, </w:t>
      </w:r>
      <w:hyperlink r:id="rId6" w:history="1">
        <w:proofErr w:type="spellStart"/>
        <w:r w:rsidRPr="00934030">
          <w:rPr>
            <w:rStyle w:val="Hyperlink"/>
            <w:i/>
            <w:sz w:val="24"/>
            <w:lang w:val="cs-CZ"/>
          </w:rPr>
          <w:t>Supervisory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Banking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Statistics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for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significant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institutions</w:t>
        </w:r>
        <w:proofErr w:type="spellEnd"/>
        <w:r w:rsidRPr="00934030">
          <w:rPr>
            <w:rStyle w:val="Hyperlink"/>
            <w:i/>
            <w:sz w:val="24"/>
            <w:lang w:val="cs-CZ"/>
          </w:rPr>
          <w:t>.</w:t>
        </w:r>
      </w:hyperlink>
      <w:hyperlink r:id="rId7" w:history="1">
        <w:r w:rsidRPr="00934030">
          <w:rPr>
            <w:rStyle w:val="Hyperlink"/>
            <w:i/>
            <w:sz w:val="24"/>
            <w:lang w:val="cs-CZ"/>
          </w:rPr>
          <w:t xml:space="preserve"> Second </w:t>
        </w:r>
        <w:proofErr w:type="spellStart"/>
        <w:r w:rsidRPr="00934030">
          <w:rPr>
            <w:rStyle w:val="Hyperlink"/>
            <w:i/>
            <w:sz w:val="24"/>
            <w:lang w:val="cs-CZ"/>
          </w:rPr>
          <w:t>quarter</w:t>
        </w:r>
        <w:proofErr w:type="spellEnd"/>
        <w:r w:rsidRPr="00934030">
          <w:rPr>
            <w:rStyle w:val="Hyperlink"/>
            <w:i/>
            <w:sz w:val="24"/>
            <w:lang w:val="cs-CZ"/>
          </w:rPr>
          <w:t xml:space="preserve"> 2023</w:t>
        </w:r>
      </w:hyperlink>
      <w:r w:rsidRPr="00934030">
        <w:rPr>
          <w:sz w:val="24"/>
          <w:lang w:val="cs-CZ"/>
        </w:rPr>
        <w:t xml:space="preserve"> (Bankovní statistiky dohledu pro významné instituce, druhé čtvrtletí roku 2023), říjen 2023.</w:t>
      </w:r>
    </w:p>
  </w:footnote>
  <w:footnote w:id="10">
    <w:p w:rsidR="00537D98" w:rsidRPr="00934030" w:rsidRDefault="00537D98" w:rsidP="00934030">
      <w:pPr>
        <w:pStyle w:val="title-bold"/>
        <w:shd w:val="clear" w:color="auto" w:fill="FFFFFF"/>
        <w:spacing w:before="0" w:beforeAutospacing="0" w:after="75" w:afterAutospacing="0"/>
        <w:ind w:left="567" w:hanging="567"/>
        <w:rPr>
          <w:lang w:val="cs-CZ"/>
        </w:rPr>
      </w:pPr>
      <w:r w:rsidRPr="00934030">
        <w:rPr>
          <w:rStyle w:val="FootnoteReference"/>
          <w:lang w:val="cs-CZ"/>
        </w:rPr>
        <w:footnoteRef/>
      </w:r>
      <w:r w:rsidR="00934030" w:rsidRPr="00934030">
        <w:rPr>
          <w:color w:val="333333"/>
          <w:lang w:val="cs-CZ"/>
        </w:rPr>
        <w:t xml:space="preserve"> </w:t>
      </w:r>
      <w:r w:rsidR="00934030" w:rsidRPr="00934030">
        <w:rPr>
          <w:color w:val="333333"/>
          <w:lang w:val="cs-CZ"/>
        </w:rPr>
        <w:tab/>
      </w:r>
      <w:r w:rsidRPr="00934030">
        <w:rPr>
          <w:color w:val="333333"/>
          <w:lang w:val="cs-CZ"/>
        </w:rPr>
        <w:t xml:space="preserve">Směrnice (EU) 2021/2167 ze dne 24. listopadu 2021 o správcích úvěru a obchodnících s úvěry a o změně směrnic 2008/48/ES a 2014/17/EU </w:t>
      </w:r>
      <w:r w:rsidR="005651C8">
        <w:rPr>
          <w:color w:val="333333"/>
          <w:lang w:val="cs-CZ"/>
        </w:rPr>
        <w:t>(</w:t>
      </w:r>
      <w:proofErr w:type="spellStart"/>
      <w:r w:rsidR="005651C8" w:rsidRPr="004D1A37">
        <w:rPr>
          <w:lang w:val="cs-CZ"/>
        </w:rPr>
        <w:t>Úř</w:t>
      </w:r>
      <w:proofErr w:type="spellEnd"/>
      <w:r w:rsidR="005651C8" w:rsidRPr="004D1A37">
        <w:rPr>
          <w:lang w:val="cs-CZ"/>
        </w:rPr>
        <w:t xml:space="preserve">. </w:t>
      </w:r>
      <w:proofErr w:type="spellStart"/>
      <w:proofErr w:type="gramStart"/>
      <w:r w:rsidR="005651C8" w:rsidRPr="004D1A37">
        <w:rPr>
          <w:lang w:val="cs-CZ"/>
        </w:rPr>
        <w:t>věst</w:t>
      </w:r>
      <w:proofErr w:type="spellEnd"/>
      <w:proofErr w:type="gramEnd"/>
      <w:r w:rsidR="005651C8" w:rsidRPr="004D1A37">
        <w:rPr>
          <w:lang w:val="cs-CZ"/>
        </w:rPr>
        <w:t xml:space="preserve">. L 438, </w:t>
      </w:r>
      <w:proofErr w:type="gramStart"/>
      <w:r w:rsidR="005651C8" w:rsidRPr="004D1A37">
        <w:rPr>
          <w:lang w:val="cs-CZ"/>
        </w:rPr>
        <w:t>8.12.2021</w:t>
      </w:r>
      <w:proofErr w:type="gramEnd"/>
      <w:r w:rsidR="005651C8" w:rsidRPr="004D1A37">
        <w:rPr>
          <w:lang w:val="cs-CZ"/>
        </w:rPr>
        <w:t>, s. 1</w:t>
      </w:r>
      <w:r w:rsidR="005651C8">
        <w:rPr>
          <w:rStyle w:val="Hyperlink"/>
          <w:lang w:val="cs-CZ"/>
        </w:rPr>
        <w:t>)</w:t>
      </w:r>
      <w:r w:rsidRPr="00934030">
        <w:rPr>
          <w:lang w:val="cs-CZ"/>
        </w:rPr>
        <w:t>.</w:t>
      </w:r>
    </w:p>
  </w:footnote>
  <w:footnote w:id="11">
    <w:p w:rsidR="00537D98" w:rsidRPr="00934030" w:rsidRDefault="00537D98" w:rsidP="00934030">
      <w:pPr>
        <w:pStyle w:val="FootnoteText"/>
        <w:ind w:left="567" w:hanging="567"/>
        <w:rPr>
          <w:sz w:val="24"/>
          <w:lang w:val="cs-CZ"/>
        </w:rPr>
      </w:pPr>
      <w:r w:rsidRPr="00934030">
        <w:rPr>
          <w:rStyle w:val="FootnoteReference"/>
          <w:sz w:val="24"/>
          <w:lang w:val="cs-CZ"/>
        </w:rPr>
        <w:footnoteRef/>
      </w:r>
      <w:r w:rsidR="00934030" w:rsidRPr="00934030">
        <w:rPr>
          <w:sz w:val="24"/>
          <w:lang w:val="cs-CZ"/>
        </w:rPr>
        <w:t xml:space="preserve"> </w:t>
      </w:r>
      <w:r w:rsidR="00934030" w:rsidRPr="00934030">
        <w:rPr>
          <w:sz w:val="24"/>
          <w:lang w:val="cs-CZ"/>
        </w:rPr>
        <w:tab/>
      </w:r>
      <w:r w:rsidRPr="00934030">
        <w:rPr>
          <w:sz w:val="24"/>
          <w:lang w:val="cs-CZ"/>
        </w:rPr>
        <w:t>Nařízení (EU) č. 575/2013 ze dne 26. června 2013 o obezřetnostních požadavcích na úvěrové instituce a investiční podniky a o změně nařízení (EU) č. 648/2012</w:t>
      </w:r>
      <w:r w:rsidR="005651C8">
        <w:rPr>
          <w:sz w:val="24"/>
          <w:lang w:val="cs-CZ"/>
        </w:rPr>
        <w:t xml:space="preserve"> (</w:t>
      </w:r>
      <w:proofErr w:type="spellStart"/>
      <w:r w:rsidR="005651C8" w:rsidRPr="004D1A37">
        <w:rPr>
          <w:lang w:val="cs-CZ"/>
        </w:rPr>
        <w:t>Úř</w:t>
      </w:r>
      <w:proofErr w:type="spellEnd"/>
      <w:r w:rsidR="005651C8" w:rsidRPr="004D1A37">
        <w:rPr>
          <w:lang w:val="cs-CZ"/>
        </w:rPr>
        <w:t xml:space="preserve">. </w:t>
      </w:r>
      <w:proofErr w:type="spellStart"/>
      <w:proofErr w:type="gramStart"/>
      <w:r w:rsidR="005651C8" w:rsidRPr="004D1A37">
        <w:rPr>
          <w:lang w:val="cs-CZ"/>
        </w:rPr>
        <w:t>věst</w:t>
      </w:r>
      <w:proofErr w:type="spellEnd"/>
      <w:proofErr w:type="gramEnd"/>
      <w:r w:rsidR="005651C8" w:rsidRPr="004D1A37">
        <w:rPr>
          <w:lang w:val="cs-CZ"/>
        </w:rPr>
        <w:t xml:space="preserve">. L 176, </w:t>
      </w:r>
      <w:proofErr w:type="gramStart"/>
      <w:r w:rsidR="005651C8" w:rsidRPr="004D1A37">
        <w:rPr>
          <w:lang w:val="cs-CZ"/>
        </w:rPr>
        <w:t>27.6.2013</w:t>
      </w:r>
      <w:proofErr w:type="gramEnd"/>
      <w:r w:rsidR="005651C8" w:rsidRPr="004D1A37">
        <w:rPr>
          <w:lang w:val="cs-CZ"/>
        </w:rPr>
        <w:t>, s. 1</w:t>
      </w:r>
      <w:r w:rsidR="005651C8">
        <w:rPr>
          <w:rStyle w:val="Hyperlink"/>
          <w:sz w:val="24"/>
          <w:lang w:val="cs-CZ"/>
        </w:rPr>
        <w:t>)</w:t>
      </w:r>
      <w:r w:rsidRPr="00934030">
        <w:rPr>
          <w:sz w:val="24"/>
          <w:lang w:val="cs-CZ"/>
        </w:rPr>
        <w:t>.</w:t>
      </w:r>
    </w:p>
  </w:footnote>
  <w:footnote w:id="12">
    <w:p w:rsidR="00537D98" w:rsidRPr="00934030" w:rsidRDefault="00537D98" w:rsidP="00934030">
      <w:pPr>
        <w:pStyle w:val="FootnoteText"/>
        <w:ind w:left="567" w:hanging="567"/>
        <w:rPr>
          <w:sz w:val="24"/>
          <w:lang w:val="cs-CZ"/>
        </w:rPr>
      </w:pPr>
      <w:r w:rsidRPr="00934030">
        <w:rPr>
          <w:rStyle w:val="FootnoteReference"/>
          <w:sz w:val="24"/>
          <w:lang w:val="cs-CZ"/>
        </w:rPr>
        <w:footnoteRef/>
      </w:r>
      <w:r w:rsidR="00934030" w:rsidRPr="00934030">
        <w:rPr>
          <w:sz w:val="24"/>
          <w:lang w:val="cs-CZ"/>
        </w:rPr>
        <w:t xml:space="preserve"> </w:t>
      </w:r>
      <w:r w:rsidR="00934030" w:rsidRPr="00934030">
        <w:rPr>
          <w:sz w:val="24"/>
          <w:lang w:val="cs-CZ"/>
        </w:rPr>
        <w:tab/>
      </w:r>
      <w:r w:rsidRPr="00934030">
        <w:rPr>
          <w:sz w:val="24"/>
          <w:lang w:val="cs-CZ"/>
        </w:rPr>
        <w:t>Směrnice Evropského parlamentu a Rady 2013/36/EU ze dne 26. června 2013 o přístupu k činnosti úvěrových institucí a o obezřetnostním dohledu nad úvěrovými institucemi a investičními podniky, o změně směrnice 2002/87/ES a zrušení směrnic 2006/48/ES a 2006/49/ES (</w:t>
      </w:r>
      <w:proofErr w:type="spellStart"/>
      <w:r w:rsidR="005651C8" w:rsidRPr="004D1A37">
        <w:rPr>
          <w:lang w:val="cs-CZ"/>
        </w:rPr>
        <w:t>Úř</w:t>
      </w:r>
      <w:proofErr w:type="spellEnd"/>
      <w:r w:rsidR="005651C8" w:rsidRPr="004D1A37">
        <w:rPr>
          <w:lang w:val="cs-CZ"/>
        </w:rPr>
        <w:t xml:space="preserve">. </w:t>
      </w:r>
      <w:proofErr w:type="spellStart"/>
      <w:proofErr w:type="gramStart"/>
      <w:r w:rsidR="005651C8" w:rsidRPr="004D1A37">
        <w:rPr>
          <w:lang w:val="cs-CZ"/>
        </w:rPr>
        <w:t>věst</w:t>
      </w:r>
      <w:proofErr w:type="spellEnd"/>
      <w:proofErr w:type="gramEnd"/>
      <w:r w:rsidR="005651C8" w:rsidRPr="004D1A37">
        <w:rPr>
          <w:lang w:val="cs-CZ"/>
        </w:rPr>
        <w:t xml:space="preserve">. L 176, </w:t>
      </w:r>
      <w:proofErr w:type="gramStart"/>
      <w:r w:rsidR="005651C8" w:rsidRPr="004D1A37">
        <w:rPr>
          <w:lang w:val="cs-CZ"/>
        </w:rPr>
        <w:t>27.6.2013</w:t>
      </w:r>
      <w:proofErr w:type="gramEnd"/>
      <w:r w:rsidR="005651C8" w:rsidRPr="004D1A37">
        <w:rPr>
          <w:lang w:val="cs-CZ"/>
        </w:rPr>
        <w:t>, s. 338</w:t>
      </w:r>
      <w:r w:rsidRPr="00934030">
        <w:rPr>
          <w:sz w:val="24"/>
          <w:lang w:val="cs-CZ"/>
        </w:rPr>
        <w:t>).</w:t>
      </w:r>
    </w:p>
  </w:footnote>
  <w:footnote w:id="13">
    <w:p w:rsidR="00537D98" w:rsidRPr="00934030" w:rsidRDefault="00537D98" w:rsidP="00934030">
      <w:pPr>
        <w:keepLines/>
        <w:widowControl/>
        <w:ind w:left="567" w:hanging="567"/>
      </w:pPr>
      <w:r w:rsidRPr="00934030">
        <w:rPr>
          <w:rStyle w:val="FootnoteReference"/>
        </w:rPr>
        <w:footnoteRef/>
      </w:r>
      <w:r w:rsidR="00934030" w:rsidRPr="00934030">
        <w:t xml:space="preserve"> </w:t>
      </w:r>
      <w:r w:rsidR="00934030" w:rsidRPr="00934030">
        <w:tab/>
      </w:r>
      <w:proofErr w:type="spellStart"/>
      <w:r w:rsidR="005651C8" w:rsidRPr="004D1A37">
        <w:t>Úř</w:t>
      </w:r>
      <w:proofErr w:type="spellEnd"/>
      <w:r w:rsidR="005651C8" w:rsidRPr="004D1A37">
        <w:t>. </w:t>
      </w:r>
      <w:proofErr w:type="spellStart"/>
      <w:proofErr w:type="gramStart"/>
      <w:r w:rsidR="005651C8" w:rsidRPr="004D1A37">
        <w:t>věst</w:t>
      </w:r>
      <w:proofErr w:type="spellEnd"/>
      <w:proofErr w:type="gramEnd"/>
      <w:r w:rsidR="005651C8" w:rsidRPr="004D1A37">
        <w:t xml:space="preserve">. L 173, </w:t>
      </w:r>
      <w:proofErr w:type="gramStart"/>
      <w:r w:rsidR="005651C8" w:rsidRPr="004D1A37">
        <w:t>12.6.2014</w:t>
      </w:r>
      <w:proofErr w:type="gramEnd"/>
      <w:r w:rsidR="005651C8" w:rsidRPr="004D1A37">
        <w:t>, s. 149</w:t>
      </w:r>
      <w:r w:rsidRPr="00934030">
        <w:rPr>
          <w:color w:val="00000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403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403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403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1/2023"/>
    <w:docVar w:name="dvlangue" w:val="CS"/>
    <w:docVar w:name="dvnumam" w:val="0"/>
    <w:docVar w:name="dvpe" w:val="752.739"/>
    <w:docVar w:name="dvrapporteur" w:val="Zpravodaj: "/>
    <w:docVar w:name="dvtitre" w:val="Usnesení Evropského parlamentu ze dne.... 2024 o bankovní unii – výroční zpráva za rok 2023(2023/2078(INI))"/>
  </w:docVars>
  <w:rsids>
    <w:rsidRoot w:val="005B13D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0D1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1A37"/>
    <w:rsid w:val="0050519A"/>
    <w:rsid w:val="005072A1"/>
    <w:rsid w:val="00514517"/>
    <w:rsid w:val="00537D98"/>
    <w:rsid w:val="00545827"/>
    <w:rsid w:val="00560270"/>
    <w:rsid w:val="005651C8"/>
    <w:rsid w:val="005B13D1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4030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21A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6D1CE4-8675-4FCA-95FD-7545C493D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37D98"/>
    <w:pPr>
      <w:spacing w:after="240"/>
      <w:ind w:left="567" w:hanging="567"/>
    </w:pPr>
  </w:style>
  <w:style w:type="paragraph" w:customStyle="1" w:styleId="EPComma">
    <w:name w:val="EPComma"/>
    <w:basedOn w:val="Normal"/>
    <w:rsid w:val="00537D98"/>
    <w:pPr>
      <w:spacing w:before="480" w:after="240"/>
    </w:pPr>
  </w:style>
  <w:style w:type="character" w:customStyle="1" w:styleId="BoldItalic">
    <w:name w:val="BoldItalic"/>
    <w:basedOn w:val="DefaultParagraphFont"/>
    <w:uiPriority w:val="1"/>
    <w:qFormat/>
    <w:rsid w:val="00537D98"/>
    <w:rPr>
      <w:rFonts w:ascii="Times New Roman" w:hAnsi="Times New Roman" w:cs="Times New Roman" w:hint="default"/>
      <w:b/>
      <w:bCs w:val="0"/>
      <w:i/>
      <w:iCs w:val="0"/>
      <w:sz w:val="24"/>
    </w:rPr>
  </w:style>
  <w:style w:type="paragraph" w:customStyle="1" w:styleId="title-bold">
    <w:name w:val="title-bold"/>
    <w:basedOn w:val="Normal"/>
    <w:rsid w:val="00537D98"/>
    <w:pPr>
      <w:widowControl/>
      <w:spacing w:before="100" w:beforeAutospacing="1" w:after="100" w:afterAutospacing="1"/>
    </w:pPr>
    <w:rPr>
      <w:szCs w:val="24"/>
      <w:lang w:val="en-GB"/>
    </w:rPr>
  </w:style>
  <w:style w:type="character" w:styleId="Hyperlink">
    <w:name w:val="Hyperlink"/>
    <w:basedOn w:val="DefaultParagraphFont"/>
    <w:rsid w:val="00537D9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5651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651C8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bankingsupervision.europa.eu/ecb/pub/pdf/ssm.supervisorybankingstatistics_second_quarter_2023_202310~f41e7f2373.en.pdf" TargetMode="External"/><Relationship Id="rId7" Type="http://schemas.openxmlformats.org/officeDocument/2006/relationships/hyperlink" Target="https://www.bankingsupervision.europa.eu/ecb/pub/pdf/ssm.supervisorybankingstatistics_second_quarter_2023_202310~f41e7f2373.en.pdf" TargetMode="External"/><Relationship Id="rId2" Type="http://schemas.openxmlformats.org/officeDocument/2006/relationships/hyperlink" Target="https://www.bankingsupervision.europa.eu/ecb/pub/pdf/ssm.supervisorybankingstatistics_second_quarter_2023_202310~f41e7f2373.en.pdf" TargetMode="External"/><Relationship Id="rId1" Type="http://schemas.openxmlformats.org/officeDocument/2006/relationships/hyperlink" Target="https://www.ecb.europa.eu/pub/pdf/scpops/ecb.op327~0d50b9136f.en.pdf" TargetMode="External"/><Relationship Id="rId6" Type="http://schemas.openxmlformats.org/officeDocument/2006/relationships/hyperlink" Target="https://www.bankingsupervision.europa.eu/ecb/pub/pdf/ssm.supervisorybankingstatistics_second_quarter_2023_202310~f41e7f2373.en.pdf" TargetMode="External"/><Relationship Id="rId5" Type="http://schemas.openxmlformats.org/officeDocument/2006/relationships/hyperlink" Target="https://www.eba.europa.eu/sites/default/documents/files/document_library/Risk%20Analysis%20and%20Data/Risk%20Assessment%20Reports/2022/RAR/1045298/Risk%20Assessment%20Report%20December%202022.pdf" TargetMode="External"/><Relationship Id="rId4" Type="http://schemas.openxmlformats.org/officeDocument/2006/relationships/hyperlink" Target="https://www.ecb.europa.eu/stats/ecb_surveys/bank_lending_survey/html/index.e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D0A0E-D96F-4513-AA5F-B205B6728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13</Pages>
  <Words>5034</Words>
  <Characters>29586</Characters>
  <Application>Microsoft Office Word</Application>
  <DocSecurity>0</DocSecurity>
  <Lines>246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SMAKALOVA Sona</cp:lastModifiedBy>
  <cp:revision>2</cp:revision>
  <cp:lastPrinted>2004-11-19T15:42:00Z</cp:lastPrinted>
  <dcterms:created xsi:type="dcterms:W3CDTF">2024-02-24T10:00:00Z</dcterms:created>
  <dcterms:modified xsi:type="dcterms:W3CDTF">2024-02-24T10:00:00Z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A9-0431/2023</vt:lpwstr>
  </property>
  <property fmtid="{D5CDD505-2E9C-101B-9397-08002B2CF9AE}" pid="4" name="&lt;Type&gt;">
    <vt:lpwstr>RR</vt:lpwstr>
  </property>
</Properties>
</file>