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55B" w:rsidTr="0010095E">
        <w:trPr>
          <w:trHeight w:hRule="exact" w:val="1418"/>
        </w:trPr>
        <w:tc>
          <w:tcPr>
            <w:tcW w:w="6804" w:type="dxa"/>
            <w:shd w:val="clear" w:color="auto" w:fill="auto"/>
            <w:vAlign w:val="center"/>
          </w:tcPr>
          <w:p w:rsidR="00751A4A" w:rsidRPr="000C255B" w:rsidRDefault="00400A3F" w:rsidP="0010095E">
            <w:pPr>
              <w:pStyle w:val="EPName"/>
            </w:pPr>
            <w:r w:rsidRPr="000C255B">
              <w:t>Ευρωπαϊκό Κοινοβούλιο</w:t>
            </w:r>
          </w:p>
          <w:p w:rsidR="00751A4A" w:rsidRPr="000C255B" w:rsidRDefault="00817416" w:rsidP="00756632">
            <w:pPr>
              <w:pStyle w:val="EPTerm"/>
              <w:rPr>
                <w:rStyle w:val="HideTWBExt"/>
                <w:noProof w:val="0"/>
                <w:vanish w:val="0"/>
                <w:color w:val="auto"/>
              </w:rPr>
            </w:pPr>
            <w:r w:rsidRPr="000C255B">
              <w:t>2019-2024</w:t>
            </w:r>
          </w:p>
        </w:tc>
        <w:tc>
          <w:tcPr>
            <w:tcW w:w="2268" w:type="dxa"/>
            <w:shd w:val="clear" w:color="auto" w:fill="auto"/>
          </w:tcPr>
          <w:p w:rsidR="00751A4A" w:rsidRPr="000C255B" w:rsidRDefault="00187494" w:rsidP="0010095E">
            <w:pPr>
              <w:pStyle w:val="EPLogo"/>
            </w:pPr>
            <w:r w:rsidRPr="000C25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255B" w:rsidRDefault="00D058B8" w:rsidP="004C5D52">
      <w:pPr>
        <w:pStyle w:val="LineTop"/>
      </w:pPr>
    </w:p>
    <w:p w:rsidR="00680577" w:rsidRPr="000C255B" w:rsidRDefault="00400A3F" w:rsidP="00680577">
      <w:pPr>
        <w:pStyle w:val="EPBodyTA1"/>
      </w:pPr>
      <w:r w:rsidRPr="000C255B">
        <w:t>ΚΕΙΜΕΝΑ ΠΟΥ ΕΓΚΡΙΘΗΚΑΝ</w:t>
      </w:r>
    </w:p>
    <w:p w:rsidR="00D058B8" w:rsidRPr="000C255B" w:rsidRDefault="00D058B8" w:rsidP="00D058B8">
      <w:pPr>
        <w:pStyle w:val="LineBottom"/>
      </w:pPr>
    </w:p>
    <w:p w:rsidR="00400A3F" w:rsidRPr="000C255B" w:rsidRDefault="00400A3F" w:rsidP="00400A3F">
      <w:pPr>
        <w:pStyle w:val="ATHeading1"/>
      </w:pPr>
      <w:bookmarkStart w:id="0" w:name="TANumber"/>
      <w:r w:rsidRPr="000C255B">
        <w:t>P9_TA(2024)00</w:t>
      </w:r>
      <w:r w:rsidR="00437801">
        <w:t>12</w:t>
      </w:r>
      <w:bookmarkEnd w:id="0"/>
    </w:p>
    <w:p w:rsidR="00400A3F" w:rsidRPr="000C255B" w:rsidRDefault="00400A3F" w:rsidP="00400A3F">
      <w:pPr>
        <w:pStyle w:val="ATHeading2"/>
      </w:pPr>
      <w:bookmarkStart w:id="1" w:name="title"/>
      <w:r w:rsidRPr="000C255B">
        <w:t>Τραπεζική Ένωση - ετήσια έκθεση 2023</w:t>
      </w:r>
      <w:bookmarkEnd w:id="1"/>
    </w:p>
    <w:p w:rsidR="00400A3F" w:rsidRPr="000C255B" w:rsidRDefault="00400A3F" w:rsidP="00400A3F">
      <w:pPr>
        <w:rPr>
          <w:i/>
          <w:vanish/>
        </w:rPr>
      </w:pPr>
      <w:r w:rsidRPr="000C255B">
        <w:rPr>
          <w:i/>
        </w:rPr>
        <w:fldChar w:fldCharType="begin"/>
      </w:r>
      <w:r w:rsidRPr="000C255B">
        <w:rPr>
          <w:i/>
        </w:rPr>
        <w:instrText xml:space="preserve"> TC"(</w:instrText>
      </w:r>
      <w:bookmarkStart w:id="2" w:name="DocNumber"/>
      <w:r w:rsidRPr="000C255B">
        <w:rPr>
          <w:i/>
        </w:rPr>
        <w:instrText>A9-0431/2023</w:instrText>
      </w:r>
      <w:bookmarkEnd w:id="2"/>
      <w:r w:rsidRPr="000C255B">
        <w:rPr>
          <w:i/>
        </w:rPr>
        <w:instrText xml:space="preserve"> - Εισηγητής: Ivars Ijabs)"\l3 \n&gt; \* MERGEFORMAT </w:instrText>
      </w:r>
      <w:r w:rsidRPr="000C255B">
        <w:rPr>
          <w:i/>
        </w:rPr>
        <w:fldChar w:fldCharType="end"/>
      </w:r>
    </w:p>
    <w:p w:rsidR="00400A3F" w:rsidRPr="000C255B" w:rsidRDefault="00400A3F" w:rsidP="00400A3F">
      <w:pPr>
        <w:rPr>
          <w:vanish/>
        </w:rPr>
      </w:pPr>
      <w:bookmarkStart w:id="3" w:name="Commission"/>
      <w:r w:rsidRPr="000C255B">
        <w:rPr>
          <w:vanish/>
        </w:rPr>
        <w:t>Επιτροπή Οικονομικής και Νομισματικής Πολιτικής</w:t>
      </w:r>
      <w:bookmarkEnd w:id="3"/>
    </w:p>
    <w:p w:rsidR="00400A3F" w:rsidRPr="000C255B" w:rsidRDefault="00400A3F" w:rsidP="00400A3F">
      <w:pPr>
        <w:rPr>
          <w:vanish/>
        </w:rPr>
      </w:pPr>
      <w:bookmarkStart w:id="4" w:name="PE"/>
      <w:r w:rsidRPr="000C255B">
        <w:rPr>
          <w:vanish/>
        </w:rPr>
        <w:t>PE752.739</w:t>
      </w:r>
      <w:bookmarkEnd w:id="4"/>
    </w:p>
    <w:p w:rsidR="00400A3F" w:rsidRPr="000C255B" w:rsidRDefault="00400A3F" w:rsidP="00400A3F">
      <w:pPr>
        <w:pStyle w:val="ATHeading3"/>
      </w:pPr>
      <w:bookmarkStart w:id="5" w:name="Sujet"/>
      <w:r w:rsidRPr="000C255B">
        <w:t xml:space="preserve">Ψήφισμα του Ευρωπαϊκού Κοινοβουλίου </w:t>
      </w:r>
      <w:r w:rsidR="007811FF">
        <w:t xml:space="preserve">της </w:t>
      </w:r>
      <w:r w:rsidR="00C06F1A">
        <w:t>16ης</w:t>
      </w:r>
      <w:r w:rsidR="007811FF">
        <w:t xml:space="preserve"> Ιανουαρίου 2024 </w:t>
      </w:r>
      <w:r w:rsidRPr="000C255B">
        <w:t>σχετικά με την Τραπεζική Ένωση – ετήσια έκθεση για το 2023</w:t>
      </w:r>
      <w:bookmarkEnd w:id="5"/>
      <w:r w:rsidRPr="000C255B">
        <w:t xml:space="preserve"> </w:t>
      </w:r>
      <w:bookmarkStart w:id="6" w:name="References"/>
      <w:r w:rsidRPr="000C255B">
        <w:t>(2023/2078(INI))</w:t>
      </w:r>
      <w:bookmarkEnd w:id="6"/>
    </w:p>
    <w:p w:rsidR="00110D9C" w:rsidRPr="000C255B" w:rsidRDefault="00110D9C" w:rsidP="00110D9C">
      <w:pPr>
        <w:pStyle w:val="EPComma"/>
      </w:pPr>
      <w:bookmarkStart w:id="7" w:name="TextBodyBegin"/>
      <w:bookmarkEnd w:id="7"/>
      <w:r w:rsidRPr="000C255B">
        <w:rPr>
          <w:i/>
          <w:iCs/>
        </w:rPr>
        <w:t>Το Ευρωπαϊκό Κοινοβούλιο</w:t>
      </w:r>
      <w:r w:rsidRPr="000C255B">
        <w:t>,</w:t>
      </w:r>
    </w:p>
    <w:p w:rsidR="00110D9C" w:rsidRPr="000C255B" w:rsidRDefault="00110D9C" w:rsidP="00110D9C">
      <w:pPr>
        <w:pStyle w:val="NormalHanging12a"/>
      </w:pPr>
      <w:r w:rsidRPr="000C255B">
        <w:t>–</w:t>
      </w:r>
      <w:r w:rsidRPr="000C255B">
        <w:tab/>
        <w:t>έχοντας υπόψη το ψ</w:t>
      </w:r>
      <w:r w:rsidR="00D47527">
        <w:t>ήφισμά του της 11ης Ιουλίου 2023</w:t>
      </w:r>
      <w:r w:rsidRPr="000C255B">
        <w:t xml:space="preserve"> με τίτλο «Τραπεζική Ένωση – ετήσια έκθεση για το 2022»</w:t>
      </w:r>
      <w:r w:rsidRPr="000C255B">
        <w:rPr>
          <w:rStyle w:val="FootnoteReference"/>
        </w:rPr>
        <w:footnoteReference w:id="1"/>
      </w:r>
      <w:r w:rsidRPr="000C255B">
        <w:t>,</w:t>
      </w:r>
    </w:p>
    <w:p w:rsidR="00110D9C" w:rsidRPr="000C255B" w:rsidRDefault="00110D9C" w:rsidP="00110D9C">
      <w:pPr>
        <w:pStyle w:val="NormalHanging12a"/>
      </w:pPr>
      <w:r w:rsidRPr="000C255B">
        <w:t>–</w:t>
      </w:r>
      <w:r w:rsidRPr="000C255B">
        <w:tab/>
        <w:t>έχοντας υπόψη τη συνέχεια που δόθηκε από την Επιτροπή στο ψήφισμα του Κοινοβουλίου της 11ης Ιουλίου 2023 με τίτλο «Τραπεζική Ένωση – ετήσια έκθεση για το 2022»,</w:t>
      </w:r>
    </w:p>
    <w:p w:rsidR="00110D9C" w:rsidRPr="000C255B" w:rsidRDefault="00110D9C" w:rsidP="00110D9C">
      <w:pPr>
        <w:pStyle w:val="NormalHanging12a"/>
      </w:pPr>
      <w:r w:rsidRPr="000C255B">
        <w:t>–</w:t>
      </w:r>
      <w:r w:rsidRPr="000C255B">
        <w:tab/>
        <w:t>έχοντας υπόψη το έγγραφο της Ευρωπαϊκής Κεντρικής Τράπεζας με τίτλο «Feedback on the input by the European Parliament as part of the Resolution on Banking Union – Annual Report 2021» (Ανατροφοδότηση σχετικά με τη συμβολή του Ευρωπαϊκού Κοινοβουλίου στο πλαίσιο του ψηφίσματός του για την Τραπεζική Ένωση για το 2022), το οποίο δημοσιεύτηκε στις 20 Οκτωβρίου 2023,</w:t>
      </w:r>
    </w:p>
    <w:p w:rsidR="00110D9C" w:rsidRPr="000C255B" w:rsidRDefault="00110D9C" w:rsidP="00110D9C">
      <w:pPr>
        <w:pStyle w:val="NormalHanging12a"/>
      </w:pPr>
      <w:r w:rsidRPr="000C255B">
        <w:t>–</w:t>
      </w:r>
      <w:r w:rsidRPr="000C255B">
        <w:tab/>
        <w:t>έχοντας υπόψη την ετήσια έκθεση της Ευρωπαϊκής Κεντρικής Τράπεζας (ΕΚΤ) για την εποπτική δραστηριότητα το 2022, της 21ης Μαρτίου 2023,</w:t>
      </w:r>
    </w:p>
    <w:p w:rsidR="00110D9C" w:rsidRPr="000C255B" w:rsidRDefault="00110D9C" w:rsidP="00110D9C">
      <w:pPr>
        <w:pStyle w:val="NormalHanging12a"/>
      </w:pPr>
      <w:r w:rsidRPr="000C255B">
        <w:t>–</w:t>
      </w:r>
      <w:r w:rsidRPr="000C255B">
        <w:tab/>
        <w:t>έχοντας υπόψη την ετήσια έκθεση του Ενιαίου Συμβουλίου Εξυγίανσης (ΕΣΕ) για το 2022, της 30ής Ιουνίου 2023,</w:t>
      </w:r>
    </w:p>
    <w:p w:rsidR="00110D9C" w:rsidRPr="000C255B" w:rsidRDefault="00110D9C" w:rsidP="00110D9C">
      <w:pPr>
        <w:pStyle w:val="NormalHanging12a"/>
      </w:pPr>
      <w:r w:rsidRPr="000C255B">
        <w:t>–</w:t>
      </w:r>
      <w:r w:rsidRPr="000C255B">
        <w:tab/>
        <w:t>έχοντας υπόψη την πρόταση της Επιτροπής, της 24ης Νοεμβρίου 2015, σχετικά με κανονισμό του Ευρωπαϊκού Κοινοβουλίου και του Συμβουλίου για την τροποποίηση του κανονισμού (ΕΕ) αριθ. 806/2014 με σκοπό τη θέσπιση Ευρωπαϊκού Συστήματος Ασφάλισης Καταθέσεων (COM(2015)0586),</w:t>
      </w:r>
    </w:p>
    <w:p w:rsidR="00110D9C" w:rsidRPr="000C255B" w:rsidRDefault="00110D9C" w:rsidP="00110D9C">
      <w:pPr>
        <w:pStyle w:val="NormalHanging12a"/>
      </w:pPr>
      <w:r w:rsidRPr="000C255B">
        <w:t>–</w:t>
      </w:r>
      <w:r w:rsidRPr="000C255B">
        <w:tab/>
        <w:t>έχοντας υπόψη την πρόταση της Επιτροπής, της 14ης Μαρτίου 2018, σχετικά με οδηγία του Ευρωπαϊκού Κοινοβουλίου και του Συμβουλίου για τους διαχειριστές πιστώσεων, τους αγοραστές πιστώσεων και την ανάκτηση εξασφ</w:t>
      </w:r>
      <w:r w:rsidR="00D47527">
        <w:t>αλίσεων (COM(2018</w:t>
      </w:r>
      <w:r w:rsidRPr="000C255B">
        <w:t>)</w:t>
      </w:r>
      <w:r w:rsidR="002F22DA">
        <w:t>0</w:t>
      </w:r>
      <w:r w:rsidRPr="000C255B">
        <w:t>135),</w:t>
      </w:r>
    </w:p>
    <w:p w:rsidR="00110D9C" w:rsidRPr="000C255B" w:rsidRDefault="00110D9C" w:rsidP="00110D9C">
      <w:pPr>
        <w:pStyle w:val="NormalHanging12a"/>
      </w:pPr>
      <w:r w:rsidRPr="000C255B">
        <w:t>–</w:t>
      </w:r>
      <w:r w:rsidRPr="000C255B">
        <w:tab/>
        <w:t>έχοντας υπόψη το δελτίο Τύπου του Συμβουλίου, της 7ης Δεκεμβρίου 2022, με τίτλο «Ξέπλυμα χρήματος: Καθορισμός της θέσης του Συμβουλίου σχετικά με ενισχυμένο εγχειρίδιο κανόνων»,</w:t>
      </w:r>
    </w:p>
    <w:p w:rsidR="00110D9C" w:rsidRPr="000C255B" w:rsidRDefault="00110D9C" w:rsidP="00110D9C">
      <w:pPr>
        <w:pStyle w:val="NormalHanging12a"/>
      </w:pPr>
      <w:r w:rsidRPr="000C255B">
        <w:lastRenderedPageBreak/>
        <w:t>–</w:t>
      </w:r>
      <w:r w:rsidRPr="000C255B">
        <w:tab/>
        <w:t>έχοντας υπόψη το δελτίο Τύπου του Συμβουλίου, της 27ης Ιουνίου 2023, με τίτλο «Τραπεζικός τομέας: Προσωρινή συμφωνία σχετικά με την εφαρμογή των μεταρρυθμίσεων της Βασιλείας ΙΙΙ»,</w:t>
      </w:r>
    </w:p>
    <w:p w:rsidR="00110D9C" w:rsidRPr="000C255B" w:rsidRDefault="00110D9C" w:rsidP="00110D9C">
      <w:pPr>
        <w:pStyle w:val="NormalHanging12a"/>
      </w:pPr>
      <w:r w:rsidRPr="000C255B">
        <w:t>–</w:t>
      </w:r>
      <w:r w:rsidRPr="000C255B">
        <w:tab/>
        <w:t>έχοντας υπόψη την πρόταση της Επιτροπή, της 18ης Απριλίου 2023, σχετικά με κανονισμό του Ευρωπαϊκού Κοινοβουλίου και του Συμβουλίου για την τροποποίηση του κανονισμού (ΕΕ) αριθ. 806/2014 όσον αφορά τα μέτρα έγκαιρης παρέμβασης, τις προϋποθέσεις εξυγίανσης και τη χρηματοδότηση για δράση εξυγίανσης (COM(2023)</w:t>
      </w:r>
      <w:r w:rsidR="002F22DA">
        <w:t>0</w:t>
      </w:r>
      <w:r w:rsidRPr="000C255B">
        <w:t>226),</w:t>
      </w:r>
    </w:p>
    <w:p w:rsidR="00110D9C" w:rsidRPr="000C255B" w:rsidRDefault="00110D9C" w:rsidP="00110D9C">
      <w:pPr>
        <w:pStyle w:val="NormalHanging12a"/>
      </w:pPr>
      <w:r w:rsidRPr="000C255B">
        <w:t>–</w:t>
      </w:r>
      <w:r w:rsidRPr="000C255B">
        <w:tab/>
        <w:t>έχοντας υπόψη την πρόταση της Επιτροπής, της 18ης Απριλίου 2023, σχετικά με οδηγία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w:t>
      </w:r>
      <w:r w:rsidR="00D47527">
        <w:t>η για δράση εξυγίανσης (COM(2023</w:t>
      </w:r>
      <w:r w:rsidRPr="000C255B">
        <w:t>)</w:t>
      </w:r>
      <w:r w:rsidR="00D47527">
        <w:t>0</w:t>
      </w:r>
      <w:r w:rsidRPr="000C255B">
        <w:t>227),</w:t>
      </w:r>
    </w:p>
    <w:p w:rsidR="00110D9C" w:rsidRPr="000C255B" w:rsidRDefault="00110D9C" w:rsidP="00110D9C">
      <w:pPr>
        <w:pStyle w:val="NormalHanging12a"/>
      </w:pPr>
      <w:r w:rsidRPr="000C255B">
        <w:t>–</w:t>
      </w:r>
      <w:r w:rsidRPr="000C255B">
        <w:tab/>
        <w:t>έχοντας υπόψη την πρόταση της Επιτροπής, της 18ης Απριλίου 2023, για οδηγία του Ευρωπαϊκού Κοινοβουλίου και του Συμβουλίου για την τροποποίηση της οδηγίας 2014/49/ΕΕ όσον αφορά το πεδίο εφαρμογής της προστασίας των καταθέσεων, τη χρήση των κεφαλαίων των συστημάτων εγγύησης των καταθέσεων, τη διασυνοριακή συνεργασία και τη διαφάνεια (COM(2023)0228),</w:t>
      </w:r>
    </w:p>
    <w:p w:rsidR="00110D9C" w:rsidRPr="000C255B" w:rsidRDefault="00110D9C" w:rsidP="00110D9C">
      <w:pPr>
        <w:pStyle w:val="NormalHanging12a"/>
      </w:pPr>
      <w:r w:rsidRPr="000C255B">
        <w:t>–</w:t>
      </w:r>
      <w:r w:rsidRPr="000C255B">
        <w:tab/>
        <w:t>έχοντας υπόψη την έκθεση των πέντε Προέδρων της 22ας Ιουνίου 2015 με τίτλο «Ολοκλήρωση της Οικονομικής και Νομισματικής Ένωσης της Ευρώπης»,</w:t>
      </w:r>
    </w:p>
    <w:p w:rsidR="00110D9C" w:rsidRPr="000C255B" w:rsidRDefault="00110D9C" w:rsidP="00110D9C">
      <w:pPr>
        <w:pStyle w:val="NormalHanging12a"/>
      </w:pPr>
      <w:r w:rsidRPr="000C255B">
        <w:t>–</w:t>
      </w:r>
      <w:r w:rsidRPr="000C255B">
        <w:tab/>
        <w:t>έχοντας υπόψη τη δήλωση της Ευρωομάδας της 16ης Ιουνίου 2022 σχετικά με το μέλλον της Τραπεζικής Ένωσης,</w:t>
      </w:r>
    </w:p>
    <w:p w:rsidR="00110D9C" w:rsidRPr="000C255B" w:rsidRDefault="00110D9C" w:rsidP="00110D9C">
      <w:pPr>
        <w:pStyle w:val="NormalHanging12a"/>
      </w:pPr>
      <w:r w:rsidRPr="000C255B">
        <w:t>–</w:t>
      </w:r>
      <w:r w:rsidRPr="000C255B">
        <w:tab/>
        <w:t>έχοντας υπόψη τα πρότυπα της Επιτροπής της Βασιλείας για την τραπεζική εποπτεία σχετικά με την προληπτική αντιμετώπιση των ανοιγμάτων σε κρυπτοστοιχεία, τα οποία δημοσιεύτηκαν στις 16 Δεκεμβρίου 2022,</w:t>
      </w:r>
    </w:p>
    <w:p w:rsidR="00110D9C" w:rsidRPr="000C255B" w:rsidRDefault="00110D9C" w:rsidP="00110D9C">
      <w:pPr>
        <w:pStyle w:val="NormalHanging12a"/>
      </w:pPr>
      <w:r w:rsidRPr="000C255B">
        <w:t>–</w:t>
      </w:r>
      <w:r w:rsidRPr="000C255B">
        <w:tab/>
        <w:t xml:space="preserve">έχοντας υπόψη την ανακοίνωση της Επιτροπής, της 16ης Δεκεμβρίου 2020, με θέμα την αντιμετώπιση των μη εξυπηρετούμενων δανείων μετά την πανδημία </w:t>
      </w:r>
      <w:r w:rsidR="007811FF">
        <w:t xml:space="preserve">της </w:t>
      </w:r>
      <w:r w:rsidRPr="000C255B">
        <w:t>COVID-19 (COM(2020)0822),</w:t>
      </w:r>
    </w:p>
    <w:p w:rsidR="00110D9C" w:rsidRPr="000C255B" w:rsidRDefault="00110D9C" w:rsidP="00110D9C">
      <w:pPr>
        <w:pStyle w:val="NormalHanging12a"/>
      </w:pPr>
      <w:r w:rsidRPr="000C255B">
        <w:t>–</w:t>
      </w:r>
      <w:r w:rsidRPr="000C255B">
        <w:tab/>
        <w:t xml:space="preserve">έχοντας υπόψη τη σύσταση της ΕΚΤ, της 15ης Δεκεμβρίου 2020, σχετικά με τις διανομές μερισμάτων κατά τη διάρκεια της πανδημίας </w:t>
      </w:r>
      <w:r w:rsidR="007811FF">
        <w:t xml:space="preserve">της </w:t>
      </w:r>
      <w:r w:rsidRPr="000C255B">
        <w:t>COVID-19,</w:t>
      </w:r>
    </w:p>
    <w:p w:rsidR="00110D9C" w:rsidRPr="000C255B" w:rsidRDefault="00110D9C" w:rsidP="00110D9C">
      <w:pPr>
        <w:pStyle w:val="NormalHanging12a"/>
      </w:pPr>
      <w:r w:rsidRPr="000C255B">
        <w:t>–</w:t>
      </w:r>
      <w:r w:rsidRPr="000C255B">
        <w:tab/>
        <w:t>έχοντας υπόψη τη σειρά Occasional Papers της ΕΚΤ «The Road to Paris: stress testing the transition towards a net-zero economy» (Η πορεία προς το Παρίσι: άσκηση προσομοίωσης ακραίων καταστάσεων σχετικά με τη μετάβαση προς μια οικονομία μηδενικών καθαρών εκπομπών),</w:t>
      </w:r>
    </w:p>
    <w:p w:rsidR="00110D9C" w:rsidRPr="000C255B" w:rsidRDefault="00110D9C" w:rsidP="00110D9C">
      <w:pPr>
        <w:pStyle w:val="NormalHanging12a"/>
      </w:pPr>
      <w:r w:rsidRPr="000C255B">
        <w:t>–</w:t>
      </w:r>
      <w:r w:rsidRPr="000C255B">
        <w:tab/>
        <w:t>έχοντας υπόψη το αποτέλεσμα της άσκησης διαφάνειας της Ευρωπαϊκής Αρχής Τραπεζών (ΕΑΤ) σε επίπεδο ΕΕ για το 2023, που δημοσιεύτηκε στις 28 Ιουλίου 2023,</w:t>
      </w:r>
    </w:p>
    <w:p w:rsidR="00110D9C" w:rsidRPr="000C255B" w:rsidRDefault="00110D9C" w:rsidP="00110D9C">
      <w:pPr>
        <w:pStyle w:val="NormalHanging12a"/>
      </w:pPr>
      <w:r w:rsidRPr="000C255B">
        <w:t>–</w:t>
      </w:r>
      <w:r w:rsidRPr="000C255B">
        <w:tab/>
        <w:t>έχοντας υπόψη την έκθεση της ΕΑΤ σχετικά με τον ρόλο των περιβαλλοντικών και των κοινωνικών κινδύνων στο πλαίσιο της προληπτικής εποπτείας,</w:t>
      </w:r>
    </w:p>
    <w:p w:rsidR="00110D9C" w:rsidRPr="000C255B" w:rsidRDefault="00110D9C" w:rsidP="00110D9C">
      <w:pPr>
        <w:pStyle w:val="NormalHanging12a"/>
      </w:pPr>
      <w:r w:rsidRPr="000C255B">
        <w:t>–</w:t>
      </w:r>
      <w:r w:rsidRPr="000C255B">
        <w:tab/>
        <w:t xml:space="preserve">έχοντας υπόψη το έγγραφο της ΕΚΤ, του Μαΐου </w:t>
      </w:r>
      <w:r w:rsidR="00C06F1A">
        <w:t xml:space="preserve">του </w:t>
      </w:r>
      <w:r w:rsidRPr="000C255B">
        <w:t>2023, με τίτλο «Financial Stability Review» (Επισκόπηση της χρηματοπιστωτικής σταθερότητας),</w:t>
      </w:r>
    </w:p>
    <w:p w:rsidR="00110D9C" w:rsidRPr="000C255B" w:rsidRDefault="00110D9C" w:rsidP="00110D9C">
      <w:pPr>
        <w:pStyle w:val="NormalHanging12a"/>
      </w:pPr>
      <w:r w:rsidRPr="000C255B">
        <w:t>–</w:t>
      </w:r>
      <w:r w:rsidRPr="000C255B">
        <w:tab/>
        <w:t xml:space="preserve">έχοντας υπόψη την έκθεση της ΕΚΤ, της 12ης Δεκεμβρίου 2022, σχετικά με τις </w:t>
      </w:r>
      <w:r w:rsidRPr="000C255B">
        <w:lastRenderedPageBreak/>
        <w:t xml:space="preserve">εποπτικές προτεραιότητές της για την περίοδο 2023-2025, </w:t>
      </w:r>
    </w:p>
    <w:p w:rsidR="00110D9C" w:rsidRPr="000C255B" w:rsidRDefault="00110D9C" w:rsidP="00110D9C">
      <w:pPr>
        <w:pStyle w:val="NormalHanging12a"/>
      </w:pPr>
      <w:r w:rsidRPr="000C255B">
        <w:t>–</w:t>
      </w:r>
      <w:r w:rsidRPr="000C255B">
        <w:tab/>
        <w:t>έχοντας υπόψη την έκθεση του Ευρωπαϊκού Ελεγκτικού Συνεδρίου, της 12ης Μαΐου 2023, με τίτλο «Ειδική έκθεση 12/2023: Εποπτεία του πιστωτικού κινδύνου των τραπεζών από την ΕΕ – Η ΕΚΤ ενέτεινε τις προσπάθειές της, χρειάζεται ωστόσο να γίνουν περισσότερα για να αυξηθεί η βεβαιότητα ότι η διαχείριση και η κάλυψη του πιστωτικού κινδύνου είναι αποτελεσματικές»,</w:t>
      </w:r>
    </w:p>
    <w:p w:rsidR="00110D9C" w:rsidRPr="000C255B" w:rsidRDefault="00110D9C" w:rsidP="00110D9C">
      <w:pPr>
        <w:pStyle w:val="NormalHanging12a"/>
      </w:pPr>
      <w:r w:rsidRPr="000C255B">
        <w:t>–</w:t>
      </w:r>
      <w:r w:rsidRPr="000C255B">
        <w:tab/>
        <w:t>έχοντας υπόψη τις δηλώσεις του Andrea Enria, προέδρου του εποπτικού συμβουλίου της ΕΚΤ, κατά τις ακροάσεις στην Επιτροπή Οικονομικής και Νομισματικής Πολιτικής του Κοινοβουλίου, στις 21 Μαρτίου 2023 και στις 28 Ιουνίου 2023,</w:t>
      </w:r>
    </w:p>
    <w:p w:rsidR="00110D9C" w:rsidRPr="000C255B" w:rsidRDefault="00110D9C" w:rsidP="00110D9C">
      <w:pPr>
        <w:pStyle w:val="NormalHanging12a"/>
      </w:pPr>
      <w:r w:rsidRPr="000C255B">
        <w:t>–</w:t>
      </w:r>
      <w:r w:rsidRPr="000C255B">
        <w:tab/>
        <w:t>έχοντας υπόψη τις δηλώσεις της υποψήφιας για την προεδρία του εποπτικού συμβουλίου της ΕΚΤ κατά τη δημόσια ακρόασή της ενώπιον της Επιτροπής Οικονομικής και Νομισματικής Πολιτικής στις 20 Σεπτεμβρίου 2023,</w:t>
      </w:r>
    </w:p>
    <w:p w:rsidR="00110D9C" w:rsidRPr="000C255B" w:rsidRDefault="00110D9C" w:rsidP="00110D9C">
      <w:pPr>
        <w:pStyle w:val="NormalHanging12a"/>
      </w:pPr>
      <w:r w:rsidRPr="000C255B">
        <w:t>–</w:t>
      </w:r>
      <w:r w:rsidRPr="000C255B">
        <w:tab/>
        <w:t>έχοντας υπόψη τις δηλώσεις του Dominique Laboureix, προέδρου του ΕΣΕ, κατά τις ακροάσεις στην Επιτροπή Οικονομικής και Νομισματικής Πολιτικής του Κοινοβουλίου, την 1η Μαρτίου 2023 και στις 18 Ιουλίου 2023,</w:t>
      </w:r>
    </w:p>
    <w:p w:rsidR="00110D9C" w:rsidRPr="000C255B" w:rsidRDefault="00110D9C" w:rsidP="00110D9C">
      <w:pPr>
        <w:pStyle w:val="NormalHanging12a"/>
      </w:pPr>
      <w:r w:rsidRPr="000C255B">
        <w:t>–</w:t>
      </w:r>
      <w:r w:rsidRPr="000C255B">
        <w:tab/>
        <w:t>έχοντας υπόψη το εξαμηνιαίο ενημερωτικό σημείωμα του ΕΣΕ προς την Ευρωομάδα, της 15ης Μαΐου 2023,</w:t>
      </w:r>
    </w:p>
    <w:p w:rsidR="00110D9C" w:rsidRPr="000C255B" w:rsidRDefault="00110D9C" w:rsidP="00110D9C">
      <w:pPr>
        <w:pStyle w:val="NormalHanging12a"/>
      </w:pPr>
      <w:r w:rsidRPr="000C255B">
        <w:t>–</w:t>
      </w:r>
      <w:r w:rsidRPr="000C255B">
        <w:tab/>
        <w:t>έχοντας υπόψη την κοινή δήλωση της τραπεζικής εποπτείας της ΕΚΤ, της ΕΑΤ και του ΕΣΕ, της 20ής Μαρτίου 2023, σχετικά με την ανακοίνωση των ελβετικών αρχών της 19ης Μαρτίου 2023,</w:t>
      </w:r>
    </w:p>
    <w:p w:rsidR="00110D9C" w:rsidRPr="000C255B" w:rsidRDefault="00110D9C" w:rsidP="00110D9C">
      <w:pPr>
        <w:pStyle w:val="NormalHanging12a"/>
      </w:pPr>
      <w:r w:rsidRPr="000C255B">
        <w:t>–</w:t>
      </w:r>
      <w:r w:rsidRPr="000C255B">
        <w:tab/>
        <w:t>έχοντας υπόψη το Μνημόνιο συνεννόησης, της 27ης Ιουνίου 2023, σχετικά με τη θέσπιση πλαισίου για τη ρυθμιστική συνεργασία στον τομέα των χρηματοπιστωτικών υπηρεσιών μεταξύ της Ευρωπαϊκής Ένωσης και του Ηνωμένου Βασιλείου της Μεγάλης Βρετανίας και της Βόρειας Ιρλανδίας</w:t>
      </w:r>
    </w:p>
    <w:p w:rsidR="00110D9C" w:rsidRPr="000C255B" w:rsidRDefault="00110D9C" w:rsidP="00110D9C">
      <w:pPr>
        <w:pStyle w:val="NormalHanging12a"/>
      </w:pPr>
      <w:r w:rsidRPr="000C255B">
        <w:t>–</w:t>
      </w:r>
      <w:r w:rsidRPr="000C255B">
        <w:tab/>
        <w:t>έχοντας υπόψη τη δήλωση, της 7ης Δεκεμβρίου 2022, που υπογράφηκε από την πρόεδρο της Επιτροπής Οικονομικής και Νομισματικής Πολιτικής του Ευρωπαϊκού Κοινοβουλίου και συμφωνήθηκε από τους συντονιστές έξι πολιτικών ομάδων του Κοινοβουλίου (Ευρωπαϊκό Λαϊκό Κόμμα, Προοδευτική Συμμαχία των Σοσιαλιστών και Δημοκρατών, Renew Europe, Πράσινοι/Ευρωπαϊκή Ελεύθερη Συμμαχία , Ευρωπαίοι Συντηρητικοί και Μεταρρυθμιστές και The Left) σχετικά με το ευρωπαϊκό σύστημα ασφάλισης των καταθέσεων,</w:t>
      </w:r>
    </w:p>
    <w:p w:rsidR="00110D9C" w:rsidRPr="000C255B" w:rsidRDefault="008C634C" w:rsidP="00110D9C">
      <w:pPr>
        <w:pStyle w:val="NormalHanging12a"/>
      </w:pPr>
      <w:r>
        <w:t>–</w:t>
      </w:r>
      <w:bookmarkStart w:id="8" w:name="_GoBack"/>
      <w:bookmarkEnd w:id="8"/>
      <w:r w:rsidR="00110D9C" w:rsidRPr="000C255B">
        <w:tab/>
        <w:t>έχοντας υπόψη το ψήφισμά του της 25ης Μαρτίου 2021 σχετικά με την ενίσχυση του διεθνούς ρόλου του ευρώ</w:t>
      </w:r>
      <w:r w:rsidR="00110D9C" w:rsidRPr="000C255B">
        <w:rPr>
          <w:rStyle w:val="FootnoteReference"/>
        </w:rPr>
        <w:footnoteReference w:id="2"/>
      </w:r>
      <w:r w:rsidR="00110D9C" w:rsidRPr="000C255B">
        <w:t>,</w:t>
      </w:r>
    </w:p>
    <w:p w:rsidR="00110D9C" w:rsidRPr="000C255B" w:rsidRDefault="00110D9C" w:rsidP="00110D9C">
      <w:pPr>
        <w:pStyle w:val="NormalHanging12a"/>
      </w:pPr>
      <w:r w:rsidRPr="000C255B">
        <w:t>–</w:t>
      </w:r>
      <w:r w:rsidRPr="000C255B">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0C255B">
        <w:rPr>
          <w:rStyle w:val="FootnoteReference"/>
        </w:rPr>
        <w:footnoteReference w:id="3"/>
      </w:r>
      <w:r w:rsidRPr="000C255B">
        <w:t>,</w:t>
      </w:r>
    </w:p>
    <w:p w:rsidR="00110D9C" w:rsidRPr="000C255B" w:rsidRDefault="00110D9C" w:rsidP="00110D9C">
      <w:pPr>
        <w:pStyle w:val="NormalHanging12a"/>
      </w:pPr>
      <w:r w:rsidRPr="000C255B">
        <w:t>–</w:t>
      </w:r>
      <w:r w:rsidRPr="000C255B">
        <w:tab/>
        <w:t>έχοντας υπόψη το άρθρο 54 του Κανονισμού του,</w:t>
      </w:r>
    </w:p>
    <w:p w:rsidR="00110D9C" w:rsidRPr="000C255B" w:rsidRDefault="00110D9C" w:rsidP="00110D9C">
      <w:pPr>
        <w:pStyle w:val="NormalHanging12a"/>
      </w:pPr>
      <w:r w:rsidRPr="000C255B">
        <w:t>–</w:t>
      </w:r>
      <w:r w:rsidRPr="000C255B">
        <w:tab/>
        <w:t xml:space="preserve">έχοντας υπόψη την έκθεση της Επιτροπής Οικονομικής και Νομισματικής Πολιτικής </w:t>
      </w:r>
      <w:r w:rsidRPr="000C255B">
        <w:lastRenderedPageBreak/>
        <w:t>(A9-0431/2023),</w:t>
      </w:r>
    </w:p>
    <w:p w:rsidR="00110D9C" w:rsidRPr="000C255B" w:rsidRDefault="00110D9C" w:rsidP="00110D9C">
      <w:pPr>
        <w:pStyle w:val="NormalHanging12a"/>
      </w:pPr>
      <w:r w:rsidRPr="000C255B">
        <w:t>Α.</w:t>
      </w:r>
      <w:r w:rsidRPr="000C255B">
        <w:tab/>
        <w:t>λαμβάνοντας υπόψη ότι η Τραπεζική Ένωση, η οποία επί του παρόντος περιλαμβάνει τον Ενιαίο Εποπτικό Μηχανισμό, τον Ενιαίο Μηχανισμό Εξυγίανσης και ένα ενιαίο εγχειρίδιο κανόνων ως βάση της, αποτελεί αναπόσπαστο μέρος της χρηματοπιστωτικής σταθερότητας της Ένωσης και εγγυάται τον καθορισμό υψηλών ελάχιστων προτύπων στον τομέα της προστασίας των καταθέσεων, ελλείψει ενός ευρωπαϊκού συστήματος ασφάλισης καταθέσεων (ΕΣΑΚ)·</w:t>
      </w:r>
    </w:p>
    <w:p w:rsidR="00110D9C" w:rsidRPr="000C255B" w:rsidRDefault="00110D9C" w:rsidP="00110D9C">
      <w:pPr>
        <w:pStyle w:val="NormalHanging12a"/>
      </w:pPr>
      <w:r w:rsidRPr="000C255B">
        <w:t>Β.</w:t>
      </w:r>
      <w:r w:rsidRPr="000C255B">
        <w:tab/>
        <w:t>λαμβάνοντας υπόψη ότι η αντιμετώπιση των κινδύνων που προκύπτουν από το πρόβλημα του εξαιρετικά ισχυρού δεσμού μεταξύ τραπεζών και κρατών θα προσέφερε επιπλέον σημαντική σταθερότητα και ασφάλεια στο ευρωπαϊκό τραπεζικό σύστημα και στους πελάτες που το χρησιμοποιούν·</w:t>
      </w:r>
    </w:p>
    <w:p w:rsidR="00110D9C" w:rsidRPr="000C255B" w:rsidRDefault="00110D9C" w:rsidP="00110D9C">
      <w:pPr>
        <w:pStyle w:val="NormalHanging12a"/>
      </w:pPr>
      <w:r w:rsidRPr="000C255B">
        <w:t>Γ.</w:t>
      </w:r>
      <w:r w:rsidRPr="000C255B">
        <w:tab/>
        <w:t>λαμβάνοντας υπόψη ότι μια πλήρως αναπτυγμένη Τραπεζική Ένωση θα αποτελούσε θετική εξέλιξη για τους πολίτες και την οικονομία της ΕΕ, παρέχοντας τη βάση για ένα πιο σταθερό τραπεζικό σύστημα, μείωση του συστημικού κινδύνου, ενίσχυση του ανταγωνισμού, βελτίωση των επιλογών και της προστασίας των καταναλωτών, αυξημένες ευκαιρίες για διασυνοριακές τραπεζικές συναλλαγές και πρόσβαση σε λιανικές χρηματοπιστωτικές υπηρεσίες, μεγαλύτερες οικονομικές επενδύσεις, καλύτερη πρόσβαση στη χρηματοδότηση για τα νοικοκυριά και τις επιχειρήσεις και χαμηλότερο κόστος για τους πελάτες των τραπεζών, διασφαλίζοντας παράλληλα ότι οι δημόσιοι πόροι δεν θα χρησιμοποιηθούν για τη διάσωση του τραπεζικού τομέα·</w:t>
      </w:r>
    </w:p>
    <w:p w:rsidR="00110D9C" w:rsidRPr="000C255B" w:rsidRDefault="00110D9C" w:rsidP="00110D9C">
      <w:pPr>
        <w:pStyle w:val="NormalHanging12a"/>
      </w:pPr>
      <w:r w:rsidRPr="000C255B">
        <w:t>Δ.</w:t>
      </w:r>
      <w:r w:rsidRPr="000C255B">
        <w:tab/>
        <w:t>λαμβάνοντας υπόψη ότι οι τράπεζες της ΕΕ αντεπεξήλθαν στις επιπτώσεις της ρωσικής επίθεσης· λαμβάνοντας υπόψη ότι διαδραματίζουν καίριο ρόλο στη διασφάλιση της συνεχιζόμενης εφαρμογής των κυρώσεων που επιβάλλει η ΕΕ στη Ρωσία ως απάντηση στην εισβολή της στην Ουκρανία, καθώς και της συμμόρφωσης με αυτές· λαμβάνοντας υπόψη ότι απαιτείται περαιτέρω συντονισμός για να αποφευχθεί η καταστρατήγηση των κυρώσεων·</w:t>
      </w:r>
    </w:p>
    <w:p w:rsidR="00110D9C" w:rsidRPr="000C255B" w:rsidRDefault="00110D9C" w:rsidP="00110D9C">
      <w:pPr>
        <w:pStyle w:val="NormalHanging12a"/>
      </w:pPr>
      <w:r w:rsidRPr="000C255B">
        <w:t>Ε.</w:t>
      </w:r>
      <w:r w:rsidRPr="000C255B">
        <w:tab/>
        <w:t>λαμβάνοντας υπόψη ότι η κλιματική αλλαγή, η υποβάθμιση του περιβάλλοντος και η μετάβαση σε μια οικονομία χαμηλών εκπομπών διοξειδίου του άνθρακα συνιστούν παράγοντες που πρέπει να ληφθούν υπόψη κατά την αξιολόγηση της βιωσιμότητας των ισολογισμών των τραπεζών, ως πηγή κινδύνου που ενδεχομένως να επηρεάσει τις επενδύσεις σε όλες τις περιοχές και τους τομείς·</w:t>
      </w:r>
    </w:p>
    <w:p w:rsidR="00110D9C" w:rsidRPr="000C255B" w:rsidRDefault="00110D9C" w:rsidP="00110D9C">
      <w:pPr>
        <w:pStyle w:val="NormalHanging12a"/>
      </w:pPr>
      <w:r w:rsidRPr="000C255B">
        <w:t>ΣΤ.</w:t>
      </w:r>
      <w:r w:rsidRPr="000C255B">
        <w:tab/>
        <w:t>λαμβάνοντας υπόψη ότι δεν έχει ακόμη επιτευχθεί συμφωνία για ένα ΕΣΑΚ· λαμβάνοντας υπόψη ότι, μετά από εκκλήσεις του Κοινοβουλίου, η Επιτροπή πρότεινε μεταρρύθμιση του πλαισίου διαχείρισης κρίσεων και ασφάλισης καταθέσεων (ΔΚΑΚ), αναγνωρίζοντας παράλληλα ότι το εν λόγω πλαίσιο δεν θα πρέπει να θεωρείται υποκατάστατο ενός ΕΣΑΚ·</w:t>
      </w:r>
    </w:p>
    <w:p w:rsidR="00110D9C" w:rsidRPr="000C255B" w:rsidRDefault="00110D9C" w:rsidP="00110D9C">
      <w:pPr>
        <w:pStyle w:val="NormalHanging12a"/>
      </w:pPr>
      <w:r w:rsidRPr="000C255B">
        <w:t>Ζ.</w:t>
      </w:r>
      <w:r w:rsidRPr="000C255B">
        <w:tab/>
        <w:t>λαμβάνοντας υπόψη ότι, παρότι το 2020 επετεύχθη πολιτική συμφωνία για τη δημιουργία μηχανισμού ασφαλείας για το Ενιαίο Ταμείο Εξυγίανσης (ΕΤΕ), ο μηχανισμός αυτός εξακολουθεί να μην υπάρχει ακόμη· λαμβάνοντας υπόψη ότι, σύμφωνα με τα τελευταία διαθέσιμα στοιχεία, το επίπεδο χρηματοδότησης για τα 16 από τα 36 συστήματα εγγύησης καταθέσεων στην ΕΕ ήταν κατώτερο του απαιτούμενου (ελάχιστου) επιπέδου·</w:t>
      </w:r>
    </w:p>
    <w:p w:rsidR="00110D9C" w:rsidRPr="000C255B" w:rsidRDefault="00110D9C" w:rsidP="00110D9C">
      <w:pPr>
        <w:pStyle w:val="NormalHanging12a"/>
      </w:pPr>
      <w:r w:rsidRPr="000C255B">
        <w:t>Η.</w:t>
      </w:r>
      <w:r w:rsidRPr="000C255B">
        <w:tab/>
        <w:t xml:space="preserve">λαμβάνοντας υπόψη ότι η έλλειψη διασυνοριακής ενοποίησης του τραπεζικού τομέα της ΕΕ επηρεάζει την ανταγωνιστικότητά του σε παγκόσμιο επίπεδο και ότι σε </w:t>
      </w:r>
      <w:r w:rsidRPr="000C255B">
        <w:lastRenderedPageBreak/>
        <w:t>ορισμένα κράτη μέλη ο τομέας των τραπεζικών υπηρεσιών για καταναλωτές εξακολουθεί να κυριαρχείται από μικρό αριθμό τραπεζών· λαμβάνοντας υπόψη ότι το χάσμα κερδοφορίας μεταξύ των τραπεζών της ΕΕ και των ΗΠΑ έχει διευρυνθεί κατά την τελευταία δεκαετία και ότι η απόδοση ιδίων κεφαλαίων των τραπεζών της ΕΕ είναι κατά 5 μονάδες χαμηλότερη από εκείνη των τραπεζών των ΗΠΑ</w:t>
      </w:r>
      <w:r w:rsidRPr="000C255B">
        <w:rPr>
          <w:rStyle w:val="FootnoteReference"/>
        </w:rPr>
        <w:footnoteReference w:id="4"/>
      </w:r>
      <w:r w:rsidRPr="000C255B">
        <w:t>·</w:t>
      </w:r>
    </w:p>
    <w:p w:rsidR="00110D9C" w:rsidRPr="000C255B" w:rsidRDefault="00110D9C" w:rsidP="00110D9C">
      <w:pPr>
        <w:pStyle w:val="NormalHanging12a"/>
      </w:pPr>
      <w:r w:rsidRPr="000C255B">
        <w:t>Θ.</w:t>
      </w:r>
      <w:r w:rsidRPr="000C255B">
        <w:tab/>
        <w:t>λαμβάνοντας υπόψη ότι ο τραπεζικός τομέας της ΕΕ παρουσιάζει αυξανόμενη κερδοφορία, εν μέρει λόγω των υψηλότερων επιτοκίων και ως αποτέλεσμα του αυξημένων καταθέσεων της ΕΚΤ· λαμβάνοντας υπόψη ότι η αύξηση των επιτοκίων έχει επίσης οδηγήσει σε επιδείνωση των ισολογισμών ορισμένων τραπεζών λόγω μη πραγματοποιηθεισών ζημιών κεφαλαίου·</w:t>
      </w:r>
    </w:p>
    <w:p w:rsidR="00110D9C" w:rsidRPr="000C255B" w:rsidRDefault="00110D9C" w:rsidP="00110D9C">
      <w:pPr>
        <w:pStyle w:val="NormalHanging12a"/>
      </w:pPr>
      <w:r w:rsidRPr="000C255B">
        <w:t>Ι.</w:t>
      </w:r>
      <w:r w:rsidRPr="000C255B">
        <w:tab/>
        <w:t>λαμβάνοντας υπόψη ότι ένας ισχυρός, σταθερός, ανθεκτικός, δυναμικός και ανταγωνιστικός τραπεζικός τομέας είναι καθοριστικός για την επίτευξη οικονομικής ανάπτυξης, για τη χρηματοδότηση των μικρών και μεσαίων επιχειρήσεων (ΜΜΕ) και των νεοφυών επιχειρήσεων, για την αύξηση της δυνατότητας απόκτησης ιδιόκτητης κατοικίας, καθώς και την επείγουσα μετάβαση σε μια πράσινη και ψηφιακή οικονομία·</w:t>
      </w:r>
    </w:p>
    <w:p w:rsidR="00110D9C" w:rsidRPr="000C255B" w:rsidRDefault="00110D9C" w:rsidP="00110D9C">
      <w:pPr>
        <w:pStyle w:val="NormalHanging12a"/>
      </w:pPr>
      <w:r w:rsidRPr="000C255B">
        <w:t>ΙΑ.</w:t>
      </w:r>
      <w:r w:rsidRPr="000C255B">
        <w:tab/>
        <w:t>λαμβάνοντας υπόψη ότι ο τραπεζικός τομέας αντιμετωπίζει κινδύνους μετά την πανδημία και την εισβολή, ιδίως σε σχέση με την επιδείνωση της ποιότητας των στοιχείων ενεργητικού· λαμβάνοντας υπόψη ότι, παρότι το ποσοστό των μη εξυπηρετούμενων δανείων (ΜΕΔ) μειώθηκε στο 2,24 % το πρώτο τρίμηνο του 2023 και μειώνεται σταθερά από το τέλος της Μεγάλης Ύφεσης, είναι αναγκαία μια περαιτέρω μείωση·</w:t>
      </w:r>
    </w:p>
    <w:p w:rsidR="00110D9C" w:rsidRPr="000C255B" w:rsidRDefault="00110D9C" w:rsidP="00110D9C">
      <w:pPr>
        <w:pStyle w:val="NormalHanging12a"/>
      </w:pPr>
      <w:r w:rsidRPr="000C255B">
        <w:t>ΙΒ.</w:t>
      </w:r>
      <w:r w:rsidRPr="000C255B">
        <w:tab/>
        <w:t>λαμβάνοντας υπόψη ότι οι νομοθέτες της ΕΕ διαπραγματεύτηκαν κανόνες για την εφαρμογή των προτύπων Βασιλείας ΙΙΙ κατά τρόπο ώστε να διαφυλάσσεται η ανταγωνιστικότητα των τραπεζών και να συνυπολογίζονται οι ιδιαιτερότητες του τραπεζικού τομέα της ΕΕ·</w:t>
      </w:r>
    </w:p>
    <w:p w:rsidR="00110D9C" w:rsidRPr="000C255B" w:rsidRDefault="00110D9C" w:rsidP="00110D9C">
      <w:pPr>
        <w:pStyle w:val="NormalHanging12a"/>
      </w:pPr>
      <w:r w:rsidRPr="000C255B">
        <w:t>ΙΓ.</w:t>
      </w:r>
      <w:r w:rsidRPr="000C255B">
        <w:tab/>
        <w:t>λαμβάνοντας υπόψη ότι η ψηφιοποίηση της χρηματοδότησης παρέχει σημαντικές ευκαιρίες για τον τραπεζικό τομέα και έχει επιφέρει αξιόλογη τεχνολογική πρόοδο στον τραπεζικό τομέα της ΕΕ μέσω της αυξημένης αποτελεσματικότητας στην παροχή τραπεζικών υπηρεσιών και της αυξημένης διάθεσης για καινοτομία· λαμβάνοντας υπόψη ότι θέτει επίσης προκλήσεις, μεταξύ άλλων όσον αφορά την προστασία των δεδομένων, τους κινδύνους για τη φήμη, την καταπολέμηση της νομιμοποίησης εσόδων από παράνομες δραστηριότητες, και προκαλεί ανησυχίες για την προστασία των καταναλωτών·</w:t>
      </w:r>
    </w:p>
    <w:p w:rsidR="00110D9C" w:rsidRPr="000C255B" w:rsidRDefault="00110D9C" w:rsidP="00110D9C">
      <w:pPr>
        <w:pStyle w:val="NormalHanging12a"/>
      </w:pPr>
      <w:r w:rsidRPr="000C255B">
        <w:t>ΙΔ.</w:t>
      </w:r>
      <w:r w:rsidRPr="000C255B">
        <w:tab/>
        <w:t>λαμβάνοντας υπόψη ότι τα χρηματοπιστωτικά ιδρύματα βασίζονται ολοένα και περισσότερο στη χρήση της τεχνολογίας των πληροφοριών και της επικοινωνίας (ΤΠΕ)· λαμβάνοντας υπόψη ότι ο τραπεζικός τομέας της ΕΕ πρέπει να αυξήσει την ανθεκτικότητά του στον κυβερνοχώρο προκειμένου να διασφαλίσει ότι τα συστήματα ΤΠΕ είναι ανθεκτικά στους διάφορους τύπους απειλών της κυβερνοασφάλειας·</w:t>
      </w:r>
    </w:p>
    <w:p w:rsidR="00110D9C" w:rsidRPr="000C255B" w:rsidRDefault="00110D9C" w:rsidP="00110D9C">
      <w:pPr>
        <w:pStyle w:val="NormalHanging12a"/>
      </w:pPr>
      <w:r w:rsidRPr="000C255B">
        <w:t>ΙΕ.</w:t>
      </w:r>
      <w:r w:rsidRPr="000C255B">
        <w:tab/>
        <w:t xml:space="preserve">λαμβάνοντας υπόψη ότι το επίπεδο των κρατικών ανοιγμάτων έχει αυξηθεί σε πολλές τράπεζες· λαμβάνοντας υπόψη ότι πρέπει να αντιμετωπιστούν οι κίνδυνοι που </w:t>
      </w:r>
      <w:r w:rsidRPr="000C255B">
        <w:lastRenderedPageBreak/>
        <w:t>προκύπτουν από το πρόβλημα του εξαιρετικά ισχυρού δεσμού μεταξύ τραπεζών και κρατών·</w:t>
      </w:r>
    </w:p>
    <w:p w:rsidR="00110D9C" w:rsidRPr="000C255B" w:rsidRDefault="00110D9C" w:rsidP="00110D9C">
      <w:pPr>
        <w:pStyle w:val="NormalHanging12a"/>
        <w:rPr>
          <w:b/>
          <w:i/>
        </w:rPr>
      </w:pPr>
      <w:r w:rsidRPr="000C255B">
        <w:t>ΙΣΤ.</w:t>
      </w:r>
      <w:r w:rsidRPr="000C255B">
        <w:tab/>
        <w:t>λαμβάνοντας υπόψη ότι η Τραπεζική Ένωση θα πρέπει να συμβάλει στην αντιμετώπιση του δεσμού ή αλλιώς του φαύλου κύκλου μεταξύ τραπεζών και κρατών, ο οποίος εξακολουθεί να υφίσταται· λαμβάνοντας υπόψη ότι το επίπεδο των κρατικών ανοιγμάτων έχει αυξηθεί σε πολλές τράπεζες· λαμβάνοντας υπόψη ότι η προληπτική αντιμετώπιση του δημόσιου χρέους θα πρέπει να συνάδει με τα διεθνή πρότυπα·</w:t>
      </w:r>
    </w:p>
    <w:p w:rsidR="00110D9C" w:rsidRPr="000C255B" w:rsidRDefault="00110D9C" w:rsidP="00110D9C">
      <w:pPr>
        <w:pStyle w:val="NormalHanging12a"/>
      </w:pPr>
      <w:r w:rsidRPr="000C255B">
        <w:t>ΙΖ.</w:t>
      </w:r>
      <w:r w:rsidRPr="000C255B">
        <w:tab/>
        <w:t>λαμβάνοντας υπόψη ότι οι αυξήσεις των επιτοκίων είχαν αρνητικό αντίκτυπο στην ικανότητα εξυπηρέτησης χρέους των νοικοκυριών και στην ικανότητα αποπλήρωσης χρέους των δανειοληπτών και καθιστούν τις τράπεζες της ΕΕ ευάλωτες σε πιθανές απώλειες στο μέλλον·</w:t>
      </w:r>
      <w:r w:rsidRPr="000C255B">
        <w:rPr>
          <w:b/>
          <w:i/>
        </w:rPr>
        <w:t xml:space="preserve"> </w:t>
      </w:r>
      <w:r w:rsidRPr="000C255B">
        <w:t>λαμβάνοντας υπόψη ότι οι κίνδυνοι που απορρέουν από τις αυξήσεις των επιτοκίων έχουν μέχρι στιγμής ληφθεί δεόντως υπόψη·</w:t>
      </w:r>
    </w:p>
    <w:p w:rsidR="00110D9C" w:rsidRPr="000C255B" w:rsidRDefault="00110D9C" w:rsidP="00110D9C">
      <w:pPr>
        <w:pStyle w:val="NormalHanging12a"/>
      </w:pPr>
      <w:r w:rsidRPr="000C255B">
        <w:t>ΙΗ.</w:t>
      </w:r>
      <w:r w:rsidRPr="000C255B">
        <w:tab/>
        <w:t>λαμβάνοντας υπόψη ότι η ολοκλήρωση της Ένωσης Κεφαλαιαγορών απαιτεί τη θέσπιση κοινών κανόνων και αποτελεσματικών εργαλείων που μειώνουν τον κατακερματισμό της εσωτερικής αγοράς και διευκολύνουν την πρόσβαση σε εναλλακτικά μέσα χρηματοδότησης·</w:t>
      </w:r>
    </w:p>
    <w:p w:rsidR="00110D9C" w:rsidRPr="000C255B" w:rsidRDefault="00110D9C" w:rsidP="00110D9C">
      <w:pPr>
        <w:pStyle w:val="NormalHanging12a"/>
      </w:pPr>
      <w:r w:rsidRPr="000C255B">
        <w:t>ΙΘ.</w:t>
      </w:r>
      <w:r w:rsidRPr="000C255B">
        <w:tab/>
        <w:t>λαμβάνοντας υπόψη ότι η ΕΕ και το Ηνωμένο Βασίλειο έχουν υπογράψει μνημόνιο συνεννόησης σχετικά με τη ρυθμιστική συνεργασία στον τομέα των χρηματοπιστωτικών υπηρεσιών και ότι η εν λόγω συνεργατική προσέγγιση θα πρέπει να στηρίζει τις μακροπρόθεσμες σχέσεις ΕΕ-Ηνωμένου Βασιλείου, ειδικότερα στον τραπεζικό τομέα· λαμβάνοντας υπόψη ότι η Επιτροπή έχει διευρύνει και πάλι την προσωρινή της άδεια που επιτρέπει στις τράπεζες και στους οργανισμούς διαχείρισης κεφαλαίων της ΕΕ να χρησιμοποιούν γραφεία συμψηφισμού του Ηνωμένου Βασιλείου·</w:t>
      </w:r>
    </w:p>
    <w:p w:rsidR="00110D9C" w:rsidRPr="000C255B" w:rsidRDefault="00110D9C" w:rsidP="00110D9C">
      <w:pPr>
        <w:spacing w:after="240"/>
        <w:ind w:left="567" w:hanging="567"/>
      </w:pPr>
      <w:r w:rsidRPr="000C255B">
        <w:rPr>
          <w:rStyle w:val="BoldItalic"/>
        </w:rPr>
        <w:t>Γενικές παρατηρήσεις</w:t>
      </w:r>
    </w:p>
    <w:p w:rsidR="00110D9C" w:rsidRPr="000C255B" w:rsidRDefault="00437801" w:rsidP="00437801">
      <w:pPr>
        <w:pStyle w:val="NormalHanging12a"/>
        <w:ind w:hanging="570"/>
      </w:pPr>
      <w:r w:rsidRPr="000C255B">
        <w:t>1.</w:t>
      </w:r>
      <w:r w:rsidRPr="000C255B">
        <w:tab/>
      </w:r>
      <w:r w:rsidR="00110D9C" w:rsidRPr="000C255B">
        <w:t>καταδικάζει τη ρωσική επίθεση κατά της Ουκρανίας και τις επιπτώσεις της στον ουκρανικό λαό, στην ΕΕ και αλλού· καλεί τις τράπεζες να συνεχίσουν να προσαρμόζουν τις στρατηγικές αποφάσεις τους στο νέο ευρωπαϊκό και διεθνές πλαίσιο που προκύπτει από αυτή τη συνθήκη, να αντιμετωπίσουν τον συστημικό κίνδυνο και να συνεχίσουν να εφαρμόζουν τις οικονομικές κυρώσεις που εγκρίθηκαν ως απάντηση στην εισβολή της Ρωσίας στην Ουκρανία και να συμμορφώνονται με αυτές·</w:t>
      </w:r>
    </w:p>
    <w:p w:rsidR="00110D9C" w:rsidRPr="000C255B" w:rsidRDefault="00437801" w:rsidP="00437801">
      <w:pPr>
        <w:pStyle w:val="NormalHanging12a"/>
        <w:ind w:hanging="570"/>
      </w:pPr>
      <w:r w:rsidRPr="000C255B">
        <w:t>2.</w:t>
      </w:r>
      <w:r w:rsidRPr="000C255B">
        <w:tab/>
      </w:r>
      <w:r w:rsidR="00110D9C" w:rsidRPr="000C255B">
        <w:t>υπενθυμίζει ότι ενώ τα κράτη μέλη είναι αρμόδια για τον εντοπισμό παραβιάσεων των κυρώσεων της ΕΕ, ο τραπεζικός τομέας διαδραματίζει καίριο ρόλο στην εφαρμογή των κυρώσεων και στην παρακολούθηση της συμμόρφωσης· καλεί την Επιτροπή να δημιουργήσει μια βάση δεδομένων σε επίπεδο ΕΕ για να ενισχυθεί ο συντονισμός μεταξύ των τραπεζών, να καλυφθούν τα κενά στην εφαρμογή των κυρώσεων από τα κράτη μέλη και να αξιολογηθεί ο τρόπος με τον οποίο οι τράπεζες της ΕΕ εφαρμόζουν τις κυρώσεις· λαμβάνει υπόψη τη θέση του Κοινοβουλίου σχετικά με την πρόταση κανονισμού της αρχής για την καταπολέμηση της νομιμοποίησης εσόδων από παράνομες δραστηριότητες, η οποία αναθέτει στη νέα Αρχή να υποστηρίζει τη συνεπή εφαρμογή των στοχευμένων οικονομικών κυρώσεων της ΕΕ·</w:t>
      </w:r>
    </w:p>
    <w:p w:rsidR="00110D9C" w:rsidRPr="000C255B" w:rsidRDefault="00437801" w:rsidP="00437801">
      <w:pPr>
        <w:pStyle w:val="NormalHanging12a"/>
        <w:ind w:hanging="570"/>
      </w:pPr>
      <w:r w:rsidRPr="000C255B">
        <w:t>3.</w:t>
      </w:r>
      <w:r w:rsidRPr="000C255B">
        <w:tab/>
      </w:r>
      <w:r w:rsidR="00110D9C" w:rsidRPr="000C255B">
        <w:t xml:space="preserve">σημειώνει ότι τα άμεσα συνολικά ανοίγματα του τραπεζικού τομέα στη Ρωσία και στην Ουκρανία είναι περιορισμένα, καθώς επί του παρόντος οι τράπεζες μειώνουν τα ανοίγματά τους, και καλεί τα εποπτικά ιδρύματα και την τραπεζική εποπτεία της ΕΚΤ να βοηθήσουν τις υπόλοιπες τράπεζες της ΕΕ που δραστηριοποιούνται στη Ρωσία να </w:t>
      </w:r>
      <w:r w:rsidR="00110D9C" w:rsidRPr="000C255B">
        <w:lastRenderedPageBreak/>
        <w:t>προβούν σε ομαλή έξοδο από τη ρωσική αγορά·</w:t>
      </w:r>
    </w:p>
    <w:p w:rsidR="00110D9C" w:rsidRPr="000C255B" w:rsidRDefault="00437801" w:rsidP="00437801">
      <w:pPr>
        <w:pStyle w:val="NormalHanging12a"/>
        <w:ind w:hanging="570"/>
        <w:rPr>
          <w:b/>
          <w:i/>
        </w:rPr>
      </w:pPr>
      <w:r w:rsidRPr="000C255B">
        <w:t>4.</w:t>
      </w:r>
      <w:r w:rsidRPr="000C255B">
        <w:tab/>
      </w:r>
      <w:r w:rsidR="00110D9C" w:rsidRPr="000C255B">
        <w:t>επισημαίνει ότι η Τραπεζική Ένωση εξακολουθεί να αποτελεί απαραίτητο συμπλήρωμα της Οικονομικής και Νομισματικής Ένωσης (ΟΝΕ) και, κατά συνέπεια, της εσωτερικής αγοράς· υπενθυμίζει ότι βασικοί στόχοι της Τραπεζικής Ένωσης είναι η ασφάλεια του τραπεζικού συστήματος, η προστασία των καταθετών και η πρόληψη της διάσωσης των τραπεζών από τους φορολογούμενους· αναγνωρίζει την πρόοδο που έχει σημειωθεί τα τελευταία 15 έτη μέσω της θέσπισης του Ενιαίου Εποπτικού Μηχανισμού (ΕΕΜ) και του Ενιαίου Μηχανισμού Εξυγίανσης (ΕΜΕ), και το ότι οι τράπεζες της ΕΕ είναι πλέον σε καλύτερη θέση να αντέξουν τους χρηματοπιστωτικούς κλυδωνισμούς· ζητεί την ολοκλήρωση της Τραπεζικής Ένωσης και σημειώνει ότι ο τρίτος πυλώνας της, το ΕΣΑΚ, εξακολουθεί να εκκρεμεί·</w:t>
      </w:r>
    </w:p>
    <w:p w:rsidR="00110D9C" w:rsidRPr="000C255B" w:rsidRDefault="00437801" w:rsidP="00437801">
      <w:pPr>
        <w:pStyle w:val="NormalHanging12a"/>
        <w:ind w:hanging="570"/>
      </w:pPr>
      <w:r w:rsidRPr="000C255B">
        <w:t>5.</w:t>
      </w:r>
      <w:r w:rsidRPr="000C255B">
        <w:tab/>
      </w:r>
      <w:r w:rsidR="00110D9C" w:rsidRPr="000C255B">
        <w:t>ζητεί από την Επιτροπή να διατηρήσει την ολοκλήρωση της Τραπεζικής Ένωσης και της Ένωσης Κεφαλαιαγορών ως βασική προτεραιότητα για το υπόλοιπο της τρέχουσας εντολής της καθώς και για την επόμενη εντολή της· επισημαίνει ότι και τα δύο έργα:</w:t>
      </w:r>
    </w:p>
    <w:p w:rsidR="00110D9C" w:rsidRPr="000C255B" w:rsidRDefault="007811FF" w:rsidP="00437801">
      <w:pPr>
        <w:pStyle w:val="NormalHanging12a"/>
        <w:spacing w:after="0"/>
        <w:ind w:left="1134"/>
      </w:pPr>
      <w:r w:rsidRPr="00437801">
        <w:t>–</w:t>
      </w:r>
      <w:r>
        <w:tab/>
      </w:r>
      <w:r w:rsidR="00110D9C" w:rsidRPr="000C255B">
        <w:t>προσφέρουν στα νοικοκυριά και τις ΜΜΕ, που εξακολουθούν να εξαρτώνται σε μεγάλο βαθμό από τις τραπεζικές πιστώσεις, ευρύτερη πρόσβαση σε χρηματοδότηση,</w:t>
      </w:r>
    </w:p>
    <w:p w:rsidR="00110D9C" w:rsidRPr="000C255B" w:rsidRDefault="007811FF" w:rsidP="00437801">
      <w:pPr>
        <w:pStyle w:val="NormalHanging12a"/>
        <w:spacing w:after="0"/>
        <w:ind w:left="1134"/>
      </w:pPr>
      <w:r w:rsidRPr="00042EF8">
        <w:t>–</w:t>
      </w:r>
      <w:r>
        <w:tab/>
      </w:r>
      <w:r w:rsidR="00110D9C" w:rsidRPr="000C255B">
        <w:t>προωθούν τις επενδύσεις και τη δημιουργία θέσεων εργασίας,</w:t>
      </w:r>
    </w:p>
    <w:p w:rsidR="00110D9C" w:rsidRPr="000C255B" w:rsidRDefault="007811FF" w:rsidP="00437801">
      <w:pPr>
        <w:pStyle w:val="NormalHanging12a"/>
        <w:spacing w:after="0"/>
        <w:ind w:left="1134"/>
      </w:pPr>
      <w:r w:rsidRPr="00042EF8">
        <w:t>–</w:t>
      </w:r>
      <w:r>
        <w:tab/>
      </w:r>
      <w:r w:rsidR="00110D9C" w:rsidRPr="000C255B">
        <w:t>στηρίζουν την ευρωπαϊκή οικονομία</w:t>
      </w:r>
    </w:p>
    <w:p w:rsidR="00110D9C" w:rsidRPr="000C255B" w:rsidRDefault="007811FF" w:rsidP="00437801">
      <w:pPr>
        <w:pStyle w:val="NormalHanging12a"/>
        <w:spacing w:after="0"/>
        <w:ind w:left="1134"/>
      </w:pPr>
      <w:r w:rsidRPr="00042EF8">
        <w:t>–</w:t>
      </w:r>
      <w:r>
        <w:tab/>
      </w:r>
      <w:r w:rsidR="00110D9C" w:rsidRPr="000C255B">
        <w:t>αυξάνουν τη χρηματοπιστωτική σταθερότητα</w:t>
      </w:r>
    </w:p>
    <w:p w:rsidR="00110D9C" w:rsidRPr="000C255B" w:rsidRDefault="007811FF" w:rsidP="00437801">
      <w:pPr>
        <w:pStyle w:val="NormalHanging12a"/>
        <w:spacing w:after="0"/>
        <w:ind w:left="1134"/>
      </w:pPr>
      <w:r w:rsidRPr="00042EF8">
        <w:t>–</w:t>
      </w:r>
      <w:r>
        <w:tab/>
      </w:r>
      <w:r w:rsidR="00110D9C" w:rsidRPr="000C255B">
        <w:t>μειώνουν τις επιπτώσεις της οικονομικής ύφεσης</w:t>
      </w:r>
    </w:p>
    <w:p w:rsidR="00110D9C" w:rsidRPr="000C255B" w:rsidRDefault="007811FF" w:rsidP="00437801">
      <w:pPr>
        <w:pStyle w:val="NormalHanging12a"/>
        <w:spacing w:after="0"/>
        <w:ind w:left="1134"/>
      </w:pPr>
      <w:r w:rsidRPr="00042EF8">
        <w:t>–</w:t>
      </w:r>
      <w:r>
        <w:tab/>
      </w:r>
      <w:r w:rsidR="00110D9C" w:rsidRPr="000C255B">
        <w:t>χρηματοδοτούν τη ψηφιακή μετάβαση και τη μετάβαση σε μια βιώσιμη οικονομία, και</w:t>
      </w:r>
    </w:p>
    <w:p w:rsidR="00110D9C" w:rsidRPr="000C255B" w:rsidRDefault="007811FF" w:rsidP="00437801">
      <w:pPr>
        <w:pStyle w:val="NormalHanging12a"/>
        <w:ind w:left="1134"/>
      </w:pPr>
      <w:r w:rsidRPr="00042EF8">
        <w:t>–</w:t>
      </w:r>
      <w:r>
        <w:tab/>
      </w:r>
      <w:r w:rsidR="00110D9C" w:rsidRPr="000C255B">
        <w:t>απελευθερώνουν το αναπτυξιακό δυναμικό της ΕΕ·</w:t>
      </w:r>
    </w:p>
    <w:p w:rsidR="00110D9C" w:rsidRPr="000C255B" w:rsidRDefault="00437801" w:rsidP="00437801">
      <w:pPr>
        <w:pStyle w:val="NormalHanging12a"/>
        <w:ind w:hanging="570"/>
      </w:pPr>
      <w:r w:rsidRPr="000C255B">
        <w:t>6.</w:t>
      </w:r>
      <w:r w:rsidRPr="000C255B">
        <w:tab/>
      </w:r>
      <w:r w:rsidR="00110D9C" w:rsidRPr="000C255B">
        <w:t>λαμβάνει υπόψη τη δήλωση της ΕΑΤ, της 13ης Ιουλίου 2023, στην οποία αναφέρεται ότι ο τραπεζικός τομέας της ΕΕ / του ΕΟΧ παρουσιάζει αυξανόμενη κερδοφορία, αλλά ότι διαφαίνονται κίνδυνοι σχετικά με την ποιότητα των περιουσιακών στοιχείων και την κερδοφορία· σημειώνει τις πρόσφατες βραχυπρόθεσμες αυξήσεις της κερδοφορίας των τραπεζών της ΕΕ (η ετήσια απόδοση ιδίων κεφαλαίων αυξήθηκε σε 10,04 % το δεύτερο τρίμηνο του 2023, ενώ κατά την ίδια περίοδο του 2022 ήταν 7,59 %, φθάνοντας στο υψηλότερο επίπεδο των τελευταίων 14 ετών</w:t>
      </w:r>
      <w:r w:rsidR="00110D9C" w:rsidRPr="000C255B">
        <w:rPr>
          <w:rStyle w:val="FootnoteReference"/>
        </w:rPr>
        <w:footnoteReference w:id="5"/>
      </w:r>
      <w:r w:rsidR="00110D9C" w:rsidRPr="000C255B">
        <w:t>), αλλά προειδοποιεί ότι αυτές πρέπει να είναι βιώσιμες για τη διασφάλιση μακροπρόθεσμης ανταγωνιστικότητας·</w:t>
      </w:r>
    </w:p>
    <w:p w:rsidR="00110D9C" w:rsidRPr="000C255B" w:rsidRDefault="00437801" w:rsidP="00437801">
      <w:pPr>
        <w:pStyle w:val="NormalHanging12a"/>
        <w:ind w:hanging="570"/>
      </w:pPr>
      <w:r w:rsidRPr="000C255B">
        <w:t>7.</w:t>
      </w:r>
      <w:r w:rsidRPr="000C255B">
        <w:tab/>
      </w:r>
      <w:r w:rsidR="00110D9C" w:rsidRPr="000C255B">
        <w:t>ενθαρρύνει τη χρήση των εν λόγω κερδών για τη δημιουργία αποθεμάτων ασφαλείας και, κατά συνέπεια, τη διασφάλιση της σταθερότητας του χρηματοπιστωτικού συστήματος, και για τη χρηματοδότηση της ευρωπαϊκής οικονομίας· σημειώνει ότι η προσωρινή αναστολή της διανομής μερισμάτων και της επαναγοράς μετοχών κατάφερε να διασφαλίσει την ανθεκτικότητα των τραπεζών κατά τη διάρκεια της κρίσης της COVID-19·</w:t>
      </w:r>
    </w:p>
    <w:p w:rsidR="00110D9C" w:rsidRPr="000C255B" w:rsidRDefault="00437801" w:rsidP="00437801">
      <w:pPr>
        <w:pStyle w:val="NormalHanging12a"/>
        <w:ind w:hanging="570"/>
      </w:pPr>
      <w:r w:rsidRPr="000C255B">
        <w:t>8.</w:t>
      </w:r>
      <w:r w:rsidRPr="000C255B">
        <w:tab/>
      </w:r>
      <w:r w:rsidR="00110D9C" w:rsidRPr="000C255B">
        <w:t xml:space="preserve">σημειώνει ότι η έρευνα για τον τραπεζικό δανεισμό στη ζώνη του ευρώ για το δεύτερο τρίμηνο του 2023 έδειξε ότι οι τράπεζες αυστηροποίησαν περαιτέρω τα πιστοδοτικά τους κριτήρια για τη χορήγηση δανείων σε επιχειρήσεις και νοικοκυριά για αγορά κατοικίας, λόγω των αντιλήψεων περί αυξημένου κινδύνου, της χαμηλότερης ανοχής </w:t>
      </w:r>
      <w:r w:rsidR="00110D9C" w:rsidRPr="000C255B">
        <w:lastRenderedPageBreak/>
        <w:t>κινδύνου και του αυξημένου κόστους χρηματοδότησης, και ότι οι τράπεζες επέβαλαν επίσης αυστηρότερους όρους δανειοδότησης εν μέσω υψηλότερων επιπέδων ανησυχίας για τα μη εξυπηρετούμενα δάνεια</w:t>
      </w:r>
      <w:r w:rsidR="00110D9C" w:rsidRPr="000C255B">
        <w:rPr>
          <w:vertAlign w:val="superscript"/>
        </w:rPr>
        <w:footnoteReference w:id="6"/>
      </w:r>
      <w:r w:rsidR="00110D9C" w:rsidRPr="000C255B">
        <w:t>· υπενθυμίζει τον καίριο ρόλο του τραπεζικού τομέα της ΕΕ στη χρηματοδότηση της ανάκαμψης της οικονομίας της ΕΕ και θεωρεί ότι η ανάκαμψη θα εξαρτάται επίσης από το εάν οι τράπεζες έχουν επάρκεια κεφαλαίων για την παροχή πιστώσεων, ιδίως καθώς τα μέτρα δημόσιας στήριξης των κρατών μελών σταδιακά καταργούνται·</w:t>
      </w:r>
    </w:p>
    <w:p w:rsidR="00110D9C" w:rsidRPr="000C255B" w:rsidRDefault="00437801" w:rsidP="00437801">
      <w:pPr>
        <w:pStyle w:val="NormalHanging12a"/>
        <w:ind w:hanging="570"/>
      </w:pPr>
      <w:r w:rsidRPr="000C255B">
        <w:t>9.</w:t>
      </w:r>
      <w:r w:rsidRPr="000C255B">
        <w:tab/>
      </w:r>
      <w:r w:rsidR="00110D9C" w:rsidRPr="000C255B">
        <w:t>καλεί την Επιτροπή να αξιολογήσει τα εμπόδια στις διασυνοριακές συγχωνεύσεις, καθώς και τα πιθανά κίνητρα για οριοθέτηση· σημειώνει ότι, σύμφωνα με δημόσια δήλωση του Andrea Enria, προέδρου του εποπτικού συμβουλίου της ΕΚΤ, ο τραπεζικός τομέας εξακολουθεί, σε γενικές γραμμές, να αποτελεί ένα άθροισμα εθνικών τραπεζικών τομέων· σημειώνει ότι ένας πιο ολοκληρωμένος τραπεζικός τομέας της ΕΕ θα μπορούσε να ενισχύσει την ικανότητα των τραπεζών να πραγματοποιούν στρατηγικές επενδύσεις και να προωθήσει την ανάπτυξη των κεφαλαιαγορών της ΕΕ, αναγνωρίζοντας παράλληλα ότι η ποικιλομορφία των τραπεζικών επιχειρηματικών μοντέλων στη ζώνη του ευρώ ενισχύει την ανθεκτικότητα του χρηματοπιστωτικού συστήματος· επισημαίνει τους κινδύνους που θα μπορούσαν να ενέχουν τα ιδρύματα που είναι «πολύ μεγάλα για να χρεοκοπήσουν», και σημειώνει ότι η χρηματοπιστωτική σταθερότητα θα μπορούσε να αυξηθεί με τη μεταρρύθμιση των παγκόσμιων συστημικώς σημαντικών τραπεζών (G-SIB) της ΕΕ, η οποία αντιμετωπίζει τους ηθικούς κινδύνους, ενώ τονίζει ότι η διασυνοριακή ενοποίηση χωρίς υπερβολική συγκέντρωση θα μπορούσε να αυξήσει την κερδοφορία του τραπεζικού τομέα της ΕΕ και ενδεχομένως να βελτιώσει την τρέχουσα κατάσταση που χαρακτηρίζεται από μειωμένη παροχή υπηρεσιών και αυξημένο κόστος για τους πολίτες σε αρκετά κράτη μέλη·</w:t>
      </w:r>
    </w:p>
    <w:p w:rsidR="00110D9C" w:rsidRPr="000C255B" w:rsidRDefault="00437801" w:rsidP="00437801">
      <w:pPr>
        <w:pStyle w:val="NormalHanging12a"/>
        <w:ind w:hanging="570"/>
      </w:pPr>
      <w:r w:rsidRPr="000C255B">
        <w:t>10.</w:t>
      </w:r>
      <w:r w:rsidRPr="000C255B">
        <w:tab/>
      </w:r>
      <w:r w:rsidR="00110D9C" w:rsidRPr="000C255B">
        <w:t>σημειώνει ότι, σε ορισμένα κράτη μέλη, ένας μικρός αριθμός τραπεζών εξακολουθεί να κυριαρχεί στις υπηρεσίες λιανικής τραπεζικής, με αποτέλεσμα οι επιλογές των καταναλωτών στον τομέα της λιανικής τραπεζικής να είναι μειωμένες· θεωρεί ότι μια ολοκληρωμένη Τραπεζική Ένωση πρέπει να εξαρτάται από μια εύρυθμα λειτουργούσα ενιαία αγορά λιανικών χρηματοπιστωτικών υπηρεσιών· εκφράζει τη λύπη του για τα εμπόδια που εξακολουθούν να υπάρχουν στις διασυνοριακές λιανικές τραπεζικές υπηρεσίες και καλεί την Επιτροπή να αξιολογήσει τα εμπόδια και τους φραγμούς που προκύπτουν για τους καταναλωτές κατά τη χρήση προϊόντων λιανικής τραπεζικής· τονίζει τις δυνατότητες μιας ολοκληρωμένης Τραπεζικής Ένωσης να βελτιώσει τον ανταγωνισμό και τις επιλογές των καταναλωτών στον τομέα της λιανικής τραπεζικής, μεταξύ άλλων μέσω των βελτιωμένων ευκαιριών παροχής διασυνοριακών λιανικών τραπεζικών υπηρεσιών· τονίζει τα οφέλη ενός διαφοροποιημένου και ανταγωνιστικού τραπεζικού τομέα στην ΕΕ·</w:t>
      </w:r>
    </w:p>
    <w:p w:rsidR="00110D9C" w:rsidRPr="000C255B" w:rsidRDefault="00437801" w:rsidP="00437801">
      <w:pPr>
        <w:pStyle w:val="NormalHanging12a"/>
        <w:ind w:hanging="570"/>
      </w:pPr>
      <w:r w:rsidRPr="000C255B">
        <w:t>11.</w:t>
      </w:r>
      <w:r w:rsidRPr="000C255B">
        <w:tab/>
      </w:r>
      <w:r w:rsidR="00110D9C" w:rsidRPr="000C255B">
        <w:t>επισημαίνει ότι τα επιτόκια που προσφέρονται στα νοικοκυριά και τις ΜΜΕ σε όλα τα κράτη μέλη είναι πολύ άνισα· προτρέπει τα θεσμικά και λοιπά όργανα της ΕΕ να εξετάσουν μέτρα για να βελτιώσουν τις επιλογές των καταναλωτών και τον ανταγωνισμό, καθώς και να ελαφρύνουν τον φόρτο των κατόχων στεγαστικών δανείων και των ΜΜΕ στα κράτη μέλη με τα υψηλότερα ποσοστά δανείων, προκειμένου να διασφαλίσουν την πρόσβαση όλων των πολιτών και επιχειρήσεων στα κεφάλαια που χρειάζονται τόσο πολύ σε δίκαιες και ανταγωνιστικές τιμές·</w:t>
      </w:r>
    </w:p>
    <w:p w:rsidR="00110D9C" w:rsidRPr="000C255B" w:rsidRDefault="00437801" w:rsidP="00437801">
      <w:pPr>
        <w:pStyle w:val="NormalHanging12a"/>
        <w:ind w:hanging="570"/>
      </w:pPr>
      <w:r w:rsidRPr="000C255B">
        <w:lastRenderedPageBreak/>
        <w:t>12.</w:t>
      </w:r>
      <w:r w:rsidRPr="000C255B">
        <w:tab/>
      </w:r>
      <w:r w:rsidR="00110D9C" w:rsidRPr="000C255B">
        <w:t>επισημαίνει τον ρόλο του τραπεζικού τομέα στη στήριξη της μετάβασης σε μια ψηφιοποιημένη οικονομία με ουδέτερο ισοζύγιο άνθρακα, στη διοχέτευση κεφαλαίων σε ανανεώσιμες πηγές ενέργειας και στη στήριξη της επίτευξης των στόχων της Πράσινης Συμφωνίας της ΕΕ και του νομοθετήματος της ΕΕ για το κλίμα</w:t>
      </w:r>
      <w:r w:rsidR="00110D9C" w:rsidRPr="000C255B">
        <w:rPr>
          <w:rStyle w:val="FootnoteReference"/>
        </w:rPr>
        <w:footnoteReference w:id="7"/>
      </w:r>
      <w:r w:rsidR="00110D9C" w:rsidRPr="000C255B">
        <w:t>· σημειώνει ότι οι τράπεζες της ΕΕ εξακολουθούν να μειώνουν την έκθεσή τους σε ενεργοβόρες επιχειρήσεις και επιχειρήσεις ορυκτών καυσίμων, και σημειώνει τους διάφορους παράγοντες που επηρεάζουν τη χρηματοπιστωτική σταθερότητα, συμπεριλαμβανομένων των στοιχείων ενεργητικού που συνδέονται με ορυκτά καύσιμα· αναμένει τη δημοσίευση των εκθέσεων της ΕΑΤ, οι οποίες προβλέπεται να δημοσιευτούν έως το τέλος του 2024 και του 2025, σχετικά με τα κρίσιμα ζητήματα που απορρέουν από την επικινδυνότητα των ανοιγμάτων των ιδρυμάτων σε περιβαλλοντικά, κοινωνικά και σχετικά με τη διακυβέρνηση (ΠΚΔ) περιουσιακά στοιχεία και τις δυνητικές επιπτώσεις της προσαρμοσμένης προληπτικής αντιμετώπισης των εν λόγω ανοιγμάτων·</w:t>
      </w:r>
    </w:p>
    <w:p w:rsidR="00110D9C" w:rsidRPr="000C255B" w:rsidRDefault="00437801" w:rsidP="00437801">
      <w:pPr>
        <w:pStyle w:val="NormalHanging12a"/>
        <w:ind w:hanging="570"/>
      </w:pPr>
      <w:r w:rsidRPr="000C255B">
        <w:t>13.</w:t>
      </w:r>
      <w:r w:rsidRPr="000C255B">
        <w:tab/>
      </w:r>
      <w:r w:rsidR="00110D9C" w:rsidRPr="000C255B">
        <w:t>εκφράζει τη λύπη του για τη μη διασφάλιση της ισορροπημένης εκπροσώπησης των φύλων από τα χρηματοπιστωτικά ιδρύματα, ιδίως στα διοικητικά τους όργανα· τονίζει ότι η ισόρροπη εκπροσώπηση των φύλων στα συμβούλια και στο εργατικό δυναμικό εξασφαλίζει τόσο κοινωνικά όσο και οικονομικά οφέλη· καλεί τα χρηματοπιστωτικά ιδρύματα να επικαιροποιούν τακτικά τις πολιτικές τους για την πολυμορφία και την ένταξη και να συμβάλλουν στην προώθηση υγιών εργασιακών νοοτροπιών που δίνουν προτεραιότητα στη συμμετοχικότητα· καλεί τις εποπτικές αρχές να κάνουν χρήση των εποπτικών εξουσιών τους για την αντιμετώπιση της έλλειψης διαφορετικότητας και ισορροπημένης εκπροσώπησης των φύλων στα διοικητικά όργανα των χρηματοπιστωτικών ιδρυμάτων·</w:t>
      </w:r>
    </w:p>
    <w:p w:rsidR="00110D9C" w:rsidRPr="000C255B" w:rsidRDefault="00437801" w:rsidP="00437801">
      <w:pPr>
        <w:pStyle w:val="NormalHanging12a"/>
        <w:ind w:hanging="570"/>
      </w:pPr>
      <w:r w:rsidRPr="000C255B">
        <w:t>14.</w:t>
      </w:r>
      <w:r w:rsidRPr="000C255B">
        <w:tab/>
      </w:r>
      <w:r w:rsidR="00110D9C" w:rsidRPr="000C255B">
        <w:t>εκφράζει τη λύπη του για την έλλειψη ισόρροπης εκπροσώπησης των φύλων στο διοικητικό συμβούλιο της ΕΚΤ, στο εποπτικό της συμβούλιο και στο συμβούλιο του ΕΣΕ· καλεί τους φορείς να διασφαλίσουν ότι οι μελλοντικοί διορισμοί θα γεφυρώσουν αυτό το χάσμα· υπενθυμίζει το ψήφισμα του Κοινοβουλίου της 14ης Μαρτίου 2019 που αποσκοπεί στη διασφάλιση της ισόρροπης εκπροσώπησης των φύλων στον επικείμενο κατάλογο υποψηφίων για θέσεις της ΕΕ οι οποίες άπτονται οικονομικών και νομισματικών θεμάτων, και επαναλαμβάνει τη δέσμευσή του να μην λαμβάνει υπόψη καταλόγους υποψηφίων για τους οποίους δεν έχει τηρηθεί η αρχή της ισόρροπης εκπροσώπησης των φύλων·</w:t>
      </w:r>
    </w:p>
    <w:p w:rsidR="00110D9C" w:rsidRPr="000C255B" w:rsidRDefault="00437801" w:rsidP="00437801">
      <w:pPr>
        <w:pStyle w:val="NormalHanging12a"/>
        <w:ind w:hanging="570"/>
      </w:pPr>
      <w:r w:rsidRPr="000C255B">
        <w:t>15.</w:t>
      </w:r>
      <w:r w:rsidRPr="000C255B">
        <w:tab/>
      </w:r>
      <w:r w:rsidR="00110D9C" w:rsidRPr="000C255B">
        <w:t>εκφράζει τη λύπη του για το γεγονός ότι, στο πλαίσιο της διαδικασίας επιλογής του προέδρου του εποπτικού συμβουλίου της ΕΚΤ, η ΕΚΤ αγνόησε την ανατροφοδότηση από το Κοινοβούλιο· παροτρύνει την ΕΚΤ να λάβει δεόντως υπόψη τη γνώμη του Κοινοβουλίου στις επικείμενες διαδικασίες επιλογής·</w:t>
      </w:r>
    </w:p>
    <w:p w:rsidR="00110D9C" w:rsidRPr="000C255B" w:rsidRDefault="00437801" w:rsidP="00437801">
      <w:pPr>
        <w:pStyle w:val="NormalHanging12a"/>
        <w:ind w:hanging="570"/>
      </w:pPr>
      <w:r w:rsidRPr="000C255B">
        <w:t>16.</w:t>
      </w:r>
      <w:r w:rsidRPr="000C255B">
        <w:tab/>
      </w:r>
      <w:r w:rsidR="00110D9C" w:rsidRPr="000C255B">
        <w:t xml:space="preserve">σημειώνει ότι τα ανοίγματα των τραπεζών σε εγχώριο δημόσιο χρέος παραμένουν υψηλά στην Τραπεζική Ένωση· υπενθυμίζει ότι ένας από τους κύριους στόχους της Τραπεζικής Ένωσης είναι η διάρρηξη του δεσμού μεταξύ τραπεζικών και κρατικών κινδύνων· τονίζει ότι το ζήτημα της ρυθμιστικής μεταχείρισης των κρατικών ανοιγμάτων απαιτεί ενδελεχή εξέταση εντός των διεθνών φόρουμ και θα πρέπει να συνάδει με τα διεθνή πρότυπα, και καλεί την Επιτροπή να το λάβει υπόψη κατά την εξέταση του ζητήματος αυτού σε μελλοντικές προτάσεις· συμμερίζεται την ανησυχία </w:t>
      </w:r>
      <w:r w:rsidR="00110D9C" w:rsidRPr="000C255B">
        <w:lastRenderedPageBreak/>
        <w:t>της ΕΑΤ ότι τα κρατικά ανοίγματα είναι σημαντικά για τις τράπεζες της ΕΕ και θα μπορούσαν να αποτελέσουν πηγή πιθανής ευπάθειας</w:t>
      </w:r>
      <w:r w:rsidR="00110D9C" w:rsidRPr="000C255B">
        <w:rPr>
          <w:vertAlign w:val="superscript"/>
        </w:rPr>
        <w:footnoteReference w:id="8"/>
      </w:r>
      <w:r w:rsidR="00110D9C" w:rsidRPr="000C255B">
        <w:t>·</w:t>
      </w:r>
    </w:p>
    <w:p w:rsidR="00110D9C" w:rsidRPr="000C255B" w:rsidRDefault="00437801" w:rsidP="00437801">
      <w:pPr>
        <w:pStyle w:val="NormalHanging12a"/>
        <w:ind w:hanging="570"/>
      </w:pPr>
      <w:r w:rsidRPr="000C255B">
        <w:t>17.</w:t>
      </w:r>
      <w:r w:rsidRPr="000C255B">
        <w:tab/>
      </w:r>
      <w:r w:rsidR="00110D9C" w:rsidRPr="000C255B">
        <w:t>τονίζει ότι η δημιουργία ενός ασφαλούς περιουσιακού στοιχείου της ΕΕ θα μπορούσε να συμβάλει στον μετριασμό των αρνητικών «βρόχων ανάδρασης» μεταξύ των κρατών και των εγχώριων τραπεζικών τομέων· θεωρεί ότι το NextGeneration EU παρέχει υψηλής ποιότητας και χαμηλού κινδύνου ευρωπαϊκά περιουσιακά στοιχεία, επιτρέποντας την εξισορρόπηση των κρατικών ομολόγων στους ισολογισμούς των τραπεζών·</w:t>
      </w:r>
    </w:p>
    <w:p w:rsidR="00110D9C" w:rsidRPr="000C255B" w:rsidRDefault="00110D9C" w:rsidP="00110D9C">
      <w:pPr>
        <w:pStyle w:val="NormalHanging12a"/>
        <w:spacing w:line="276" w:lineRule="auto"/>
        <w:ind w:left="0" w:firstLine="0"/>
        <w:rPr>
          <w:rStyle w:val="BoldItalic"/>
        </w:rPr>
      </w:pPr>
      <w:r w:rsidRPr="000C255B">
        <w:rPr>
          <w:rStyle w:val="BoldItalic"/>
        </w:rPr>
        <w:t>Εποπτεία</w:t>
      </w:r>
    </w:p>
    <w:p w:rsidR="00110D9C" w:rsidRPr="000C255B" w:rsidRDefault="00437801" w:rsidP="00437801">
      <w:pPr>
        <w:pStyle w:val="NormalHanging12a"/>
        <w:ind w:hanging="570"/>
      </w:pPr>
      <w:r w:rsidRPr="000C255B">
        <w:t>18.</w:t>
      </w:r>
      <w:r w:rsidRPr="000C255B">
        <w:tab/>
      </w:r>
      <w:r w:rsidR="00110D9C" w:rsidRPr="000C255B">
        <w:t>σημειώνει ότι ο δείκτης κεφαλαίου κοινών μετοχών της κατηγορίας 1 αυξήθηκε το δεύτερο τρίμηνο του 2023 στο 15,72 % (από 14,96 % στο δεύτερο τρίμηνο του 2022)· εκφράζει τη λύπη του για το γεγονός ότι ο δείκτης κάλυψης ρευστότητας μειώθηκε στο 158,00 % το δεύτερο τρίμηνο του 2023 (σε σχέση με το 164,36 % το δεύτερο τρίμηνο του 2022)</w:t>
      </w:r>
      <w:r w:rsidR="00110D9C" w:rsidRPr="000C255B">
        <w:rPr>
          <w:rStyle w:val="FootnoteReference"/>
        </w:rPr>
        <w:footnoteReference w:id="9"/>
      </w:r>
      <w:r w:rsidR="00110D9C" w:rsidRPr="000C255B">
        <w:t>·</w:t>
      </w:r>
    </w:p>
    <w:p w:rsidR="00110D9C" w:rsidRPr="000C255B" w:rsidRDefault="00437801" w:rsidP="00437801">
      <w:pPr>
        <w:pStyle w:val="NormalHanging12a"/>
        <w:ind w:hanging="570"/>
      </w:pPr>
      <w:r w:rsidRPr="000C255B">
        <w:t>19.</w:t>
      </w:r>
      <w:r w:rsidRPr="000C255B">
        <w:tab/>
      </w:r>
      <w:r w:rsidR="00110D9C" w:rsidRPr="000C255B">
        <w:t>σημειώνει ότι το ποσοστό των μη εξυπηρετούμενων δανείων (ΜΕΔ) μειώθηκε περαιτέρω, και ζητεί περαιτέρω μείωση· υπενθυμίζει ότι η μείωση των κινδύνων στον τραπεζικό τομέα θα συμβάλει σε μια πιο σταθερή, πιο ισχυρή και προσανατολισμένη στην οικονομική ανάπτυξη Τραπεζική Ένωση· καλεί τις εποπτικές αρχές να παρακολουθούν επίσης την ανάπτυξη των δανείων της φάσης 2· σημειώνει την έλλειψη προόδου όσον αφορά την πρόταση οδηγίας σχετικά με τη διαδικασία ταχείας εξωδικαστικής αναγκαστικής εκτέλεσης επί εξασφαλίσεων, η οποία αποσκοπεί στην παροχή στις τράπεζες, υπό ορισμένες προϋποθέσεις, ενός μηχανισμού για την επιτάχυνση της ανάκτησης αξίας από εξασφαλισμένα δάνεια μέσω εξωδικαστικής εκτέλεσης διαδικασιών, προκειμένου να αναπτυχθούν περαιτέρω οι δευτερογενείς αγορές για τα ΜΕΔ· επισημαίνει ότι η οδηγία για τους διαχειριστές πιστώσεων και τους αγοραστές πιστώσεων</w:t>
      </w:r>
      <w:r w:rsidR="00110D9C" w:rsidRPr="000C255B">
        <w:rPr>
          <w:rStyle w:val="FootnoteReference"/>
        </w:rPr>
        <w:footnoteReference w:id="10"/>
      </w:r>
      <w:r w:rsidR="00110D9C" w:rsidRPr="000C255B">
        <w:t xml:space="preserve"> έχει καταστήσει τη δευτερογενή αγορά ΜΕΔ πιο αποτελεσματική, θεσπίζοντας παράλληλα υψηλά επίπεδα προστασίας για τους οφειλέτες· υπογραμμίζει ότι η πώληση ενός ΜΕΔ αποτελεί τη δεύτερη καλύτερη επιλογή μετά την επαναφορά της πίστωσης σε εξυπηρετούμενη κατάσταση·</w:t>
      </w:r>
    </w:p>
    <w:p w:rsidR="00110D9C" w:rsidRPr="000C255B" w:rsidRDefault="00437801" w:rsidP="00437801">
      <w:pPr>
        <w:pStyle w:val="NormalHanging12a"/>
        <w:ind w:hanging="570"/>
      </w:pPr>
      <w:r w:rsidRPr="000C255B">
        <w:t>20.</w:t>
      </w:r>
      <w:r w:rsidRPr="000C255B">
        <w:tab/>
      </w:r>
      <w:r w:rsidR="00110D9C" w:rsidRPr="000C255B">
        <w:t>λαμβάνει υπό σημείωση την επιδείνωση της μακροοικονομικής κατάστασης· επισημαίνει ότι οι τράπεζες της ΕΕ θα πρέπει να προετοιμαστούν για πιθανή επιδείνωση της ποιότητας των περιουσιακών στοιχείων· τονίζει, ως εκ τούτου, τη σημασία της συνετής διαχείρισης κινδύνων και των επαρκών προβλέψεων· καλεί την Επιτροπή, καθώς και τις εθνικές και ενωσιακές εποπτικές αρχές να προετοιμαστούν για πιθανή επιδείνωση της ποιότητας των περιουσιακών στοιχείων·</w:t>
      </w:r>
    </w:p>
    <w:p w:rsidR="00110D9C" w:rsidRPr="000C255B" w:rsidRDefault="00437801" w:rsidP="00437801">
      <w:pPr>
        <w:pStyle w:val="NormalHanging12a"/>
        <w:ind w:hanging="570"/>
      </w:pPr>
      <w:r w:rsidRPr="000C255B">
        <w:t>21.</w:t>
      </w:r>
      <w:r w:rsidRPr="000C255B">
        <w:tab/>
      </w:r>
      <w:r w:rsidR="00110D9C" w:rsidRPr="000C255B">
        <w:t xml:space="preserve">σημειώνει ότι ο τελευταίος γύρος χρεοκοπιών τραπεζών στις ΗΠΑ και στην Ελβετία έχει δείξει τα τρωτά σημεία του χρηματοπιστωτικού συστήματος, ιδίως σε αυτές τις </w:t>
      </w:r>
      <w:r w:rsidR="00110D9C" w:rsidRPr="000C255B">
        <w:lastRenderedPageBreak/>
        <w:t>χώρες· επισημαίνει ότι, στο πλαίσιο αυτό, η κεφαλαιακή θέση και η κατάσταση ρευστότητας των τραπεζών της ΕΕ συνέχισαν να παραμένουν σταθερές, αποδεικνύοντας έτσι την ανθεκτικότητα του τραπεζικού τομέα της ΕΕ· υπογραμμίζει ότι η ΕΕ και οι εθνικές εποπτικές αρχές αντιμετώπισαν αυτούς τους κινδύνους και εκφράζει την ικανοποίησή του για τα αποτελέσματα της προσομοίωσης ακραίων καταστάσεων σε επίπεδο ΕΕ του 2023 και για το γεγονός ότι οι τράπεζες της ΕΕ θα μπορούσαν να αντέξουν μια οικονομική ύφεση·</w:t>
      </w:r>
    </w:p>
    <w:p w:rsidR="00110D9C" w:rsidRPr="000C255B" w:rsidRDefault="00437801" w:rsidP="00437801">
      <w:pPr>
        <w:pStyle w:val="NormalHanging12a"/>
        <w:ind w:hanging="570"/>
      </w:pPr>
      <w:r w:rsidRPr="000C255B">
        <w:t>22.</w:t>
      </w:r>
      <w:r w:rsidRPr="000C255B">
        <w:tab/>
      </w:r>
      <w:r w:rsidR="00110D9C" w:rsidRPr="000C255B">
        <w:t>καλεί τις εποπτικές αρχές να συνεχίσουν να αξιολογούν την έκθεση των τραπεζών σε κινδύνους επιτοκίου που απορρέουν από περαιτέρω αλλαγές στα επίπεδα των επιτοκίων· σημειώνει ότι η έκθεση των τραπεζών σε κίνδυνο επιτοκίου εξαρτάται από τη δομή των στοιχείων ενεργητικού και το επιχειρηματικό τους μοντέλο, ενώ περιμένει από την Επιτροπή να προβεί σε αξιολόγηση του κανονιστικού πλαισίου για τις τράπεζες· εκφράζει την ανησυχία του για το σημαντικό επίπεδο του δημόσιου χρέους στους ισολογισμούς των τραπεζών στην Τραπεζική Ένωση· τονίζει ότι το ζήτημα της ρυθμιστικής μεταχείρισης των κρατικών ανοιγμάτων απαιτεί ενδελεχή εξέταση εντός των διεθνών φόρουμ και θα πρέπει να συνάδει με τα διεθνή πρότυπα· υπενθυμίζει ότι ένας από τους κύριους στόχους της Τραπεζικής Ένωσης είναι η διάρρηξη του δεσμού μεταξύ τραπεζικών και κρατικών κινδύνων·</w:t>
      </w:r>
    </w:p>
    <w:p w:rsidR="00110D9C" w:rsidRPr="000C255B" w:rsidRDefault="00437801" w:rsidP="00437801">
      <w:pPr>
        <w:pStyle w:val="NormalHanging12a"/>
        <w:ind w:hanging="570"/>
      </w:pPr>
      <w:r w:rsidRPr="000C255B">
        <w:t>23.</w:t>
      </w:r>
      <w:r w:rsidRPr="000C255B">
        <w:tab/>
      </w:r>
      <w:r w:rsidR="00110D9C" w:rsidRPr="000C255B">
        <w:t>υπενθυμίζει ότι στην «Επισκόπηση σχετικά με τη χρηματοπιστωτική σταθερότητα για το 2023» της ΕΚΤ τονίζεται, αφενός, ότι είναι σημαντικό να ληφθεί υπόψη η επιδείνωση των τραπεζικών ισολογισμών που συνδέεται με τα αυξανόμενα επιτόκια και, αφετέρου, ότι οι μακροπροληπτικές αρχές θα πρέπει σταδιακά να ενισχύσουν τα κεφαλαιακά μέτρα και/ή τα μέτρα σχετικά με τους δανειολήπτες·</w:t>
      </w:r>
    </w:p>
    <w:p w:rsidR="00110D9C" w:rsidRPr="000C255B" w:rsidRDefault="00437801" w:rsidP="00437801">
      <w:pPr>
        <w:pStyle w:val="NormalHanging12a"/>
        <w:ind w:hanging="570"/>
      </w:pPr>
      <w:r w:rsidRPr="000C255B">
        <w:t>24.</w:t>
      </w:r>
      <w:r w:rsidRPr="000C255B">
        <w:tab/>
      </w:r>
      <w:r w:rsidR="00110D9C" w:rsidRPr="000C255B">
        <w:t>ζητεί περαιτέρω εναρμόνιση του κανονιστικού πλαισίου της ΕΕ, κατά περίπτωση, με την προώθηση της σύγκλισης μεταξύ των εθνικών αρχών και την αξιοποίηση του εποπτικού διαλόγου για την αξιολόγηση της εξέλιξης των απειλών για τον τραπεζικό τομέα·</w:t>
      </w:r>
    </w:p>
    <w:p w:rsidR="00110D9C" w:rsidRPr="000C255B" w:rsidRDefault="00437801" w:rsidP="00437801">
      <w:pPr>
        <w:pStyle w:val="NormalHanging12a"/>
        <w:ind w:hanging="570"/>
      </w:pPr>
      <w:r w:rsidRPr="000C255B">
        <w:t>25.</w:t>
      </w:r>
      <w:r w:rsidRPr="000C255B">
        <w:tab/>
      </w:r>
      <w:r w:rsidR="00110D9C" w:rsidRPr="000C255B">
        <w:t>εκφράζει την ικανοποίησή του για τη συμφωνία που επιτεύχθηκε σε διοργανικό επίπεδο για την εφαρμογή των προτύπων Βασιλείας ΙΙΙ στην ΕΕ· υπογραμμίζει ότι το πλαίσιο θα επιφέρει διαφορετικά επίπεδα αύξησης των απαιτήσεων προληπτικής εποπτείας ανάλογα με την εξάρτηση των τραπεζών από τη χρήση εσωτερικών υποδειγμάτων για τον υπολογισμό των συντελεστών στάθμισης κινδύνου τους· επισημαίνει ότι οι νέοι κανόνες ενίσχυσαν και προσδιόρισαν καλύτερα την αναλογικότητα στην τραπεζική εποπτεία και θα συνεχίσουν να αυξάνουν τη χρηματοπιστωτική σταθερότητα στην ΕΕ· υπογραμμίζει τη σημασία της ύπαρξης ίσων όρων ανταγωνισμού μεταξύ εννόμων τάξεων·</w:t>
      </w:r>
    </w:p>
    <w:p w:rsidR="00110D9C" w:rsidRPr="000C255B" w:rsidRDefault="00437801" w:rsidP="00437801">
      <w:pPr>
        <w:pStyle w:val="NormalHanging12a"/>
        <w:ind w:hanging="570"/>
      </w:pPr>
      <w:r w:rsidRPr="000C255B">
        <w:t>26.</w:t>
      </w:r>
      <w:r w:rsidRPr="000C255B">
        <w:tab/>
      </w:r>
      <w:r w:rsidR="00110D9C" w:rsidRPr="000C255B">
        <w:t>σημειώνει τις απόψεις που εκφράστηκαν από την ΕΑΤ και την ΕΚΤ σχετικά με την εισαγωγή αποκλίσεων από τη διεθνή συμφωνία στον κανονισμό για τις κεφαλαιακές απαιτήσεις</w:t>
      </w:r>
      <w:r w:rsidR="00110D9C" w:rsidRPr="000C255B">
        <w:rPr>
          <w:rStyle w:val="FootnoteReference"/>
        </w:rPr>
        <w:footnoteReference w:id="11"/>
      </w:r>
      <w:r w:rsidR="00110D9C" w:rsidRPr="000C255B">
        <w:t>·</w:t>
      </w:r>
    </w:p>
    <w:p w:rsidR="00110D9C" w:rsidRPr="000C255B" w:rsidRDefault="00437801" w:rsidP="00437801">
      <w:pPr>
        <w:pStyle w:val="NormalHanging12a"/>
        <w:ind w:hanging="570"/>
      </w:pPr>
      <w:r w:rsidRPr="000C255B">
        <w:t>27.</w:t>
      </w:r>
      <w:r w:rsidRPr="000C255B">
        <w:tab/>
      </w:r>
      <w:r w:rsidR="00110D9C" w:rsidRPr="000C255B">
        <w:t xml:space="preserve">τονίζει ότι τα κρυπτοστοιχεία δημιουργούν νέες ευκαιρίες και προκλήσεις για τις τράπεζες· σημειώνει ότι η εφαρμογή των προτύπων της Βασιλείας για τα κρυπτοστοιχεία εξακολουθεί να εκκρεμεί· εκφράζει την ικανοποίησή του για το </w:t>
      </w:r>
      <w:r w:rsidR="00110D9C" w:rsidRPr="000C255B">
        <w:lastRenderedPageBreak/>
        <w:t>μεταβατικό καθεστώς που περιλαμβάνεται ήδη στην τρέχουσα αναθεώρηση της οδηγίας για τις κεφαλαιακές απαιτήσεις</w:t>
      </w:r>
      <w:r w:rsidR="00110D9C" w:rsidRPr="000C255B">
        <w:rPr>
          <w:rStyle w:val="FootnoteReference"/>
        </w:rPr>
        <w:footnoteReference w:id="12"/>
      </w:r>
      <w:r w:rsidR="00110D9C" w:rsidRPr="000C255B">
        <w:t xml:space="preserve"> και του κανονισμού για τις κεφαλαιακές απαιτήσεις· αναμένει τη νομοθετική πρόταση της Επιτροπής έως τις 30 Ιουνίου 2025 για τη θέσπιση ειδικής προληπτικής αντιμετώπισης για ανοίγματα σε κρυπτοστοιχεία, λαμβανομένων υπόψη των προτύπων της Βασιλείας·</w:t>
      </w:r>
    </w:p>
    <w:p w:rsidR="00110D9C" w:rsidRPr="000C255B" w:rsidRDefault="00437801" w:rsidP="00437801">
      <w:pPr>
        <w:pStyle w:val="NormalHanging12a"/>
        <w:ind w:hanging="570"/>
      </w:pPr>
      <w:r w:rsidRPr="000C255B">
        <w:t>28.</w:t>
      </w:r>
      <w:r w:rsidRPr="000C255B">
        <w:tab/>
      </w:r>
      <w:r w:rsidR="00110D9C" w:rsidRPr="000C255B">
        <w:t>σημειώνει ότι ο τομέας των μη τραπεζικών χρηματοπιστωτικών διαμεσολαβητών συνεχίζει να αναπτύσσεται· τονίζει την ανάγκη να ενισχυθεί η ανθεκτικότητα των μη τραπεζικών ενδιάμεσων χρηματοπιστωτικών οργανισμών και να δημιουργηθούν ισότιμοι όροι ανταγωνισμού με τον τραπεζικό τομέα, μεταξύ άλλων μέσω της σχεδίασης σύνθετων ειδικών ρυθμιστικών και εποπτικών εργαλείων για την πρόληψη κρίσης ρευστότητας· εκφράζει την ικανοποίησή του για την έκθεση του ΔΝΤ για την παγκόσμια χρηματοπιστωτική σταθερότητα, η οποία δημοσιεύτηκε τον Απρίλιο του 2023 και η οποία εντοπίζει πιθανές πηγές κινδύνου για τον χρηματοπιστωτικό τομέα: προειδοποιεί ότι η διασύνδεση των μη τραπεζικών χρηματοπιστωτικών ιδρυμάτων με τις τράπεζες αυξάνει τον κίνδυνο μεταφοράς δυσκολιών από τα πρώτα στις δεύτερες·</w:t>
      </w:r>
    </w:p>
    <w:p w:rsidR="00110D9C" w:rsidRPr="000C255B" w:rsidRDefault="00437801" w:rsidP="00437801">
      <w:pPr>
        <w:pStyle w:val="NormalHanging12a"/>
        <w:ind w:hanging="570"/>
      </w:pPr>
      <w:r w:rsidRPr="000C255B">
        <w:t>29.</w:t>
      </w:r>
      <w:r w:rsidRPr="000C255B">
        <w:tab/>
      </w:r>
      <w:r w:rsidR="00110D9C" w:rsidRPr="000C255B">
        <w:t>τονίζει ότι είναι σημαντικό να συνδυαστεί η περαιτέρω ολοκλήρωση με επαρκείς διασφαλίσεις για την αντιμετώπιση του ζητήματος του κράτους μέλους καταγωγής και του κράτους μέλους υποδοχής με αξιόπιστο και αναλογικό τρόπο·</w:t>
      </w:r>
    </w:p>
    <w:p w:rsidR="00110D9C" w:rsidRPr="000C255B" w:rsidRDefault="00437801" w:rsidP="00437801">
      <w:pPr>
        <w:pStyle w:val="NormalHanging12a"/>
        <w:ind w:hanging="570"/>
      </w:pPr>
      <w:r w:rsidRPr="000C255B">
        <w:t>30.</w:t>
      </w:r>
      <w:r w:rsidRPr="000C255B">
        <w:tab/>
      </w:r>
      <w:r w:rsidR="00110D9C" w:rsidRPr="000C255B">
        <w:t>σημειώνει τη συμπερίληψη των χρηματοοικονομικών κινδύνων που σχετίζονται με το κλίμα και τη φύση στις εποπτικές προτεραιότητες της ΕΚΤ για τα προσεχή έτη· χαιρετίζει, μεταξύ άλλων, τη δεύτερη άσκηση προσομοίωσης ακραίων κλιματικών καταστάσεων της ΕΚΤ στο σύνολο της οικονομίας τον Σεπτέμβριο του 2023· λαμβάνει υπόψη τα συμπεράσματα της σειράς Occasional Papers της ΕΚΤ αριθ. 328 με τίτλο «Η πορεία προς το Παρίσι: άσκηση προσομοίωσης ακραίων καταστάσεων σχετικά με τη μετάβαση προς μια οικονομία μηδενικών καθαρών εκπομπών» καθώς δηλώνει ότι ο καλύτερος τρόπος για να επιτευχθεί οικονομία μηδενικών καθαρών εκπομπών για τις επιχειρήσεις, τα νοικοκυριά και τις τράπεζες στη ζώνη του ευρώ είναι να επισπευσθεί η πράσινη μετάβαση με ταχύτερο ρυθμό σε σχέση με τις τρέχουσες πολιτικές· σημειώνει ότι η ΕΚΤ λαμβάνει υπόψη τους χρηματοοικονομικούς κινδύνους που σχετίζονται με το κλίμα και τη φύση στις εποπτικές πρακτικές της, και παρακολουθεί στενά τους αυξανόμενους φυσικούς κινδύνους και τους κινδύνους μετάβασης·</w:t>
      </w:r>
    </w:p>
    <w:p w:rsidR="00110D9C" w:rsidRPr="000C255B" w:rsidRDefault="00437801" w:rsidP="00437801">
      <w:pPr>
        <w:pStyle w:val="NormalHanging12a"/>
        <w:ind w:hanging="570"/>
      </w:pPr>
      <w:r w:rsidRPr="000C255B">
        <w:t>31.</w:t>
      </w:r>
      <w:r w:rsidRPr="000C255B">
        <w:tab/>
      </w:r>
      <w:r w:rsidR="00110D9C" w:rsidRPr="000C255B">
        <w:t>λαμβάνει υπό σημείωση την πρόταση της Επιτροπής σχετικά με τη διαφάνεια, τη συγκρισιμότητα και την ποιότητα των αξιολογήσεων ΠΚΔ· σημειώνει ότι η ΕΑΤ συνιστά την ενσωμάτωση των περιβαλλοντικών και/ή κοινωνικών παραγόντων στις εξωτερικές πιστοληπτικές αξιολογήσεις ως βασικών αιτιών πιστωτικού κινδύνου, κατά περίπτωση·</w:t>
      </w:r>
    </w:p>
    <w:p w:rsidR="00110D9C" w:rsidRPr="000C255B" w:rsidRDefault="00110D9C" w:rsidP="00110D9C">
      <w:pPr>
        <w:pStyle w:val="NormalHanging12a"/>
        <w:rPr>
          <w:rStyle w:val="BoldItalic"/>
        </w:rPr>
      </w:pPr>
      <w:r w:rsidRPr="000C255B">
        <w:rPr>
          <w:rStyle w:val="BoldItalic"/>
        </w:rPr>
        <w:t>Εξυγίανση</w:t>
      </w:r>
    </w:p>
    <w:p w:rsidR="00110D9C" w:rsidRPr="000C255B" w:rsidRDefault="00437801" w:rsidP="00437801">
      <w:pPr>
        <w:pStyle w:val="NormalHanging12a"/>
        <w:ind w:hanging="570"/>
      </w:pPr>
      <w:r w:rsidRPr="000C255B">
        <w:t>32.</w:t>
      </w:r>
      <w:r w:rsidRPr="000C255B">
        <w:tab/>
      </w:r>
      <w:r w:rsidR="00110D9C" w:rsidRPr="000C255B">
        <w:t xml:space="preserve">εκφράζει την ικανοποίησή του για τις προσεγγίσεις του ΕΣΕ όσον αφορά την εμβάθυνση των αξιολογήσεων της δυνατότητας εξυγίανσης μέσω της ανάπτυξης μέτρων ποιοτικού ελέγχου για τα σχέδια εξυγίανσης και της αξιολόγησης του βαθμού </w:t>
      </w:r>
      <w:r w:rsidR="00110D9C" w:rsidRPr="000C255B">
        <w:lastRenderedPageBreak/>
        <w:t>στον οποίο τα εν λόγω σχέδια μπορούν να τεθούν σύντομα σε εφαρμογή· επισημαίνει ότι, προκειμένου τα σχέδια εξυγίανσης να συμμορφώνονται πλήρως με τις νομικές απαιτήσεις, πρέπει να περιλαμβάνουν ολοκληρωμένη αξιολόγηση για τη δυνατότητα εξυγίανσης κάθε τράπεζας, καθώς και για το κατά πόσον υπάρχουν ουσιαστικά εμπόδια στη δυνατότητα εξυγίανσης και πώς μπορούν να αρθούν τα εμπόδια αυτά, συμπεριλαμβανομένων των αλλαγών στη δομή και την οργάνωση μιας τράπεζας, εάν είναι απαραίτητο·</w:t>
      </w:r>
    </w:p>
    <w:p w:rsidR="00110D9C" w:rsidRPr="000C255B" w:rsidRDefault="00437801" w:rsidP="00437801">
      <w:pPr>
        <w:pStyle w:val="NormalHanging12a"/>
        <w:ind w:hanging="570"/>
      </w:pPr>
      <w:r w:rsidRPr="000C255B">
        <w:t>33.</w:t>
      </w:r>
      <w:r w:rsidRPr="000C255B">
        <w:tab/>
      </w:r>
      <w:r w:rsidR="00110D9C" w:rsidRPr="000C255B">
        <w:t>εκφράζει την ικανοποίησή του για το γεγονός ότι οι τράπεζες που υπάγονται στην αρμοδιότητα του ΕΣΕ έχουν σημειώσει συνολικά καλή πρόοδο ως προς τη δυνατότητα εξυγίανσης και τη δημιουργία ικανότητας απορρόφησης ζημιών· αναμένει ότι αυτή η θετική τάση θα συνεχιστεί, υπενθυμίζει δε ότι η επίτευξη της δυνατότητας εξυγίανσης για όλα τα ιδρύματα δεν θα πρέπει να αποτελεί «κινούμενο στόχο» και ότι όλες οι τράπεζες θα πρέπει να μπορούν να εξυγιανθούν πλήρως έως το τέλος του 2023· σημειώνει ότι απαιτείται περαιτέρω πρόοδος για όλες τις τράπεζες·</w:t>
      </w:r>
    </w:p>
    <w:p w:rsidR="00110D9C" w:rsidRPr="000C255B" w:rsidRDefault="00437801" w:rsidP="00437801">
      <w:pPr>
        <w:pStyle w:val="NormalHanging12a"/>
        <w:ind w:hanging="570"/>
      </w:pPr>
      <w:r w:rsidRPr="000C255B">
        <w:t>34.</w:t>
      </w:r>
      <w:r w:rsidRPr="000C255B">
        <w:tab/>
      </w:r>
      <w:r w:rsidR="00110D9C" w:rsidRPr="000C255B">
        <w:t>εκφράζει την ικανοποίησή του για την απόφαση του νέου προέδρου του ΕΣΕ να προβεί σε συνολική στρατηγική επανεξέταση και να καταρτίσει νέο σχέδιο δράσης· καλεί το ΕΣΕ να βελτιώσει περαιτέρω τη διαφάνεια των αποφάσεών του·</w:t>
      </w:r>
    </w:p>
    <w:p w:rsidR="00110D9C" w:rsidRPr="000C255B" w:rsidRDefault="00437801" w:rsidP="00437801">
      <w:pPr>
        <w:pStyle w:val="NormalHanging12a"/>
        <w:ind w:hanging="570"/>
      </w:pPr>
      <w:r w:rsidRPr="000C255B">
        <w:t>35.</w:t>
      </w:r>
      <w:r w:rsidRPr="000C255B">
        <w:tab/>
      </w:r>
      <w:r w:rsidR="00110D9C" w:rsidRPr="000C255B">
        <w:t>υπογραμμίζει τη σημασία της προστασίας της ιεράρχησης των πιστωτών στο πλαίσιο της εξυγίανσης των τραπεζών και της κίνησης διαδικασιών αφερεγγυότητας· εκφράζει την ικανοποίησή του για τη δήλωση της τραπεζικής εποπτείας της ΕΚΤ, του ΕΣΕ και της ΕΑΤ στην οποία υπογραμμίζεται ότι τα μέσα κοινών μετοχών στην ΕΕ θα απορροφήσουν τις ζημίες και ότι η απομείωση του πρόσθετου κεφαλαίου της κατηγορίας 1 θα μπορεί να πραγματοποιηθεί μόνον εφόσον έχουν χρησιμοποιηθεί πλήρως τα μέσα κοινών μετοχών· υπενθυμίζει την ανάγκη, όπως εκφράστηκε από τον πρόεδρο του ΕΣΕ, να τηρείται πλήρως και ανεπιφύλακτα η ιεραρχία απομείωσης σε περίπτωση πτώχευσης τραπεζών·</w:t>
      </w:r>
    </w:p>
    <w:p w:rsidR="00110D9C" w:rsidRPr="000C255B" w:rsidRDefault="00437801" w:rsidP="00437801">
      <w:pPr>
        <w:pStyle w:val="NormalHanging12a"/>
        <w:ind w:hanging="570"/>
      </w:pPr>
      <w:r w:rsidRPr="000C255B">
        <w:t>36.</w:t>
      </w:r>
      <w:r w:rsidRPr="000C255B">
        <w:tab/>
      </w:r>
      <w:r w:rsidR="00110D9C" w:rsidRPr="000C255B">
        <w:t>σημειώνει ότι τα ορυκτά καύσιμα είναι ο κύριος παράγοντας επιτάχυνσης της κλιματικής αλλαγής και ότι πολλά στοιχεία ενεργητικού που συνδέονται με ορυκτά καύσιμα θα πρέπει να εγκαταλειφθούν πριν από το τέλος της οικονομικής τους ζωής, χάνοντας όλη την αξία τους με αποτέλεσμα να καταστούν μη αξιοποιήσιμα στοιχεία ενεργητικού·</w:t>
      </w:r>
    </w:p>
    <w:p w:rsidR="00110D9C" w:rsidRPr="000C255B" w:rsidRDefault="00437801" w:rsidP="00437801">
      <w:pPr>
        <w:pStyle w:val="NormalHanging12a"/>
        <w:ind w:hanging="570"/>
      </w:pPr>
      <w:r w:rsidRPr="000C255B">
        <w:t>37.</w:t>
      </w:r>
      <w:r w:rsidRPr="000C255B">
        <w:tab/>
      </w:r>
      <w:r w:rsidR="00110D9C" w:rsidRPr="000C255B">
        <w:t>σημειώνει την πρόταση μεταρρύθμισης του πλαισίου για τη διαχείριση κρίσεων και την ασφάλιση των καταθέσεων (CMDI) κατόπιν εκκλήσεων του Κοινοβουλίου· ζητεί να διευρυνθεί το πεδίο εφαρμογής της εξυγίανσης, να αποσαφηνιστεί η εκτίμηση του δημόσιου συμφέροντος, να προστατευτούν οι φορολογούμενοι ώστε να μην επωμιστούν το κόστος της χρεοκοπίας των τραπεζών και να περιοριστεί το πεδίο εφαρμογής των κρατικών ενισχύσεων, καθώς και την άμβλυνση όλων των μέτρων που θα μπορούσαν να δημιουργήσουν υπερβολικό ηθικό κίνδυνο· ζητεί την ταχεία και αποτελεσματική έγκριση της αναθεώρησης του πλαισίου CMDI·</w:t>
      </w:r>
    </w:p>
    <w:p w:rsidR="00110D9C" w:rsidRPr="000C255B" w:rsidRDefault="00437801" w:rsidP="00437801">
      <w:pPr>
        <w:pStyle w:val="NormalHanging12a"/>
        <w:ind w:hanging="570"/>
      </w:pPr>
      <w:r w:rsidRPr="000C255B">
        <w:t>38.</w:t>
      </w:r>
      <w:r w:rsidRPr="000C255B">
        <w:tab/>
      </w:r>
      <w:r w:rsidR="00110D9C" w:rsidRPr="000C255B">
        <w:t>σημειώνει ότι μια προβληματική τράπεζα υποβάλλεται σε εξυγίανση μόνον όταν δεν μπορεί να υποβληθεί σε συνήθεις διαδικασίες αφερεγγυότητας χωρίς να ζημιωθεί το δημόσιο συμφέρον ή να προκληθεί χρηματοπιστωτική αστάθεια· σημειώνει επίσης ότι οι προτάσεις για μελλοντική μεταρρύθμιση περιλαμβάνουν την παροχή στις μικρές και μεσαίες τράπεζες με θετική εκτίμηση δημόσιου συμφέροντος πρόσβασης στο πλαίσιο εξυγίανσης σε επίπεδο ΕΕ, υπό την προϋπόθεση ότι συμμορφώνονται με τις προϋποθέσεις πρόσβασης στο Ενιαίο Ταμείο Εξυγίανσης·</w:t>
      </w:r>
    </w:p>
    <w:p w:rsidR="00110D9C" w:rsidRPr="000C255B" w:rsidRDefault="00437801" w:rsidP="00437801">
      <w:pPr>
        <w:pStyle w:val="NormalHanging12a"/>
        <w:ind w:hanging="570"/>
      </w:pPr>
      <w:r w:rsidRPr="000C255B">
        <w:lastRenderedPageBreak/>
        <w:t>39.</w:t>
      </w:r>
      <w:r w:rsidRPr="000C255B">
        <w:tab/>
      </w:r>
      <w:r w:rsidR="00110D9C" w:rsidRPr="000C255B">
        <w:t>επισημαίνει τον ρόλο του ΕΣΕ και των χρηματοδοτούμενων από τον κλάδο διχτυών ασφαλείας στην προστασία των φορολογουμένων από την ανάληψη του κόστους των μέτρων διάσωσης· πιστεύει ότι οι συνεισφορές στα χρηματοδοτούμενα από τον κλάδο δίχτυα ασφαλείας πρέπει πάντα να υπολογίζονται κατ’ αναλογία προς τον κίνδυνο που αντιπροσωπεύει το ίδρυμα· εκφράζει τη λύπη του για το γεγονός ότι, παρά την πολιτική συμφωνία τον Νοέμβριο του 2020 σχετικά με την έγκαιρη θέσπιση, ο μηχανισμός ασφάλειας του Ενιαίου Ταμείου Εξυγίανσης (ΕΤΕ), που συνίσταται σε μια πιστωτική γραμμή από τον Ευρωπαϊκό Μηχανισμό Σταθερότητας (ΕΜΣ), δεν έχει τεθεί ακόμη σε εφαρμογή λόγω των καθυστερήσεων στη διαδικασία επικύρωσης της τροποποιητικής συμφωνίας της Συνθήκης για τη θέσπιση του Ευρωπαϊκού Μηχανισμού Σταθερότητας (ΕΜΣ)· τονίζει τη σημασία του ΕΤΕ για τη διασφάλιση ενός ισχυρού και αξιόπιστου πλαισίου διαχείρισης κρίσεων· ζητεί την πλήρη επικύρωση της τροποποιητικής συμφωνίας της Συνθήκης ΕΜΣ από όλα τα κράτη μέλη, συμπεριλαμβανομένης της θέσπισης ενός κοινού μηχανισμού ασφαλείας για το ΕΤΕ·</w:t>
      </w:r>
    </w:p>
    <w:p w:rsidR="00110D9C" w:rsidRPr="000C255B" w:rsidRDefault="00437801" w:rsidP="00437801">
      <w:pPr>
        <w:pStyle w:val="NormalHanging12a"/>
        <w:ind w:hanging="570"/>
      </w:pPr>
      <w:r w:rsidRPr="000C255B">
        <w:t>40.</w:t>
      </w:r>
      <w:r w:rsidRPr="000C255B">
        <w:tab/>
      </w:r>
      <w:r w:rsidR="00110D9C" w:rsidRPr="000C255B">
        <w:t>υπενθυμίζει ότι, μετά την εφαρμογή απόφασης εξυγίανσης, οι τράπεζες πρέπει να συνεχίσουν να εκπληρώνουν τις υποχρεώσεις τους και να επιτελούν τις βασικές λειτουργίες τους· ανησυχεί για το γεγονός ότι οι τράπεζες ενδέχεται να αντιμετωπίσουν ακραίες συνθήκες ρευστότητας κατά την εξυγίανση αμέσως μετά την ανάκτηση της πρόσβασης στην αγορά· καλεί τα θεσμικά όργανα της ΕΕ να συμφωνήσουν σε μια λύση που θα παρέχει εμπιστοσύνη και θα ενισχύει την προβλεψιμότητα·</w:t>
      </w:r>
    </w:p>
    <w:p w:rsidR="00110D9C" w:rsidRPr="000C255B" w:rsidRDefault="00110D9C" w:rsidP="00110D9C">
      <w:pPr>
        <w:pStyle w:val="NormalHanging12a"/>
        <w:rPr>
          <w:rStyle w:val="BoldItalic"/>
        </w:rPr>
      </w:pPr>
      <w:r w:rsidRPr="000C255B">
        <w:rPr>
          <w:rStyle w:val="BoldItalic"/>
        </w:rPr>
        <w:t>Ασφάλιση καταθέσεων</w:t>
      </w:r>
    </w:p>
    <w:p w:rsidR="00110D9C" w:rsidRPr="000C255B" w:rsidRDefault="00437801" w:rsidP="00437801">
      <w:pPr>
        <w:pStyle w:val="NormalHanging12a"/>
        <w:ind w:hanging="570"/>
      </w:pPr>
      <w:r w:rsidRPr="000C255B">
        <w:t>41.</w:t>
      </w:r>
      <w:r w:rsidRPr="000C255B">
        <w:tab/>
      </w:r>
      <w:r w:rsidR="00110D9C" w:rsidRPr="000C255B">
        <w:t>υποστηρίζει τις εκκλήσεις της διαπραγματευτικής ομάδας του Ευρωπαϊκού Κοινοβουλίου για το ΕΣΑΚ, από κοινού με τους συντονιστές και τον πρόεδρο της επιτροπής ECON στη δήλωση της 7ης Δεκεμβρίου 2022, για μια φιλόδοξη αναθεώρηση του πλαισίου CMDI, η οποία μπορεί να συμβάλει στην υπέρβαση των εμποδίων για τη δημιουργία του ΕΣΑΚ και στην επανάληψη των διαπραγματεύσεων για το ΕΣΑΚ· συμφωνεί με την έκκληση της ΕΚΤ για την επανέναρξη των εργασιών για τη δημιουργία του ΕΣΑΚ·</w:t>
      </w:r>
    </w:p>
    <w:p w:rsidR="00110D9C" w:rsidRPr="000C255B" w:rsidRDefault="00437801" w:rsidP="00437801">
      <w:pPr>
        <w:pStyle w:val="NormalHanging12a"/>
        <w:ind w:hanging="570"/>
      </w:pPr>
      <w:r w:rsidRPr="000C255B">
        <w:t>42.</w:t>
      </w:r>
      <w:r w:rsidRPr="000C255B">
        <w:tab/>
      </w:r>
      <w:r w:rsidR="00110D9C" w:rsidRPr="000C255B">
        <w:t>εκφράζει την ικανοποίησή του για το νομοθετικό έργο σε κοινοβουλευτικό επίπεδο σχετικά με την πρόταση για το ΕΣΑΚ, έργο που διεξάγεται από τον Δεκέμβριο του 2022, με τη δήλωση της διαπραγματευτικής ομάδας του Κοινοβουλίου για το ΕΣΑΚ· επαναλαμβάνει τη δέσμευση του Κοινοβουλίου να εργαστεί για την επίτευξη συμφωνίας για ένα ΕΣΑΚ· καλεί τους συννομοθέτες να καταβάλουν προσπάθειες για τη θέσπιση ενός ΕΣΑΚ που να είναι ρεαλιστικό, αξιόπιστο και σταθερό·</w:t>
      </w:r>
    </w:p>
    <w:p w:rsidR="00110D9C" w:rsidRPr="000C255B" w:rsidRDefault="00437801" w:rsidP="00437801">
      <w:pPr>
        <w:widowControl/>
        <w:spacing w:after="240"/>
        <w:ind w:left="567" w:hanging="570"/>
      </w:pPr>
      <w:r w:rsidRPr="000C255B">
        <w:t>43.</w:t>
      </w:r>
      <w:r w:rsidRPr="000C255B">
        <w:tab/>
      </w:r>
      <w:r w:rsidR="00110D9C" w:rsidRPr="000C255B">
        <w:t>εκφράζει την ικανοποίησή του για τις προσπάθειες της Επιτροπής να αποσαφηνίσει το πεδίο εφαρμογής της προστασίας των καταθετών και να ενισχύσει τη σύγκλιση μέσω της μεταρρύθμισης της οδηγίας 2014/49/ΕΕ περί των συστημάτων εγγύησης των καταθέσεων ως μέρος της επανεξέτασης του πλαισίου CMDI</w:t>
      </w:r>
      <w:r w:rsidR="00110D9C" w:rsidRPr="000C255B">
        <w:rPr>
          <w:vertAlign w:val="superscript"/>
        </w:rPr>
        <w:footnoteReference w:id="13"/>
      </w:r>
      <w:r w:rsidR="00110D9C" w:rsidRPr="000C255B">
        <w:t>· υπογραμμίζει ότι, παρόλο που η επανεξέταση του πλαισίου CMDI δεν μπορεί να θεωρηθεί υποκατάστατο του ΕΣΑΚ, ένα πιο εναρμονισμένο πλαίσιο μπορεί να συμβάλει στην υπέρβαση των εμποδίων στη δημιουργία του ΕΣΑΚ· τονίζει τη σημασία της αναλογικότητας του κινδύνου των συνεισφορών στα συστήματα εγγύησης των καταθέσεων·</w:t>
      </w:r>
    </w:p>
    <w:p w:rsidR="00110D9C" w:rsidRPr="000C255B" w:rsidRDefault="00437801" w:rsidP="00437801">
      <w:pPr>
        <w:pStyle w:val="NormalHanging12a"/>
        <w:ind w:hanging="570"/>
      </w:pPr>
      <w:r w:rsidRPr="000C255B">
        <w:t>44.</w:t>
      </w:r>
      <w:r w:rsidRPr="000C255B">
        <w:tab/>
      </w:r>
      <w:r w:rsidR="00110D9C" w:rsidRPr="000C255B">
        <w:t xml:space="preserve">υπογραμμίζει την ανάγκη για ένα ολοκληρωμένο ΕΣΑΚ με συνεισφορές βάσει κινδύνου που θα επιτρέπει τον επιμερισμό των ζημιών· ζητεί να ληφθούν υπόψη τα </w:t>
      </w:r>
      <w:r w:rsidR="00110D9C" w:rsidRPr="000C255B">
        <w:lastRenderedPageBreak/>
        <w:t>θεσμικά συστήματα προστασίας· προτείνει να συγκεντρωθεί καταρχάς ρευστότητα και σταδιακά να δημιουργηθεί ένα ταμείο της ΕΕ·</w:t>
      </w:r>
    </w:p>
    <w:p w:rsidR="00110D9C" w:rsidRPr="000C255B" w:rsidRDefault="00437801" w:rsidP="00437801">
      <w:pPr>
        <w:pStyle w:val="NormalHanging12a"/>
        <w:ind w:hanging="570"/>
      </w:pPr>
      <w:r w:rsidRPr="000C255B">
        <w:t>45.</w:t>
      </w:r>
      <w:r w:rsidRPr="000C255B">
        <w:tab/>
      </w:r>
      <w:r w:rsidR="00110D9C" w:rsidRPr="000C255B">
        <w:t>ζητεί να ληφθούν υπόψη τα θεσμικά συστήματα προστασίας στο πλαίσιο του ΕΣΑΚ, ιδίως η επίδρασή τους στον περιορισμό των κινδύνων, και παράλληλα να διατηρηθούν οι ίσοι όροι ανταγωνισμού εντός της ενιαίας αγοράς·</w:t>
      </w:r>
    </w:p>
    <w:p w:rsidR="00110D9C" w:rsidRPr="000C255B" w:rsidRDefault="00437801" w:rsidP="00437801">
      <w:pPr>
        <w:pStyle w:val="NormalHanging12a"/>
        <w:ind w:hanging="570"/>
      </w:pPr>
      <w:r w:rsidRPr="000C255B">
        <w:t>46.</w:t>
      </w:r>
      <w:r w:rsidRPr="000C255B">
        <w:tab/>
      </w:r>
      <w:r w:rsidR="00110D9C" w:rsidRPr="000C255B">
        <w:t>υπενθυμίζει ότι ένας από τους κύριους στόχους της Τραπεζικής Ένωσης είναι η διάρρηξη του δεσμού μεταξύ τραπεζικών και κρατικών κινδύνων· σημειώνει ότι τα ανοίγματα των τραπεζών σε εγχώριο δημόσιο χρέος παραμένουν υψηλά στην Τραπεζική Ένωση· συμμερίζεται την ανησυχία της ΕΑΤ ότι τα κρατικά ανοίγματα είναι σημαντικά για τις τράπεζες της ΕΕ και θα μπορούσαν να αποτελέσουν πηγή πιθανής ευπάθειας· τονίζει ότι το ζήτημα της ρυθμιστικής μεταχείρισης των κρατικών ανοιγμάτων θα πρέπει να συνάδει με τα διεθνή πρότυπα, και καλεί την Επιτροπή να το λάβει υπόψη κατά την εξέταση του ζητήματος αυτού σε μελλοντικές προτάσεις·</w:t>
      </w:r>
    </w:p>
    <w:p w:rsidR="00110D9C" w:rsidRPr="000C255B" w:rsidRDefault="00437801" w:rsidP="00437801">
      <w:pPr>
        <w:pStyle w:val="NormalHanging12a"/>
        <w:ind w:hanging="570"/>
      </w:pPr>
      <w:r w:rsidRPr="000C255B">
        <w:t>47.</w:t>
      </w:r>
      <w:r w:rsidRPr="000C255B">
        <w:tab/>
      </w:r>
      <w:r w:rsidR="00110D9C" w:rsidRPr="000C255B">
        <w:t>εκφράζει την ικανοποίησή του για τη σημαντική πρόοδο που έχει σημειωθεί από το 2015 όσον αφορά τη μείωση των κινδύνων· σημειώνει, εντούτοις, την περιορισμένη πρόοδο όσον αφορά τον επιμερισμό του κινδύνου· σημειώνει, ωστόσο, ότι η προσήκουσα και αποτελεσματική μείωση των κινδύνου είναι απαραίτητη για την επιτυχία της Τραπεζικής Ένωσης·</w:t>
      </w:r>
    </w:p>
    <w:p w:rsidR="00110D9C" w:rsidRPr="000C255B" w:rsidRDefault="00110D9C" w:rsidP="00110D9C">
      <w:pPr>
        <w:spacing w:after="240"/>
        <w:ind w:left="567" w:hanging="567"/>
        <w:jc w:val="center"/>
        <w:rPr>
          <w:color w:val="000000"/>
        </w:rPr>
      </w:pPr>
      <w:r w:rsidRPr="000C255B">
        <w:rPr>
          <w:color w:val="000000"/>
        </w:rPr>
        <w:t>°</w:t>
      </w:r>
    </w:p>
    <w:p w:rsidR="00110D9C" w:rsidRPr="000C255B" w:rsidRDefault="00110D9C" w:rsidP="00110D9C">
      <w:pPr>
        <w:spacing w:after="240"/>
        <w:ind w:left="567" w:hanging="567"/>
        <w:jc w:val="center"/>
        <w:rPr>
          <w:color w:val="000000"/>
        </w:rPr>
      </w:pPr>
      <w:r w:rsidRPr="000C255B">
        <w:rPr>
          <w:color w:val="000000"/>
        </w:rPr>
        <w:t>°</w:t>
      </w:r>
      <w:r w:rsidRPr="000C255B">
        <w:rPr>
          <w:color w:val="000000"/>
        </w:rPr>
        <w:tab/>
        <w:t>°</w:t>
      </w:r>
    </w:p>
    <w:p w:rsidR="00110D9C" w:rsidRPr="000C255B" w:rsidRDefault="00437801" w:rsidP="00437801">
      <w:pPr>
        <w:pStyle w:val="NormalHanging12a"/>
        <w:ind w:hanging="570"/>
      </w:pPr>
      <w:r w:rsidRPr="000C255B">
        <w:t>48.</w:t>
      </w:r>
      <w:r w:rsidRPr="000C255B">
        <w:tab/>
      </w:r>
      <w:r w:rsidR="00110D9C" w:rsidRPr="000C255B">
        <w:t>αναθέτει στην Πρόεδρό του να διαβιβάσει το παρόν ψήφισμα στο Συμβούλιο, στην Επιτροπή, στην Ευρωπαϊκή Κεντρική Τράπεζα, στο Ενιαίο Συμβούλιο Εξυγίανσης και στην Ευρωπαϊκή Αρχή Τραπεζών.</w:t>
      </w:r>
    </w:p>
    <w:p w:rsidR="00E365E1" w:rsidRPr="000C255B" w:rsidRDefault="00E365E1" w:rsidP="00400A3F">
      <w:bookmarkStart w:id="9" w:name="TextBodyEnd"/>
      <w:bookmarkEnd w:id="9"/>
    </w:p>
    <w:sectPr w:rsidR="00E365E1" w:rsidRPr="000C255B" w:rsidSect="000C25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A3F" w:rsidRPr="000C255B" w:rsidRDefault="00400A3F">
      <w:r w:rsidRPr="000C255B">
        <w:separator/>
      </w:r>
    </w:p>
  </w:endnote>
  <w:endnote w:type="continuationSeparator" w:id="0">
    <w:p w:rsidR="00400A3F" w:rsidRPr="000C255B" w:rsidRDefault="00400A3F">
      <w:r w:rsidRPr="000C25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A3F" w:rsidRPr="000C255B" w:rsidRDefault="00400A3F">
      <w:r w:rsidRPr="000C255B">
        <w:separator/>
      </w:r>
    </w:p>
  </w:footnote>
  <w:footnote w:type="continuationSeparator" w:id="0">
    <w:p w:rsidR="00400A3F" w:rsidRPr="000C255B" w:rsidRDefault="00400A3F">
      <w:r w:rsidRPr="000C255B">
        <w:continuationSeparator/>
      </w:r>
    </w:p>
  </w:footnote>
  <w:footnote w:id="1">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Κείμενα που εγκρίθηκαν, P9_TA(2023)0270.</w:t>
      </w:r>
    </w:p>
  </w:footnote>
  <w:footnote w:id="2">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007811FF" w:rsidRPr="00437801">
        <w:rPr>
          <w:sz w:val="24"/>
          <w:szCs w:val="24"/>
          <w:lang w:val="el-GR"/>
        </w:rPr>
        <w:t xml:space="preserve">ΕΕ </w:t>
      </w:r>
      <w:r w:rsidR="007811FF" w:rsidRPr="00437801">
        <w:rPr>
          <w:sz w:val="24"/>
          <w:szCs w:val="24"/>
        </w:rPr>
        <w:t>C</w:t>
      </w:r>
      <w:r w:rsidR="007811FF" w:rsidRPr="00437801">
        <w:rPr>
          <w:sz w:val="24"/>
          <w:szCs w:val="24"/>
          <w:lang w:val="el-GR"/>
        </w:rPr>
        <w:t xml:space="preserve"> 494 της 8.12.2021, σ. 118.</w:t>
      </w:r>
    </w:p>
  </w:footnote>
  <w:footnote w:id="3">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007811FF" w:rsidRPr="00437801">
        <w:rPr>
          <w:sz w:val="24"/>
          <w:szCs w:val="24"/>
          <w:lang w:val="el-GR"/>
        </w:rPr>
        <w:t xml:space="preserve">ΕΕ </w:t>
      </w:r>
      <w:r w:rsidR="007811FF" w:rsidRPr="00437801">
        <w:rPr>
          <w:sz w:val="24"/>
          <w:szCs w:val="24"/>
        </w:rPr>
        <w:t>C</w:t>
      </w:r>
      <w:r w:rsidR="007811FF" w:rsidRPr="00437801">
        <w:rPr>
          <w:sz w:val="24"/>
          <w:szCs w:val="24"/>
          <w:lang w:val="el-GR"/>
        </w:rPr>
        <w:t xml:space="preserve"> 23 της 21.1.2021, σ. 105</w:t>
      </w:r>
      <w:r w:rsidRPr="00437801">
        <w:rPr>
          <w:sz w:val="24"/>
          <w:szCs w:val="24"/>
          <w:lang w:val="el-GR"/>
        </w:rPr>
        <w:t>.</w:t>
      </w:r>
    </w:p>
  </w:footnote>
  <w:footnote w:id="4">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De Vito, L. et al., </w:t>
      </w:r>
      <w:hyperlink r:id="rId1" w:history="1">
        <w:r w:rsidRPr="00437801">
          <w:rPr>
            <w:rStyle w:val="Hyperlink"/>
            <w:i/>
            <w:sz w:val="24"/>
            <w:szCs w:val="24"/>
            <w:lang w:val="el-GR"/>
          </w:rPr>
          <w:t>Understanding the profitability gap between euro area and US global systemically important banks</w:t>
        </w:r>
      </w:hyperlink>
      <w:r w:rsidRPr="00437801">
        <w:rPr>
          <w:sz w:val="24"/>
          <w:szCs w:val="24"/>
          <w:lang w:val="el-GR"/>
        </w:rPr>
        <w:t xml:space="preserve"> (Κατανόηση του χάσματος κερδοφορίας μεταξύ των παγκόσμιων συστημικά σημαντικών τραπεζών της ζώνης του ευρώ και των ΗΠΑ), σειρά Occasional Papers της ΕΚΤ 327, 2023.</w:t>
      </w:r>
    </w:p>
  </w:footnote>
  <w:footnote w:id="5">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n-GB"/>
        </w:rPr>
        <w:t xml:space="preserve"> </w:t>
      </w:r>
      <w:r w:rsidR="000C255B" w:rsidRPr="00437801">
        <w:rPr>
          <w:sz w:val="24"/>
          <w:szCs w:val="24"/>
          <w:lang w:val="en-GB"/>
        </w:rPr>
        <w:tab/>
      </w:r>
      <w:r w:rsidRPr="00437801">
        <w:rPr>
          <w:sz w:val="24"/>
          <w:szCs w:val="24"/>
          <w:lang w:val="el-GR"/>
        </w:rPr>
        <w:t>ΕΚΤ</w:t>
      </w:r>
      <w:r w:rsidRPr="00437801">
        <w:rPr>
          <w:sz w:val="24"/>
          <w:szCs w:val="24"/>
          <w:lang w:val="en-GB"/>
        </w:rPr>
        <w:t xml:space="preserve">, </w:t>
      </w:r>
      <w:hyperlink r:id="rId2" w:history="1">
        <w:r w:rsidRPr="00437801">
          <w:rPr>
            <w:rStyle w:val="Hyperlink"/>
            <w:i/>
            <w:sz w:val="24"/>
            <w:szCs w:val="24"/>
            <w:lang w:val="en-GB"/>
          </w:rPr>
          <w:t>Supervisory Banking Statistics for significant institutions.</w:t>
        </w:r>
      </w:hyperlink>
      <w:hyperlink r:id="rId3" w:history="1">
        <w:r w:rsidRPr="00437801">
          <w:rPr>
            <w:rStyle w:val="Hyperlink"/>
            <w:i/>
            <w:sz w:val="24"/>
            <w:szCs w:val="24"/>
            <w:lang w:val="el-GR"/>
          </w:rPr>
          <w:t>Second quarter 2023</w:t>
        </w:r>
      </w:hyperlink>
      <w:r w:rsidRPr="00437801">
        <w:rPr>
          <w:sz w:val="24"/>
          <w:szCs w:val="24"/>
          <w:lang w:val="el-GR"/>
        </w:rPr>
        <w:t xml:space="preserve"> (Εποπτικές τραπεζικές στατιστικές για σημαντικά ιδρύματα. Δεύτερο τρίμηνο 2023). Οκτώβριος 2023.</w:t>
      </w:r>
    </w:p>
  </w:footnote>
  <w:footnote w:id="6">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ΕΚΤ, </w:t>
      </w:r>
      <w:hyperlink r:id="rId4" w:history="1">
        <w:r w:rsidRPr="00437801">
          <w:rPr>
            <w:rStyle w:val="Hyperlink"/>
            <w:i/>
            <w:sz w:val="24"/>
            <w:szCs w:val="24"/>
            <w:lang w:val="el-GR"/>
          </w:rPr>
          <w:t>Euro area bank lending survey</w:t>
        </w:r>
      </w:hyperlink>
      <w:r w:rsidRPr="00437801">
        <w:rPr>
          <w:sz w:val="24"/>
          <w:szCs w:val="24"/>
          <w:lang w:val="el-GR"/>
        </w:rPr>
        <w:t xml:space="preserve"> (Έρευνα για τον τραπεζικό δανεισμό στη ζώνη του ευρώ).</w:t>
      </w:r>
    </w:p>
  </w:footnote>
  <w:footnote w:id="7">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Κανονισμός (ΕΕ) 2021/1119,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w:t>
      </w:r>
      <w:r w:rsidR="007811FF" w:rsidRPr="00437801">
        <w:rPr>
          <w:sz w:val="24"/>
          <w:szCs w:val="24"/>
          <w:lang w:val="el-GR"/>
        </w:rPr>
        <w:t xml:space="preserve">(ΕΕ </w:t>
      </w:r>
      <w:r w:rsidR="007811FF" w:rsidRPr="00437801">
        <w:rPr>
          <w:sz w:val="24"/>
          <w:szCs w:val="24"/>
        </w:rPr>
        <w:t>L</w:t>
      </w:r>
      <w:r w:rsidR="007811FF" w:rsidRPr="00437801">
        <w:rPr>
          <w:sz w:val="24"/>
          <w:szCs w:val="24"/>
          <w:lang w:val="el-GR"/>
        </w:rPr>
        <w:t xml:space="preserve"> 243 της 9.7.2021, σ. 1)</w:t>
      </w:r>
      <w:r w:rsidRPr="00437801">
        <w:rPr>
          <w:sz w:val="24"/>
          <w:szCs w:val="24"/>
          <w:lang w:val="el-GR"/>
        </w:rPr>
        <w:t>.</w:t>
      </w:r>
    </w:p>
  </w:footnote>
  <w:footnote w:id="8">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ΕΑΤ, </w:t>
      </w:r>
      <w:hyperlink r:id="rId5" w:history="1">
        <w:r w:rsidRPr="00437801">
          <w:rPr>
            <w:rStyle w:val="Hyperlink"/>
            <w:i/>
            <w:sz w:val="24"/>
            <w:szCs w:val="24"/>
            <w:lang w:val="el-GR"/>
          </w:rPr>
          <w:t>Risk Assessment of the European Banking System</w:t>
        </w:r>
      </w:hyperlink>
      <w:r w:rsidRPr="00437801">
        <w:rPr>
          <w:sz w:val="24"/>
          <w:szCs w:val="24"/>
          <w:lang w:val="el-GR"/>
        </w:rPr>
        <w:t xml:space="preserve"> (Αξιολόγηση κινδύνου του ευρωπαϊκού τραπεζικού συστήματος), Δεκέμβριος 2022.</w:t>
      </w:r>
    </w:p>
  </w:footnote>
  <w:footnote w:id="9">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n-GB"/>
        </w:rPr>
        <w:t xml:space="preserve"> </w:t>
      </w:r>
      <w:r w:rsidR="000C255B" w:rsidRPr="00437801">
        <w:rPr>
          <w:sz w:val="24"/>
          <w:szCs w:val="24"/>
          <w:lang w:val="en-GB"/>
        </w:rPr>
        <w:tab/>
      </w:r>
      <w:r w:rsidRPr="00437801">
        <w:rPr>
          <w:sz w:val="24"/>
          <w:szCs w:val="24"/>
          <w:lang w:val="el-GR"/>
        </w:rPr>
        <w:t>ΕΚΤ</w:t>
      </w:r>
      <w:r w:rsidRPr="00437801">
        <w:rPr>
          <w:sz w:val="24"/>
          <w:szCs w:val="24"/>
          <w:lang w:val="en-GB"/>
        </w:rPr>
        <w:t xml:space="preserve">, </w:t>
      </w:r>
      <w:hyperlink r:id="rId6" w:history="1">
        <w:r w:rsidRPr="00437801">
          <w:rPr>
            <w:rStyle w:val="Hyperlink"/>
            <w:i/>
            <w:sz w:val="24"/>
            <w:szCs w:val="24"/>
            <w:lang w:val="en-GB"/>
          </w:rPr>
          <w:t>Supervisory Banking Statistics for significant institutions.</w:t>
        </w:r>
      </w:hyperlink>
      <w:hyperlink r:id="rId7" w:history="1">
        <w:r w:rsidRPr="00437801">
          <w:rPr>
            <w:rStyle w:val="Hyperlink"/>
            <w:i/>
            <w:sz w:val="24"/>
            <w:szCs w:val="24"/>
            <w:lang w:val="en-GB"/>
          </w:rPr>
          <w:t xml:space="preserve"> </w:t>
        </w:r>
        <w:r w:rsidRPr="00437801">
          <w:rPr>
            <w:rStyle w:val="Hyperlink"/>
            <w:i/>
            <w:sz w:val="24"/>
            <w:szCs w:val="24"/>
            <w:lang w:val="el-GR"/>
          </w:rPr>
          <w:t>Second quarter 2023</w:t>
        </w:r>
      </w:hyperlink>
      <w:r w:rsidRPr="00437801">
        <w:rPr>
          <w:sz w:val="24"/>
          <w:szCs w:val="24"/>
          <w:lang w:val="el-GR"/>
        </w:rPr>
        <w:t xml:space="preserve"> (Εποπτικές τραπεζικές στατιστικές για σημαντικά ιδρύματα. Δεύτερο τρίμηνο του 2023), Οκτώβριος 2023.</w:t>
      </w:r>
    </w:p>
  </w:footnote>
  <w:footnote w:id="10">
    <w:p w:rsidR="00110D9C" w:rsidRPr="00437801" w:rsidRDefault="00110D9C" w:rsidP="000C255B">
      <w:pPr>
        <w:pStyle w:val="title-bold"/>
        <w:shd w:val="clear" w:color="auto" w:fill="FFFFFF"/>
        <w:spacing w:before="0" w:beforeAutospacing="0" w:after="75" w:afterAutospacing="0"/>
        <w:ind w:left="567" w:hanging="567"/>
      </w:pPr>
      <w:r w:rsidRPr="00437801">
        <w:rPr>
          <w:rStyle w:val="FootnoteReference"/>
        </w:rPr>
        <w:footnoteRef/>
      </w:r>
      <w:r w:rsidR="000C255B" w:rsidRPr="00437801">
        <w:rPr>
          <w:color w:val="333333"/>
        </w:rPr>
        <w:t xml:space="preserve"> </w:t>
      </w:r>
      <w:r w:rsidR="000C255B" w:rsidRPr="00437801">
        <w:rPr>
          <w:color w:val="333333"/>
        </w:rPr>
        <w:tab/>
      </w:r>
      <w:r w:rsidRPr="00437801">
        <w:rPr>
          <w:color w:val="333333"/>
        </w:rPr>
        <w:t xml:space="preserve">Οδηγία (ΕΕ) 2021/2167, της 24ης Νοεμβρίου 2021, για τους διαχειριστές πιστώσεων και τους αγοραστές πιστώσεων και την τροποποίηση των οδηγιών 2008/48/ΕΚ και 2014/17/ΕΕ </w:t>
      </w:r>
      <w:r w:rsidR="007811FF" w:rsidRPr="00437801">
        <w:rPr>
          <w:color w:val="333333"/>
        </w:rPr>
        <w:t>(</w:t>
      </w:r>
      <w:r w:rsidR="007811FF" w:rsidRPr="00437801">
        <w:t>ΕΕ L 438 της 8.12.2021, σ. 1)</w:t>
      </w:r>
      <w:r w:rsidRPr="00437801">
        <w:t>.</w:t>
      </w:r>
    </w:p>
  </w:footnote>
  <w:footnote w:id="11">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Κανονισμός (ΕΕ) αριθ. 575/2013, της 26ης Ιουνίου 2013, σχετικά με τις απαιτήσεις προληπτικής εποπτείας για πιστωτικά ιδρύματα και επιχειρήσεις επενδύσεων και την τροποποίηση του κανονισμού (ΕΕ) αριθ. 648/2012 </w:t>
      </w:r>
      <w:r w:rsidR="007811FF" w:rsidRPr="00437801">
        <w:rPr>
          <w:sz w:val="24"/>
          <w:szCs w:val="24"/>
          <w:lang w:val="el-GR"/>
        </w:rPr>
        <w:t xml:space="preserve">(ΕΕ </w:t>
      </w:r>
      <w:r w:rsidR="007811FF" w:rsidRPr="00437801">
        <w:rPr>
          <w:sz w:val="24"/>
          <w:szCs w:val="24"/>
        </w:rPr>
        <w:t>L</w:t>
      </w:r>
      <w:r w:rsidR="007811FF" w:rsidRPr="00437801">
        <w:rPr>
          <w:sz w:val="24"/>
          <w:szCs w:val="24"/>
          <w:lang w:val="el-GR"/>
        </w:rPr>
        <w:t xml:space="preserve"> 176 της 27.6.2013, σ. 1)</w:t>
      </w:r>
      <w:r w:rsidRPr="00437801">
        <w:rPr>
          <w:sz w:val="24"/>
          <w:szCs w:val="24"/>
          <w:lang w:val="el-GR"/>
        </w:rPr>
        <w:t>.</w:t>
      </w:r>
    </w:p>
  </w:footnote>
  <w:footnote w:id="12">
    <w:p w:rsidR="00110D9C" w:rsidRPr="00437801" w:rsidRDefault="00110D9C" w:rsidP="000C255B">
      <w:pPr>
        <w:pStyle w:val="FootnoteText"/>
        <w:ind w:left="567" w:hanging="567"/>
        <w:rPr>
          <w:sz w:val="24"/>
          <w:szCs w:val="24"/>
          <w:lang w:val="el-GR"/>
        </w:rPr>
      </w:pPr>
      <w:r w:rsidRPr="00437801">
        <w:rPr>
          <w:rStyle w:val="FootnoteReference"/>
          <w:sz w:val="24"/>
          <w:szCs w:val="24"/>
          <w:lang w:val="el-GR"/>
        </w:rPr>
        <w:footnoteRef/>
      </w:r>
      <w:r w:rsidR="000C255B" w:rsidRPr="00437801">
        <w:rPr>
          <w:sz w:val="24"/>
          <w:szCs w:val="24"/>
          <w:lang w:val="el-GR"/>
        </w:rPr>
        <w:t xml:space="preserve"> </w:t>
      </w:r>
      <w:r w:rsidR="000C255B" w:rsidRPr="00437801">
        <w:rPr>
          <w:sz w:val="24"/>
          <w:szCs w:val="24"/>
          <w:lang w:val="el-GR"/>
        </w:rPr>
        <w:tab/>
      </w:r>
      <w:r w:rsidRPr="00437801">
        <w:rPr>
          <w:sz w:val="24"/>
          <w:szCs w:val="24"/>
          <w:lang w:val="el-GR"/>
        </w:rPr>
        <w:t xml:space="preserve">Οδηγία 2013/36/ΕΕ, της 26ης Ιουνίου 2013, σχετικά με την πρόσβαση στη δραστηριότητα πιστωτικών ιδρυμάτων και την προληπτική εποπτεία πιστωτικών ιδρυμάτων και επιχειρήσεων επενδύσεων, για την τροποποίηση της οδηγίας 2002/87/ΕΚ και για την κατάργηση των οδηγιών 2006/48/ΕΚ και 2006/49/ΕΚ </w:t>
      </w:r>
      <w:r w:rsidR="007811FF" w:rsidRPr="00437801">
        <w:rPr>
          <w:sz w:val="24"/>
          <w:szCs w:val="24"/>
          <w:lang w:val="el-GR"/>
        </w:rPr>
        <w:t>(ΕΕ</w:t>
      </w:r>
      <w:r w:rsidR="007811FF" w:rsidRPr="00437801">
        <w:rPr>
          <w:sz w:val="24"/>
          <w:szCs w:val="24"/>
        </w:rPr>
        <w:t> L </w:t>
      </w:r>
      <w:r w:rsidR="007811FF" w:rsidRPr="00437801">
        <w:rPr>
          <w:sz w:val="24"/>
          <w:szCs w:val="24"/>
          <w:lang w:val="el-GR"/>
        </w:rPr>
        <w:t>176 της 27.6.2013, σ.</w:t>
      </w:r>
      <w:r w:rsidR="007811FF" w:rsidRPr="00437801">
        <w:rPr>
          <w:sz w:val="24"/>
          <w:szCs w:val="24"/>
        </w:rPr>
        <w:t> </w:t>
      </w:r>
      <w:r w:rsidR="007811FF" w:rsidRPr="00437801">
        <w:rPr>
          <w:sz w:val="24"/>
          <w:szCs w:val="24"/>
          <w:lang w:val="el-GR"/>
        </w:rPr>
        <w:t>338)</w:t>
      </w:r>
      <w:r w:rsidRPr="00437801">
        <w:rPr>
          <w:sz w:val="24"/>
          <w:szCs w:val="24"/>
          <w:lang w:val="el-GR"/>
        </w:rPr>
        <w:t>.</w:t>
      </w:r>
    </w:p>
  </w:footnote>
  <w:footnote w:id="13">
    <w:p w:rsidR="00110D9C" w:rsidRPr="00437801" w:rsidRDefault="00110D9C" w:rsidP="000C255B">
      <w:pPr>
        <w:keepLines/>
        <w:widowControl/>
        <w:ind w:left="567" w:hanging="567"/>
        <w:rPr>
          <w:szCs w:val="24"/>
        </w:rPr>
      </w:pPr>
      <w:r w:rsidRPr="00437801">
        <w:rPr>
          <w:rStyle w:val="FootnoteReference"/>
          <w:szCs w:val="24"/>
        </w:rPr>
        <w:footnoteRef/>
      </w:r>
      <w:r w:rsidR="000C255B" w:rsidRPr="00437801">
        <w:rPr>
          <w:szCs w:val="24"/>
        </w:rPr>
        <w:t xml:space="preserve"> </w:t>
      </w:r>
      <w:r w:rsidR="000C255B" w:rsidRPr="00437801">
        <w:rPr>
          <w:szCs w:val="24"/>
        </w:rPr>
        <w:tab/>
      </w:r>
      <w:r w:rsidR="007811FF" w:rsidRPr="00437801">
        <w:rPr>
          <w:szCs w:val="24"/>
        </w:rPr>
        <w:t>ΕΕ L 173 της 12.6.2014, σ. 149</w:t>
      </w:r>
      <w:r w:rsidRPr="00437801">
        <w:rPr>
          <w:color w:val="000000"/>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C7AD6"/>
    <w:multiLevelType w:val="hybridMultilevel"/>
    <w:tmpl w:val="8738FD0C"/>
    <w:lvl w:ilvl="0" w:tplc="BBBCACF0">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C656276"/>
    <w:multiLevelType w:val="hybridMultilevel"/>
    <w:tmpl w:val="49EA1572"/>
    <w:lvl w:ilvl="0" w:tplc="BBBCACF0">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9921EA"/>
    <w:multiLevelType w:val="hybridMultilevel"/>
    <w:tmpl w:val="7F683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4"/>
  </w:num>
  <w:num w:numId="46">
    <w:abstractNumId w:val="13"/>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EL"/>
    <w:docVar w:name="dvnumam" w:val="0"/>
    <w:docVar w:name="dvpe" w:val="752.739"/>
    <w:docVar w:name="dvrapporteur" w:val="Εισηγητής: "/>
    <w:docVar w:name="dvtitre" w:val="Ψήφισμα του Ευρωπαϊκού Κοινοβουλίου σχετικά με την Τραπεζική Ένωση – ετήσια έκθεση για το 2023(2023/2078(INI))"/>
  </w:docVars>
  <w:rsids>
    <w:rsidRoot w:val="00400A3F"/>
    <w:rsid w:val="00002272"/>
    <w:rsid w:val="00064002"/>
    <w:rsid w:val="000677B9"/>
    <w:rsid w:val="000831BA"/>
    <w:rsid w:val="000A42CC"/>
    <w:rsid w:val="000C255B"/>
    <w:rsid w:val="000E7DD9"/>
    <w:rsid w:val="0010095E"/>
    <w:rsid w:val="00110D9C"/>
    <w:rsid w:val="00125B37"/>
    <w:rsid w:val="00187494"/>
    <w:rsid w:val="001F32AE"/>
    <w:rsid w:val="002767FF"/>
    <w:rsid w:val="002B18FE"/>
    <w:rsid w:val="002B5493"/>
    <w:rsid w:val="002F22DA"/>
    <w:rsid w:val="00343214"/>
    <w:rsid w:val="00361C00"/>
    <w:rsid w:val="00395FA1"/>
    <w:rsid w:val="003E15D4"/>
    <w:rsid w:val="00400A3F"/>
    <w:rsid w:val="00411CCE"/>
    <w:rsid w:val="0041666E"/>
    <w:rsid w:val="00421060"/>
    <w:rsid w:val="0043780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11FF"/>
    <w:rsid w:val="00786EC0"/>
    <w:rsid w:val="007D1690"/>
    <w:rsid w:val="007E22AD"/>
    <w:rsid w:val="00817416"/>
    <w:rsid w:val="00842779"/>
    <w:rsid w:val="00865F67"/>
    <w:rsid w:val="00881A7B"/>
    <w:rsid w:val="008840E5"/>
    <w:rsid w:val="00887B3E"/>
    <w:rsid w:val="008C2AC6"/>
    <w:rsid w:val="008C634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F1A"/>
    <w:rsid w:val="00C23CD4"/>
    <w:rsid w:val="00C61C0C"/>
    <w:rsid w:val="00C941CB"/>
    <w:rsid w:val="00CC2357"/>
    <w:rsid w:val="00CF071A"/>
    <w:rsid w:val="00D058B8"/>
    <w:rsid w:val="00D47527"/>
    <w:rsid w:val="00D56C11"/>
    <w:rsid w:val="00D834A0"/>
    <w:rsid w:val="00D872DF"/>
    <w:rsid w:val="00D91E21"/>
    <w:rsid w:val="00DA7FCD"/>
    <w:rsid w:val="00E365E1"/>
    <w:rsid w:val="00E820A4"/>
    <w:rsid w:val="00EB006A"/>
    <w:rsid w:val="00EB4772"/>
    <w:rsid w:val="00ED169E"/>
    <w:rsid w:val="00ED4235"/>
    <w:rsid w:val="00F04346"/>
    <w:rsid w:val="00F075DC"/>
    <w:rsid w:val="00F1116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FFB41"/>
  <w15:chartTrackingRefBased/>
  <w15:docId w15:val="{7B5F8EAD-00A9-4351-A96E-F5E8C3073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0D9C"/>
    <w:pPr>
      <w:spacing w:after="240"/>
      <w:ind w:left="567" w:hanging="567"/>
    </w:pPr>
  </w:style>
  <w:style w:type="paragraph" w:customStyle="1" w:styleId="EPComma">
    <w:name w:val="EPComma"/>
    <w:basedOn w:val="Normal"/>
    <w:rsid w:val="00110D9C"/>
    <w:pPr>
      <w:spacing w:before="480" w:after="240"/>
    </w:pPr>
  </w:style>
  <w:style w:type="character" w:customStyle="1" w:styleId="BoldItalic">
    <w:name w:val="BoldItalic"/>
    <w:basedOn w:val="DefaultParagraphFont"/>
    <w:uiPriority w:val="1"/>
    <w:qFormat/>
    <w:rsid w:val="00110D9C"/>
    <w:rPr>
      <w:rFonts w:ascii="Times New Roman" w:hAnsi="Times New Roman" w:cs="Times New Roman" w:hint="default"/>
      <w:b/>
      <w:bCs w:val="0"/>
      <w:i/>
      <w:iCs w:val="0"/>
      <w:sz w:val="24"/>
    </w:rPr>
  </w:style>
  <w:style w:type="paragraph" w:customStyle="1" w:styleId="title-bold">
    <w:name w:val="title-bold"/>
    <w:basedOn w:val="Normal"/>
    <w:rsid w:val="00110D9C"/>
    <w:pPr>
      <w:widowControl/>
      <w:spacing w:before="100" w:beforeAutospacing="1" w:after="100" w:afterAutospacing="1"/>
    </w:pPr>
    <w:rPr>
      <w:szCs w:val="24"/>
    </w:rPr>
  </w:style>
  <w:style w:type="character" w:styleId="Hyperlink">
    <w:name w:val="Hyperlink"/>
    <w:basedOn w:val="DefaultParagraphFont"/>
    <w:rsid w:val="00110D9C"/>
    <w:rPr>
      <w:color w:val="0563C1" w:themeColor="hyperlink"/>
      <w:u w:val="single"/>
    </w:rPr>
  </w:style>
  <w:style w:type="paragraph" w:styleId="Header">
    <w:name w:val="header"/>
    <w:basedOn w:val="Normal"/>
    <w:link w:val="HeaderChar"/>
    <w:rsid w:val="00F11168"/>
    <w:pPr>
      <w:tabs>
        <w:tab w:val="center" w:pos="4513"/>
        <w:tab w:val="right" w:pos="9026"/>
      </w:tabs>
    </w:pPr>
  </w:style>
  <w:style w:type="character" w:customStyle="1" w:styleId="HeaderChar">
    <w:name w:val="Header Char"/>
    <w:basedOn w:val="DefaultParagraphFont"/>
    <w:link w:val="Header"/>
    <w:rsid w:val="00F11168"/>
    <w:rPr>
      <w:sz w:val="24"/>
      <w:lang w:val="el-GR"/>
    </w:rPr>
  </w:style>
  <w:style w:type="paragraph" w:styleId="ListParagraph">
    <w:name w:val="List Paragraph"/>
    <w:basedOn w:val="Normal"/>
    <w:uiPriority w:val="34"/>
    <w:qFormat/>
    <w:rsid w:val="00F11168"/>
    <w:pPr>
      <w:ind w:left="720"/>
      <w:contextualSpacing/>
    </w:pPr>
  </w:style>
  <w:style w:type="paragraph" w:styleId="BalloonText">
    <w:name w:val="Balloon Text"/>
    <w:basedOn w:val="Normal"/>
    <w:link w:val="BalloonTextChar"/>
    <w:rsid w:val="007811FF"/>
    <w:rPr>
      <w:rFonts w:ascii="Segoe UI" w:hAnsi="Segoe UI" w:cs="Segoe UI"/>
      <w:sz w:val="18"/>
      <w:szCs w:val="18"/>
    </w:rPr>
  </w:style>
  <w:style w:type="character" w:customStyle="1" w:styleId="BalloonTextChar">
    <w:name w:val="Balloon Text Char"/>
    <w:basedOn w:val="DefaultParagraphFont"/>
    <w:link w:val="BalloonText"/>
    <w:rsid w:val="007811F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20"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64191-5821-40E8-B51D-8495D872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6330</Words>
  <Characters>36085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2024-02-22T14:52:00Z</dcterms:created>
  <dcterms:modified xsi:type="dcterms:W3CDTF">2024-02-22T14:52:00Z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A9-0431/2023</vt:lpwstr>
  </property>
  <property fmtid="{D5CDD505-2E9C-101B-9397-08002B2CF9AE}" pid="4" name="&lt;Type&gt;">
    <vt:lpwstr>RR</vt:lpwstr>
  </property>
</Properties>
</file>