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35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35CA" w:rsidRDefault="00211E6A" w:rsidP="0010095E">
            <w:pPr>
              <w:pStyle w:val="EPName"/>
            </w:pPr>
            <w:r w:rsidRPr="002235CA">
              <w:t>Europski parlament</w:t>
            </w:r>
          </w:p>
          <w:p w:rsidR="00751A4A" w:rsidRPr="002235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35C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235CA" w:rsidRDefault="00187494" w:rsidP="0010095E">
            <w:pPr>
              <w:pStyle w:val="EPLogo"/>
            </w:pPr>
            <w:r w:rsidRPr="002235C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35CA" w:rsidRDefault="00D058B8" w:rsidP="004C5D52">
      <w:pPr>
        <w:pStyle w:val="LineTop"/>
      </w:pPr>
    </w:p>
    <w:p w:rsidR="00680577" w:rsidRPr="002235CA" w:rsidRDefault="00211E6A" w:rsidP="00680577">
      <w:pPr>
        <w:pStyle w:val="EPBodyTA1"/>
      </w:pPr>
      <w:r w:rsidRPr="002235CA">
        <w:t>USVOJENI TEKSTOVI</w:t>
      </w:r>
    </w:p>
    <w:p w:rsidR="00D058B8" w:rsidRPr="002235CA" w:rsidRDefault="00D058B8" w:rsidP="00D058B8">
      <w:pPr>
        <w:pStyle w:val="LineBottom"/>
      </w:pPr>
    </w:p>
    <w:p w:rsidR="00211E6A" w:rsidRPr="002235CA" w:rsidRDefault="00211E6A" w:rsidP="00211E6A">
      <w:pPr>
        <w:pStyle w:val="ATHeading1"/>
      </w:pPr>
      <w:bookmarkStart w:id="0" w:name="TANumber"/>
      <w:r w:rsidRPr="002235CA">
        <w:t>P9_TA(2024)00</w:t>
      </w:r>
      <w:bookmarkEnd w:id="0"/>
      <w:r w:rsidR="00C80FB0">
        <w:t>12</w:t>
      </w:r>
    </w:p>
    <w:p w:rsidR="00211E6A" w:rsidRPr="002235CA" w:rsidRDefault="00211E6A" w:rsidP="00211E6A">
      <w:pPr>
        <w:pStyle w:val="ATHeading2"/>
      </w:pPr>
      <w:bookmarkStart w:id="1" w:name="title"/>
      <w:r w:rsidRPr="002235CA">
        <w:t>Bankovna unija – godišnje izvješće za 2023.</w:t>
      </w:r>
      <w:bookmarkEnd w:id="1"/>
    </w:p>
    <w:p w:rsidR="00211E6A" w:rsidRPr="002235CA" w:rsidRDefault="00211E6A" w:rsidP="00211E6A">
      <w:pPr>
        <w:rPr>
          <w:i/>
          <w:vanish/>
        </w:rPr>
      </w:pPr>
      <w:r w:rsidRPr="002235CA">
        <w:rPr>
          <w:i/>
        </w:rPr>
        <w:fldChar w:fldCharType="begin"/>
      </w:r>
      <w:r w:rsidRPr="002235CA">
        <w:rPr>
          <w:i/>
        </w:rPr>
        <w:instrText xml:space="preserve"> TC"(</w:instrText>
      </w:r>
      <w:bookmarkStart w:id="2" w:name="DocNumber"/>
      <w:r w:rsidRPr="002235CA">
        <w:rPr>
          <w:i/>
        </w:rPr>
        <w:instrText>A9-0431/2023</w:instrText>
      </w:r>
      <w:bookmarkEnd w:id="2"/>
      <w:r w:rsidRPr="002235CA">
        <w:rPr>
          <w:i/>
        </w:rPr>
        <w:instrText xml:space="preserve"> - Izvjestitelj: </w:instrText>
      </w:r>
      <w:proofErr w:type="spellStart"/>
      <w:r w:rsidRPr="002235CA">
        <w:rPr>
          <w:i/>
        </w:rPr>
        <w:instrText>Ivars</w:instrText>
      </w:r>
      <w:proofErr w:type="spellEnd"/>
      <w:r w:rsidRPr="002235CA">
        <w:rPr>
          <w:i/>
        </w:rPr>
        <w:instrText xml:space="preserve"> </w:instrText>
      </w:r>
      <w:proofErr w:type="spellStart"/>
      <w:r w:rsidRPr="002235CA">
        <w:rPr>
          <w:i/>
        </w:rPr>
        <w:instrText>Ijabs</w:instrText>
      </w:r>
      <w:proofErr w:type="spellEnd"/>
      <w:r w:rsidRPr="002235CA">
        <w:rPr>
          <w:i/>
        </w:rPr>
        <w:instrText xml:space="preserve">)"\l3 \n&gt; \* MERGEFORMAT </w:instrText>
      </w:r>
      <w:r w:rsidRPr="002235CA">
        <w:rPr>
          <w:i/>
        </w:rPr>
        <w:fldChar w:fldCharType="end"/>
      </w:r>
    </w:p>
    <w:p w:rsidR="00211E6A" w:rsidRPr="002235CA" w:rsidRDefault="00211E6A" w:rsidP="00211E6A">
      <w:pPr>
        <w:rPr>
          <w:vanish/>
        </w:rPr>
      </w:pPr>
      <w:bookmarkStart w:id="3" w:name="Commission"/>
      <w:r w:rsidRPr="002235CA">
        <w:rPr>
          <w:vanish/>
        </w:rPr>
        <w:t>Odbor za ekonomsku i monetarnu politiku</w:t>
      </w:r>
      <w:bookmarkEnd w:id="3"/>
    </w:p>
    <w:p w:rsidR="00211E6A" w:rsidRPr="002235CA" w:rsidRDefault="00211E6A" w:rsidP="00211E6A">
      <w:pPr>
        <w:rPr>
          <w:vanish/>
        </w:rPr>
      </w:pPr>
      <w:bookmarkStart w:id="4" w:name="PE"/>
      <w:r w:rsidRPr="002235CA">
        <w:rPr>
          <w:vanish/>
        </w:rPr>
        <w:t>PE752.739</w:t>
      </w:r>
      <w:bookmarkEnd w:id="4"/>
    </w:p>
    <w:p w:rsidR="00211E6A" w:rsidRPr="002235CA" w:rsidRDefault="00211E6A" w:rsidP="00211E6A">
      <w:pPr>
        <w:pStyle w:val="ATHeading3"/>
      </w:pPr>
      <w:bookmarkStart w:id="5" w:name="Sujet"/>
      <w:r w:rsidRPr="002235CA">
        <w:t>Rezoluc</w:t>
      </w:r>
      <w:r w:rsidR="00C77CD5">
        <w:t>ija Europskog parlamenta od 16. siječnja</w:t>
      </w:r>
      <w:r w:rsidRPr="002235CA">
        <w:t xml:space="preserve"> 2024. o bankovnoj uniji – godišnje izvješće za 2023.</w:t>
      </w:r>
      <w:bookmarkEnd w:id="5"/>
      <w:r w:rsidRPr="002235CA">
        <w:t xml:space="preserve"> </w:t>
      </w:r>
      <w:bookmarkStart w:id="6" w:name="References"/>
      <w:r w:rsidRPr="002235CA">
        <w:t>(2023/2078(INI))</w:t>
      </w:r>
      <w:bookmarkEnd w:id="6"/>
    </w:p>
    <w:p w:rsidR="00DF272B" w:rsidRPr="002235CA" w:rsidRDefault="00DF272B" w:rsidP="00DF272B">
      <w:pPr>
        <w:pStyle w:val="EPComma"/>
      </w:pPr>
      <w:bookmarkStart w:id="7" w:name="TextBodyBegin"/>
      <w:bookmarkEnd w:id="7"/>
      <w:r w:rsidRPr="002235CA">
        <w:rPr>
          <w:i/>
        </w:rPr>
        <w:t>Europski parlament</w:t>
      </w:r>
      <w:r w:rsidRPr="002235CA">
        <w:t>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svoju Rezoluciju od 11. srpnja 2023. naslovljenu „Bankovna unija – godišnje izvješće za 2022.”</w:t>
      </w:r>
      <w:r w:rsidRPr="002235CA">
        <w:rPr>
          <w:rStyle w:val="FootnoteReference"/>
        </w:rPr>
        <w:footnoteReference w:id="1"/>
      </w:r>
      <w:r w:rsidRPr="002235CA">
        <w:t>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mjere koje je Komisija poduzela na temelju Rezolucije Parlamenta od 11. srpnja 2023. naslovljene „Bankovna unija – godišnje izvješće za 2022.”,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dokument Europske središnje banke „</w:t>
      </w:r>
      <w:proofErr w:type="spellStart"/>
      <w:r w:rsidRPr="002235CA">
        <w:t>Feedback</w:t>
      </w:r>
      <w:proofErr w:type="spellEnd"/>
      <w:r w:rsidRPr="002235CA">
        <w:t xml:space="preserve"> on </w:t>
      </w:r>
      <w:proofErr w:type="spellStart"/>
      <w:r w:rsidRPr="002235CA">
        <w:t>the</w:t>
      </w:r>
      <w:proofErr w:type="spellEnd"/>
      <w:r w:rsidRPr="002235CA">
        <w:t xml:space="preserve"> input </w:t>
      </w:r>
      <w:proofErr w:type="spellStart"/>
      <w:r w:rsidRPr="002235CA">
        <w:t>provided</w:t>
      </w:r>
      <w:proofErr w:type="spellEnd"/>
      <w:r w:rsidRPr="002235CA">
        <w:t xml:space="preserve"> </w:t>
      </w:r>
      <w:proofErr w:type="spellStart"/>
      <w:r w:rsidRPr="002235CA">
        <w:t>by</w:t>
      </w:r>
      <w:proofErr w:type="spellEnd"/>
      <w:r w:rsidRPr="002235CA">
        <w:t xml:space="preserve"> </w:t>
      </w:r>
      <w:proofErr w:type="spellStart"/>
      <w:r w:rsidRPr="002235CA">
        <w:t>the</w:t>
      </w:r>
      <w:proofErr w:type="spellEnd"/>
      <w:r w:rsidRPr="002235CA">
        <w:t xml:space="preserve"> European </w:t>
      </w:r>
      <w:proofErr w:type="spellStart"/>
      <w:r w:rsidRPr="002235CA">
        <w:t>Parliament</w:t>
      </w:r>
      <w:proofErr w:type="spellEnd"/>
      <w:r w:rsidRPr="002235CA">
        <w:t xml:space="preserve"> as </w:t>
      </w:r>
      <w:proofErr w:type="spellStart"/>
      <w:r w:rsidRPr="002235CA">
        <w:t>part</w:t>
      </w:r>
      <w:proofErr w:type="spellEnd"/>
      <w:r w:rsidRPr="002235CA">
        <w:t xml:space="preserve"> </w:t>
      </w:r>
      <w:proofErr w:type="spellStart"/>
      <w:r w:rsidRPr="002235CA">
        <w:t>of</w:t>
      </w:r>
      <w:proofErr w:type="spellEnd"/>
      <w:r w:rsidRPr="002235CA">
        <w:t xml:space="preserve"> </w:t>
      </w:r>
      <w:proofErr w:type="spellStart"/>
      <w:r w:rsidRPr="002235CA">
        <w:t>its</w:t>
      </w:r>
      <w:proofErr w:type="spellEnd"/>
      <w:r w:rsidRPr="002235CA">
        <w:t xml:space="preserve"> </w:t>
      </w:r>
      <w:proofErr w:type="spellStart"/>
      <w:r w:rsidRPr="002235CA">
        <w:t>resolution</w:t>
      </w:r>
      <w:proofErr w:type="spellEnd"/>
      <w:r w:rsidRPr="002235CA">
        <w:t xml:space="preserve"> on Banking Union 2022’” (Povratne informacije o komentarima Europskog parlamenta u sklopu njegove Rezolucije o bankovnoj uniji za 2022.) objavljen 20. listopada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Godišnje izvješće Europske središnje banke (ESB) za 2022. o nadzornim aktivnostima, izdano 21. ožujka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Godišnje izvješće Jedinstvenog sanacijskog odbora za 2022., izdano 30. lipnja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Komisijin Prijedlog uredbe Europskog parlamenta i Vijeća od 24. studenoga 2015. o izmjeni Uredbe (EU) br. 806/2014 radi uspostave Europskog sustava osiguranja depozita (COM(2015)0586),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Komisijin Prijedlog direktive Europskog parlamenta i Vijeća od 14. ožujka 2018. o pružateljima usluge servisiranja kredita, kupcima kredita i naplati kolaterala (COM(2018)</w:t>
      </w:r>
      <w:r w:rsidR="003E7E2E">
        <w:t>0</w:t>
      </w:r>
      <w:r w:rsidRPr="002235CA">
        <w:t>135),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priopćenje za medije Vijeća od 7. prosinca 2022. naslovljeno „Sprečavanje pranja novca: Vijeće postiglo dogovor o stajalištu o poboljšanim </w:t>
      </w:r>
      <w:r w:rsidRPr="002235CA">
        <w:lastRenderedPageBreak/>
        <w:t>pravilima”,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priopćenje za medije Vijeća od 27. lipnja 2023. naslovljeno „Bankovni sektor: postignut privremeni dogovor o provedbi reformi </w:t>
      </w:r>
      <w:proofErr w:type="spellStart"/>
      <w:r w:rsidRPr="002235CA">
        <w:t>Basel</w:t>
      </w:r>
      <w:proofErr w:type="spellEnd"/>
      <w:r w:rsidRPr="002235CA">
        <w:t xml:space="preserve"> III ”,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Komisijin Prijedlog uredbe Europskog parlamenta i Vijeća od 18. travnja 2023. o izmjeni Uredbe (EU) br. 806/2014 u pogledu mjera rane intervencije, uvjeta za sanaciju i financiranja sanacijskih mjera (COM(2023)</w:t>
      </w:r>
      <w:r w:rsidR="003E7E2E">
        <w:t>0</w:t>
      </w:r>
      <w:r w:rsidRPr="002235CA">
        <w:t>226),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Komisijin Prijedlog direktive Europskog parlamenta i Vijeća od 18. travnja 2023. o izmjeni Direktive 2014/59/EU u pogledu mjera rane intervencije, uvjeta za sanaciju i financiranja mjera sanacije (COM(2023)</w:t>
      </w:r>
      <w:r w:rsidR="003E7E2E">
        <w:t>0</w:t>
      </w:r>
      <w:r w:rsidRPr="002235CA">
        <w:t>227),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Komisijin Prijedlog direktive Europskog parlamenta i Vijeća od 18. travnja 2023. o izmjeni Direktive 2014/49/EU u pogledu opsega zaštite depozita, korištenja sredstava sustava osiguranja depozita, prekogranične suradnje i transparentnosti (COM(2023)0228),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izvješće petorice predsjednika naslovljeno „Dovršetak europske ekonomske i monetarne unije” od 22. lipnja 2015.,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izjavu </w:t>
      </w:r>
      <w:proofErr w:type="spellStart"/>
      <w:r w:rsidRPr="002235CA">
        <w:t>Euroskupine</w:t>
      </w:r>
      <w:proofErr w:type="spellEnd"/>
      <w:r w:rsidRPr="002235CA">
        <w:t xml:space="preserve"> od 16. lipnja 2022. o budućnosti bankovne unije,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standarde Bazelskog odbora za nadzor banaka o bonitetnom tretmanu izloženosti </w:t>
      </w:r>
      <w:proofErr w:type="spellStart"/>
      <w:r w:rsidRPr="002235CA">
        <w:t>kriptoimovini</w:t>
      </w:r>
      <w:proofErr w:type="spellEnd"/>
      <w:r w:rsidRPr="002235CA">
        <w:t>, objavljene 16. prosinca 2022.,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Komunikaciju Komisije od 16. prosinca 2020. o rješavanju problema </w:t>
      </w:r>
      <w:proofErr w:type="spellStart"/>
      <w:r w:rsidRPr="002235CA">
        <w:t>neprihodonosnih</w:t>
      </w:r>
      <w:proofErr w:type="spellEnd"/>
      <w:r w:rsidRPr="002235CA">
        <w:t xml:space="preserve"> kredita nakon </w:t>
      </w:r>
      <w:proofErr w:type="spellStart"/>
      <w:r w:rsidRPr="002235CA">
        <w:t>pandemije</w:t>
      </w:r>
      <w:proofErr w:type="spellEnd"/>
      <w:r w:rsidRPr="002235CA">
        <w:t xml:space="preserve"> bolesti COVID-19 (COM(2020)0822),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preporuku ESB-a od 15. prosinca 2020. o raspodjeli dividendi tijekom </w:t>
      </w:r>
      <w:proofErr w:type="spellStart"/>
      <w:r w:rsidRPr="002235CA">
        <w:t>pandemije</w:t>
      </w:r>
      <w:proofErr w:type="spellEnd"/>
      <w:r w:rsidRPr="002235CA">
        <w:t xml:space="preserve"> bolesti COVID-19,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seriju povremenih publikacija ESB-a „</w:t>
      </w:r>
      <w:proofErr w:type="spellStart"/>
      <w:r w:rsidRPr="002235CA">
        <w:t>The</w:t>
      </w:r>
      <w:proofErr w:type="spellEnd"/>
      <w:r w:rsidRPr="002235CA">
        <w:t xml:space="preserve"> </w:t>
      </w:r>
      <w:proofErr w:type="spellStart"/>
      <w:r w:rsidRPr="002235CA">
        <w:t>Road</w:t>
      </w:r>
      <w:proofErr w:type="spellEnd"/>
      <w:r w:rsidRPr="002235CA">
        <w:t xml:space="preserve"> to Paris: </w:t>
      </w:r>
      <w:proofErr w:type="spellStart"/>
      <w:r w:rsidRPr="002235CA">
        <w:t>stress</w:t>
      </w:r>
      <w:proofErr w:type="spellEnd"/>
      <w:r w:rsidRPr="002235CA">
        <w:t xml:space="preserve"> </w:t>
      </w:r>
      <w:proofErr w:type="spellStart"/>
      <w:r w:rsidRPr="002235CA">
        <w:t>testing</w:t>
      </w:r>
      <w:proofErr w:type="spellEnd"/>
      <w:r w:rsidRPr="002235CA">
        <w:t xml:space="preserve"> </w:t>
      </w:r>
      <w:proofErr w:type="spellStart"/>
      <w:r w:rsidRPr="002235CA">
        <w:t>the</w:t>
      </w:r>
      <w:proofErr w:type="spellEnd"/>
      <w:r w:rsidRPr="002235CA">
        <w:t xml:space="preserve"> </w:t>
      </w:r>
      <w:proofErr w:type="spellStart"/>
      <w:r w:rsidRPr="002235CA">
        <w:t>transition</w:t>
      </w:r>
      <w:proofErr w:type="spellEnd"/>
      <w:r w:rsidRPr="002235CA">
        <w:t xml:space="preserve"> </w:t>
      </w:r>
      <w:proofErr w:type="spellStart"/>
      <w:r w:rsidRPr="002235CA">
        <w:t>towards</w:t>
      </w:r>
      <w:proofErr w:type="spellEnd"/>
      <w:r w:rsidRPr="002235CA">
        <w:t xml:space="preserve"> a </w:t>
      </w:r>
      <w:proofErr w:type="spellStart"/>
      <w:r w:rsidRPr="002235CA">
        <w:t>net</w:t>
      </w:r>
      <w:proofErr w:type="spellEnd"/>
      <w:r w:rsidRPr="002235CA">
        <w:t xml:space="preserve">-zero </w:t>
      </w:r>
      <w:proofErr w:type="spellStart"/>
      <w:r w:rsidRPr="002235CA">
        <w:t>economy</w:t>
      </w:r>
      <w:proofErr w:type="spellEnd"/>
      <w:r w:rsidRPr="002235CA">
        <w:t>”, (Put prema Parizu: testiranje otpornosti na stres u pogledu prelaska na gospodarstvo s nultom neto stopom emisija),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ishod ispitivanja transparentnosti Europskog nadzornog tijela za bankarstvo (EBA) za 2023. na razini EU-a, objavljenog 28. srpnja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izvješće EBA-e o ulozi okolišnih i socijalnih rizika u bonitetnom okviru,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dokument ESB-a iz svibnja 2023. naslovljen „Financial </w:t>
      </w:r>
      <w:proofErr w:type="spellStart"/>
      <w:r w:rsidRPr="002235CA">
        <w:t>Stability</w:t>
      </w:r>
      <w:proofErr w:type="spellEnd"/>
      <w:r w:rsidRPr="002235CA">
        <w:t xml:space="preserve"> </w:t>
      </w:r>
      <w:proofErr w:type="spellStart"/>
      <w:r w:rsidRPr="002235CA">
        <w:t>Review</w:t>
      </w:r>
      <w:proofErr w:type="spellEnd"/>
      <w:r w:rsidRPr="002235CA">
        <w:t>” (Pregled financijske stabilnosti),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izvješće ESB-a od 12. prosinca 2022. o njegovim nadzornim prioritetima za razdoblje 2023. – 2025.,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izvješće Europskog revizorskog suda od 12. svibnja 2023. naslovljeno „Tematsko izvješće 12/2023: Nadzor koji EU provodi nad kreditnim rizikom banaka – ESB je pojačao svoje napore, ali potrebno je učiniti više kako bi se dobilo veće jamstvo da su upravljanje kreditnim rizikom i njegovo pokriće primjereni”,</w:t>
      </w:r>
    </w:p>
    <w:p w:rsidR="00DF272B" w:rsidRPr="002235CA" w:rsidRDefault="00DF272B" w:rsidP="00DF272B">
      <w:pPr>
        <w:pStyle w:val="NormalHanging12a"/>
      </w:pPr>
      <w:r w:rsidRPr="002235CA">
        <w:lastRenderedPageBreak/>
        <w:t>–</w:t>
      </w:r>
      <w:r w:rsidRPr="002235CA">
        <w:tab/>
        <w:t xml:space="preserve">uzimajući u obzir izjave Andree </w:t>
      </w:r>
      <w:proofErr w:type="spellStart"/>
      <w:r w:rsidRPr="002235CA">
        <w:t>Enrija</w:t>
      </w:r>
      <w:proofErr w:type="spellEnd"/>
      <w:r w:rsidRPr="002235CA">
        <w:t>, predsjednika Nadzornog odbora ESB-a, na saslušanjima pred parlamentarnim Odborom za ekonomsku i monetarnu politiku, koja su održana 21. ožujka 2023. i 28. lipnja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izjave s javnog saslušanja pred Odborom za ekonomsku i monetarnu politiku s kandidatkinjom predloženom za predsjednicu Nadzornog odbora ESB-a, održanog 20. rujna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izjave </w:t>
      </w:r>
      <w:proofErr w:type="spellStart"/>
      <w:r w:rsidRPr="002235CA">
        <w:t>Dominiquea</w:t>
      </w:r>
      <w:proofErr w:type="spellEnd"/>
      <w:r w:rsidRPr="002235CA">
        <w:t xml:space="preserve"> </w:t>
      </w:r>
      <w:proofErr w:type="spellStart"/>
      <w:r w:rsidRPr="002235CA">
        <w:t>Laboureixa</w:t>
      </w:r>
      <w:proofErr w:type="spellEnd"/>
      <w:r w:rsidRPr="002235CA">
        <w:t>, predsjednika Jedinstvenog sanacijskog odbora, na saslušanjima pred parlamentarnim Odborom za ekonomsku i monetarnu politiku, održanima 1. ožujka 2023. i 18. srpnja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Polugodišnje izvješće Jedinstvenog sanacijskog odbora </w:t>
      </w:r>
      <w:proofErr w:type="spellStart"/>
      <w:r w:rsidRPr="002235CA">
        <w:t>Euroskupini</w:t>
      </w:r>
      <w:proofErr w:type="spellEnd"/>
      <w:r w:rsidRPr="002235CA">
        <w:t xml:space="preserve"> od 15. svibnja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zajedničku izjavu ESB-a u svojstvu tijela za nadzor banaka, EBA-e i Jedinstvenog sanacijskog odbora od 20. ožujka 2023. o priopćenju švicarskih tijela od 19. ožujka 2023.,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Memorandum o razumijevanju od 27. lipnja 2023. o uspostavi okvira za regulatornu suradnju Europske unije i Ujedinjene Kraljevine Velike Britanije i Sjeverne Irske u području financijskih usluga,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 xml:space="preserve">uzimajući u obzir izjavu o europskom sustavu osiguranja depozita od 7. prosinca 2022., koju je potpisao predsjednik Odbora za ekonomsku i monetarnu politiku Europskog parlamenta i s kojom su se složili koordinatori šest klubova zastupnika u Parlamentu (Europska pučka stranka, Progresivni savez socijalista i demokrata, </w:t>
      </w:r>
      <w:proofErr w:type="spellStart"/>
      <w:r w:rsidRPr="002235CA">
        <w:t>Renew</w:t>
      </w:r>
      <w:proofErr w:type="spellEnd"/>
      <w:r w:rsidRPr="002235CA">
        <w:t xml:space="preserve"> Europe, Zeleni/Europski slobodni savez, Europski konzervativci i reformisti i </w:t>
      </w:r>
      <w:proofErr w:type="spellStart"/>
      <w:r w:rsidRPr="002235CA">
        <w:t>The</w:t>
      </w:r>
      <w:proofErr w:type="spellEnd"/>
      <w:r w:rsidRPr="002235CA">
        <w:t xml:space="preserve"> </w:t>
      </w:r>
      <w:proofErr w:type="spellStart"/>
      <w:r w:rsidRPr="002235CA">
        <w:t>Left</w:t>
      </w:r>
      <w:proofErr w:type="spellEnd"/>
      <w:r w:rsidRPr="002235CA">
        <w:t>),</w:t>
      </w:r>
    </w:p>
    <w:p w:rsidR="00DF272B" w:rsidRPr="002235CA" w:rsidRDefault="003E7E2E" w:rsidP="00DF272B">
      <w:pPr>
        <w:pStyle w:val="NormalHanging12a"/>
      </w:pPr>
      <w:r w:rsidRPr="002235CA">
        <w:t>–</w:t>
      </w:r>
      <w:r w:rsidR="00DF272B" w:rsidRPr="002235CA">
        <w:tab/>
        <w:t>uzimajući u obzir svoju Rezoluciju od 25. ožujka 2021. o jačanju međunarodne uloge eura</w:t>
      </w:r>
      <w:r w:rsidR="00DF272B" w:rsidRPr="002235CA">
        <w:rPr>
          <w:rStyle w:val="FootnoteReference"/>
        </w:rPr>
        <w:footnoteReference w:id="2"/>
      </w:r>
      <w:r w:rsidR="00DF272B" w:rsidRPr="002235CA">
        <w:t>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svoju Rezoluciju od 14. ožujka 2019. o rodnoj ravnoteži u imenovanjima u području ekonomske i monetarne politike EU-a</w:t>
      </w:r>
      <w:r w:rsidRPr="002235CA">
        <w:rPr>
          <w:rStyle w:val="FootnoteReference"/>
        </w:rPr>
        <w:footnoteReference w:id="3"/>
      </w:r>
      <w:r w:rsidRPr="002235CA">
        <w:t>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članak 54. Poslovnika,</w:t>
      </w:r>
    </w:p>
    <w:p w:rsidR="00DF272B" w:rsidRPr="002235CA" w:rsidRDefault="00DF272B" w:rsidP="00DF272B">
      <w:pPr>
        <w:pStyle w:val="NormalHanging12a"/>
      </w:pPr>
      <w:r w:rsidRPr="002235CA">
        <w:t>–</w:t>
      </w:r>
      <w:r w:rsidRPr="002235CA">
        <w:tab/>
        <w:t>uzimajući u obzir izvješće Odbora za ekonomsku i monetarnu politiku (A9</w:t>
      </w:r>
      <w:r w:rsidRPr="002235CA">
        <w:noBreakHyphen/>
        <w:t>0431/2023),</w:t>
      </w:r>
    </w:p>
    <w:p w:rsidR="00DF272B" w:rsidRPr="002235CA" w:rsidRDefault="00DF272B" w:rsidP="00DF272B">
      <w:pPr>
        <w:pStyle w:val="NormalHanging12a"/>
      </w:pPr>
      <w:r w:rsidRPr="002235CA">
        <w:t>A.</w:t>
      </w:r>
      <w:r w:rsidRPr="002235CA">
        <w:tab/>
        <w:t>budući da je bankovna unija, koja trenutačno obuhvaća jedinstveni nadzorni mehanizam, jedinstveni sanacijski mehanizam, te jedinstvena pravila kao temelj, ključan čimbenik financijske stabilnosti Unije te jamči visok minimalni standard u području zaštite depozita u nedostatku europskog sustava osiguranja depozita (EDIS);</w:t>
      </w:r>
    </w:p>
    <w:p w:rsidR="00DF272B" w:rsidRPr="002235CA" w:rsidRDefault="00DF272B" w:rsidP="00DF272B">
      <w:pPr>
        <w:pStyle w:val="NormalHanging12a"/>
      </w:pPr>
      <w:r w:rsidRPr="002235CA">
        <w:t>B.</w:t>
      </w:r>
      <w:r w:rsidRPr="002235CA">
        <w:tab/>
        <w:t>budući da bi rješavanje rizika koji proizlaze iz problema pretjerano koncentrirane veze između države i banaka pružilo ključnu dodatnu stabilnost i sigurnost za europski bankarski sustav i njegove korisnike;</w:t>
      </w:r>
    </w:p>
    <w:p w:rsidR="00DF272B" w:rsidRPr="002235CA" w:rsidRDefault="00DF272B" w:rsidP="00DF272B">
      <w:pPr>
        <w:pStyle w:val="NormalHanging12a"/>
      </w:pPr>
      <w:r w:rsidRPr="002235CA">
        <w:t>C.</w:t>
      </w:r>
      <w:r w:rsidRPr="002235CA">
        <w:tab/>
        <w:t xml:space="preserve">budući da bi potpuno razvijena bankovna unija predstavljala pozitivan razvoj za građane </w:t>
      </w:r>
      <w:r w:rsidRPr="002235CA">
        <w:lastRenderedPageBreak/>
        <w:t>i gospodarstvo EU-a jer bi pružila osnovu za stabilniji bankarski sustav, smanjenje sistemskog rizika, poboljšano tržišno natjecanje, bolji izbor i zaštitu za potrošače, veće mogućnosti za prekogranično bankarstvo i pristup maloprodajnim financijskim uslugama, veća gospodarska ulaganja, bolji pristup financiranju za kućanstva i poduzeća te manje troškove za klijente banaka, osiguravajući pritom da se javna sredstva ne koriste za spašavanje bankarskog sektora;</w:t>
      </w:r>
    </w:p>
    <w:p w:rsidR="00DF272B" w:rsidRPr="002235CA" w:rsidRDefault="00DF272B" w:rsidP="00DF272B">
      <w:pPr>
        <w:pStyle w:val="NormalHanging12a"/>
      </w:pPr>
      <w:r w:rsidRPr="002235CA">
        <w:t>D.</w:t>
      </w:r>
      <w:r w:rsidRPr="002235CA">
        <w:tab/>
        <w:t>budući da su se banke u EU-u oduprle posljedicama ruske agresije; budući da one imaju ključnu ulogu u osiguranju aktualne provedbe sankcija koje je EU nametnuo Rusiji kao odgovor na invaziju, kao i usklađenosti s njima; budući da je potrebna daljnja koordinacija kako bi se izbjeglo zaobilaženje sankcija;</w:t>
      </w:r>
    </w:p>
    <w:p w:rsidR="00DF272B" w:rsidRPr="002235CA" w:rsidRDefault="00DF272B" w:rsidP="00DF272B">
      <w:pPr>
        <w:pStyle w:val="NormalHanging12a"/>
      </w:pPr>
      <w:r w:rsidRPr="002235CA">
        <w:t>E.</w:t>
      </w:r>
      <w:r w:rsidRPr="002235CA">
        <w:tab/>
        <w:t xml:space="preserve">budući da su klimatske promjene, uništavanje okoliša i prijelaz na </w:t>
      </w:r>
      <w:proofErr w:type="spellStart"/>
      <w:r w:rsidRPr="002235CA">
        <w:t>niskougljično</w:t>
      </w:r>
      <w:proofErr w:type="spellEnd"/>
      <w:r w:rsidRPr="002235CA">
        <w:t xml:space="preserve"> gospodarstvo čimbenici koje prilikom procjene održivosti bilanci banaka treba uzeti u obzir kao izvor rizika koji potencijalno utječe na ulaganja u svim regijama i sektorima;</w:t>
      </w:r>
    </w:p>
    <w:p w:rsidR="00DF272B" w:rsidRPr="002235CA" w:rsidRDefault="00DF272B" w:rsidP="00DF272B">
      <w:pPr>
        <w:pStyle w:val="NormalHanging12a"/>
      </w:pPr>
      <w:r w:rsidRPr="002235CA">
        <w:t>F.</w:t>
      </w:r>
      <w:r w:rsidRPr="002235CA">
        <w:tab/>
        <w:t>budući da dogovor o EDIS-u još nije postignut; budući da je, nakon poziva Parlamenta, Komisija predložila reformu okvira za upravljanje krizama i osiguranje depozita (CMDI), prepoznajući pritom da se taj okvir ne bi trebao smatrati zamjenom za EDIS;</w:t>
      </w:r>
    </w:p>
    <w:p w:rsidR="00DF272B" w:rsidRPr="002235CA" w:rsidRDefault="00DF272B" w:rsidP="00DF272B">
      <w:pPr>
        <w:pStyle w:val="NormalHanging12a"/>
      </w:pPr>
      <w:r w:rsidRPr="002235CA">
        <w:t>G.</w:t>
      </w:r>
      <w:r w:rsidRPr="002235CA">
        <w:tab/>
        <w:t>budući da, iako je 2020. postignut politički dogovor o uspostavi zaštitnog mehanizma za Jedinstveni fond za sanaciju, taj zaštitni mehanizam i dalje ne postoji; budući da je, prema najnovijim dostupnim podacima, 16 od 36 sustava osiguranja depozita u EU-u bilo ispod potrebne (minimalne) razine financiranja;</w:t>
      </w:r>
    </w:p>
    <w:p w:rsidR="00DF272B" w:rsidRPr="002235CA" w:rsidRDefault="00DF272B" w:rsidP="00DF272B">
      <w:pPr>
        <w:pStyle w:val="NormalHanging12a"/>
      </w:pPr>
      <w:r w:rsidRPr="002235CA">
        <w:t>H.</w:t>
      </w:r>
      <w:r w:rsidRPr="002235CA">
        <w:tab/>
        <w:t>budući da nedostatak prekogranične konsolidacije bankarskog sektora EU-a utječe na njegovu globalnu konkurentnost te da potrošačkim bankarstvom u nekim državama članicama i dalje dominira mali broj banaka; budući da se jaz u profitabilnosti između banaka u EU-u i SAD-u povećao tijekom posljednjeg desetljeća te da je povrat na kapital banaka u EU-u 5 postotnih bodova niži od povrata na kapital banaka u SAD-u</w:t>
      </w:r>
      <w:r w:rsidRPr="002235CA">
        <w:rPr>
          <w:rStyle w:val="FootnoteReference"/>
        </w:rPr>
        <w:footnoteReference w:id="4"/>
      </w:r>
      <w:r w:rsidRPr="002235CA">
        <w:t>;</w:t>
      </w:r>
    </w:p>
    <w:p w:rsidR="00DF272B" w:rsidRPr="002235CA" w:rsidRDefault="00DF272B" w:rsidP="00DF272B">
      <w:pPr>
        <w:pStyle w:val="NormalHanging12a"/>
      </w:pPr>
      <w:r w:rsidRPr="002235CA">
        <w:t>I.</w:t>
      </w:r>
      <w:r w:rsidRPr="002235CA">
        <w:tab/>
        <w:t>budući da bankarski sektor EU-a pokazuje znakove rasta profitabilnosti, djelomično zbog viših kamatnih stopa i povećanja depozita ESB-a; budući da je rast kamatnih stopa također doveo do pogoršanja bilance određenih banaka zbog nerealiziranih kapitalnih gubitaka;</w:t>
      </w:r>
    </w:p>
    <w:p w:rsidR="00DF272B" w:rsidRPr="002235CA" w:rsidRDefault="00DF272B" w:rsidP="00DF272B">
      <w:pPr>
        <w:pStyle w:val="NormalHanging12a"/>
      </w:pPr>
      <w:r w:rsidRPr="002235CA">
        <w:t>J.</w:t>
      </w:r>
      <w:r w:rsidRPr="002235CA">
        <w:tab/>
        <w:t xml:space="preserve">budući da je snažan, stabilan, otporan, dinamičan i konkurentan bankarski sektor ključan za ostvarivanje gospodarskog rasta, financiranje malih i srednjih poduzeća (MSP-ova) i </w:t>
      </w:r>
      <w:r w:rsidRPr="002235CA">
        <w:rPr>
          <w:i/>
          <w:iCs/>
        </w:rPr>
        <w:t>start-</w:t>
      </w:r>
      <w:proofErr w:type="spellStart"/>
      <w:r w:rsidRPr="002235CA">
        <w:rPr>
          <w:i/>
          <w:iCs/>
        </w:rPr>
        <w:t>up</w:t>
      </w:r>
      <w:proofErr w:type="spellEnd"/>
      <w:r w:rsidRPr="002235CA">
        <w:t xml:space="preserve"> poduzeća, za veće mogućnosti vlasništva nad vlastitim domom, te za hitni prijelaz na zeleno i digitalno gospodarstvo;</w:t>
      </w:r>
    </w:p>
    <w:p w:rsidR="00DF272B" w:rsidRPr="002235CA" w:rsidRDefault="00DF272B" w:rsidP="00DF272B">
      <w:pPr>
        <w:pStyle w:val="NormalHanging12a"/>
      </w:pPr>
      <w:r w:rsidRPr="002235CA">
        <w:t>K.</w:t>
      </w:r>
      <w:r w:rsidRPr="002235CA">
        <w:tab/>
        <w:t xml:space="preserve">budući da se bankarski sektor suočava s rizicima nakon </w:t>
      </w:r>
      <w:proofErr w:type="spellStart"/>
      <w:r w:rsidRPr="002235CA">
        <w:t>pandemije</w:t>
      </w:r>
      <w:proofErr w:type="spellEnd"/>
      <w:r w:rsidRPr="002235CA">
        <w:t xml:space="preserve"> i invazije, posebno u vezi s pogoršanjem kvalitete imovine; budući da je, iako se udio </w:t>
      </w:r>
      <w:proofErr w:type="spellStart"/>
      <w:r w:rsidRPr="002235CA">
        <w:t>neprihodonosnih</w:t>
      </w:r>
      <w:proofErr w:type="spellEnd"/>
      <w:r w:rsidRPr="002235CA">
        <w:t xml:space="preserve"> kredita smanjio na 2,24 % u prvom tromjesečju 2023. te se od kraja velike recesije stalno smanjuje, potrebno da se još dodatno smanji;</w:t>
      </w:r>
    </w:p>
    <w:p w:rsidR="00DF272B" w:rsidRPr="002235CA" w:rsidRDefault="00DF272B" w:rsidP="00DF272B">
      <w:pPr>
        <w:pStyle w:val="NormalHanging12a"/>
      </w:pPr>
      <w:r w:rsidRPr="002235CA">
        <w:t>L.</w:t>
      </w:r>
      <w:r w:rsidRPr="002235CA">
        <w:tab/>
        <w:t xml:space="preserve">budući da su zakonodavci EU-a dogovorili pravila za provedbu standarda </w:t>
      </w:r>
      <w:proofErr w:type="spellStart"/>
      <w:r w:rsidRPr="002235CA">
        <w:t>Basel</w:t>
      </w:r>
      <w:proofErr w:type="spellEnd"/>
      <w:r w:rsidRPr="002235CA">
        <w:t xml:space="preserve"> III na </w:t>
      </w:r>
      <w:r w:rsidRPr="002235CA">
        <w:lastRenderedPageBreak/>
        <w:t>način kojim se štiti konkurentnost banaka i uzimaju u obzir posebnosti bankarskog sektora EU-a;</w:t>
      </w:r>
    </w:p>
    <w:p w:rsidR="00DF272B" w:rsidRPr="002235CA" w:rsidRDefault="00DF272B" w:rsidP="00DF272B">
      <w:pPr>
        <w:pStyle w:val="NormalHanging12a"/>
      </w:pPr>
      <w:r w:rsidRPr="002235CA">
        <w:t>M.</w:t>
      </w:r>
      <w:r w:rsidRPr="002235CA">
        <w:tab/>
        <w:t>budući da digitalizacija financija pruža važne prilike za bankarski sektor te je donijela važan tehnološki napredak u bankarskom sektoru EU-a i to povećanjem učinkovitosti u pružanju bankarskih usluga i većom sklonosti inovacijama; budući da ona predstavlja i izazove, među ostalim u pogledu zaštite podataka, reputacijskih rizika, sprečavanja pranja novca i zaštite potrošača;</w:t>
      </w:r>
    </w:p>
    <w:p w:rsidR="00DF272B" w:rsidRPr="002235CA" w:rsidRDefault="00DF272B" w:rsidP="00DF272B">
      <w:pPr>
        <w:pStyle w:val="NormalHanging12a"/>
      </w:pPr>
      <w:r w:rsidRPr="002235CA">
        <w:t>N.</w:t>
      </w:r>
      <w:r w:rsidRPr="002235CA">
        <w:tab/>
        <w:t xml:space="preserve">budući da se financijske institucije sve više oslanjaju na upotrebu informacijske i komunikacijske tehnologije (IKT); budući da bankarski sektor EU-a mora povećati svoju </w:t>
      </w:r>
      <w:proofErr w:type="spellStart"/>
      <w:r w:rsidRPr="002235CA">
        <w:t>kibernetičku</w:t>
      </w:r>
      <w:proofErr w:type="spellEnd"/>
      <w:r w:rsidRPr="002235CA">
        <w:t xml:space="preserve"> otpornost kako bi se zajamčilo da su sustavi IKT-a sposobni izdržati različite vrste prijetnji </w:t>
      </w:r>
      <w:proofErr w:type="spellStart"/>
      <w:r w:rsidRPr="002235CA">
        <w:t>kibernetičkoj</w:t>
      </w:r>
      <w:proofErr w:type="spellEnd"/>
      <w:r w:rsidRPr="002235CA">
        <w:t xml:space="preserve"> sigurnosnih;</w:t>
      </w:r>
    </w:p>
    <w:p w:rsidR="00DF272B" w:rsidRPr="002235CA" w:rsidRDefault="00DF272B" w:rsidP="00DF272B">
      <w:pPr>
        <w:pStyle w:val="NormalHanging12a"/>
      </w:pPr>
      <w:r w:rsidRPr="002235CA">
        <w:t>O.</w:t>
      </w:r>
      <w:r w:rsidRPr="002235CA">
        <w:tab/>
        <w:t>budući da razina izloženosti prema državi raste u brojnim bankama; budući da je potrebno riješiti rizike koji proizlaze iz problema pretjerano koncentrirane veze između države i banaka;</w:t>
      </w:r>
    </w:p>
    <w:p w:rsidR="00DF272B" w:rsidRPr="002235CA" w:rsidRDefault="00DF272B" w:rsidP="00DF272B">
      <w:pPr>
        <w:pStyle w:val="NormalHanging12a"/>
        <w:rPr>
          <w:b/>
          <w:i/>
        </w:rPr>
      </w:pPr>
      <w:r w:rsidRPr="002235CA">
        <w:t>P.</w:t>
      </w:r>
      <w:r w:rsidRPr="002235CA">
        <w:tab/>
        <w:t>budući da bi bankovna unija trebala pomoći u rješavanju problema veze između države i banaka ili „začaranog kruga”, koji i dalje postoji; budući da razina izloženosti prema državi raste u brojnim bankama; budući da bi bonitetni tretman državnog duga trebao biti usklađen s međunarodnim standardima;</w:t>
      </w:r>
    </w:p>
    <w:p w:rsidR="00DF272B" w:rsidRPr="002235CA" w:rsidRDefault="00DF272B" w:rsidP="00DF272B">
      <w:pPr>
        <w:pStyle w:val="NormalHanging12a"/>
      </w:pPr>
      <w:r w:rsidRPr="002235CA">
        <w:t>Q.</w:t>
      </w:r>
      <w:r w:rsidRPr="002235CA">
        <w:tab/>
        <w:t>budući da su povećanja kamatnih stopa negativno utjecala na sposobnost zaduživanja kućanstava i sposobnost zajmoprimaca da otplaćuju dug, što banke EU-a čini osjetljivima na moguće gubitke u budućnosti;</w:t>
      </w:r>
      <w:r w:rsidRPr="002235CA">
        <w:rPr>
          <w:b/>
          <w:i/>
        </w:rPr>
        <w:t xml:space="preserve"> </w:t>
      </w:r>
      <w:r w:rsidRPr="002235CA">
        <w:t>budući da se, kada je riječ o rizicima koji proizlaze iz povećanja kamatnih stopa, do sada primjereno djelovalo;</w:t>
      </w:r>
    </w:p>
    <w:p w:rsidR="00DF272B" w:rsidRPr="002235CA" w:rsidRDefault="00DF272B" w:rsidP="00DF272B">
      <w:pPr>
        <w:pStyle w:val="NormalHanging12a"/>
      </w:pPr>
      <w:r w:rsidRPr="002235CA">
        <w:t>R</w:t>
      </w:r>
      <w:r w:rsidR="003E7E2E">
        <w:t>.</w:t>
      </w:r>
      <w:r w:rsidRPr="002235CA">
        <w:tab/>
        <w:t>budući da dovršetak unije tržišta kapitala iziskuje uspostavu zajedničkih pravila i učinkovitih alata za smanjenje fragmentacije unutarnjeg tržišta i olakšavanje pristupa alternativnom financiranju;</w:t>
      </w:r>
    </w:p>
    <w:p w:rsidR="00DF272B" w:rsidRPr="002235CA" w:rsidRDefault="00DF272B" w:rsidP="00DF272B">
      <w:pPr>
        <w:pStyle w:val="NormalHanging12a"/>
      </w:pPr>
      <w:r w:rsidRPr="002235CA">
        <w:t>S.</w:t>
      </w:r>
      <w:r w:rsidRPr="002235CA">
        <w:tab/>
        <w:t>budući da su EU i Ujedinjena Kraljevina potpisali Memorandum o razumijevanju o regulatornoj suradnji u području financijskih usluga i da bi taj pristup zasnovan na suradnji trebao biti temelj dugoročnih odnosa EU-a i Ujedinjene Kraljevine, posebno u području bankarstva; budući da je Komisija ponovo produljila valjanost svoje privremene dozvole zahvaljujući kojoj je bankama i upraviteljima fondova u EU-u dopušteno da se koriste uslugama klirinških kuća u Ujedinjenoj Kraljevini;</w:t>
      </w:r>
    </w:p>
    <w:p w:rsidR="00DF272B" w:rsidRPr="002235CA" w:rsidRDefault="00DF272B" w:rsidP="00DF272B">
      <w:pPr>
        <w:spacing w:after="240"/>
        <w:ind w:left="567" w:hanging="567"/>
      </w:pPr>
      <w:r w:rsidRPr="002235CA">
        <w:rPr>
          <w:rStyle w:val="BoldItalic"/>
        </w:rPr>
        <w:t>Opća razmatranja</w:t>
      </w:r>
    </w:p>
    <w:p w:rsidR="00DF272B" w:rsidRPr="002235CA" w:rsidRDefault="00DF272B" w:rsidP="00DF272B">
      <w:pPr>
        <w:pStyle w:val="NormalHanging12a"/>
      </w:pPr>
      <w:r w:rsidRPr="002235CA">
        <w:t>1.</w:t>
      </w:r>
      <w:r w:rsidRPr="002235CA">
        <w:tab/>
        <w:t>osuđuje rusku agresiju na Ukrajinu i njezin utjecaj na ukrajinski narod, EU i druge dijelove svijeta; poziva banke da nastave prilagođavati svoje strateške odluke novom europskom i međunarodnom kontekstu koji proizlazi iz te okolnosti, da odgovore na problem sistemskog rizika te da nastave provoditi i poštovati financijske sankcije donesene kao odgovor na rusku invaziju na Ukrajinu;</w:t>
      </w:r>
    </w:p>
    <w:p w:rsidR="00DF272B" w:rsidRPr="002235CA" w:rsidRDefault="00DF272B" w:rsidP="00DF272B">
      <w:pPr>
        <w:pStyle w:val="NormalHanging12a"/>
      </w:pPr>
      <w:r w:rsidRPr="002235CA">
        <w:t>2.</w:t>
      </w:r>
      <w:r w:rsidRPr="002235CA">
        <w:tab/>
        <w:t xml:space="preserve">podsjeća da, iako su države članice odgovorne za utvrđivanje kršenja sankcija EU-a, bankarski sektor ima ključnu ulogu u provedbi sankcija i praćenju usklađenosti; poziva Komisiju da uspostavi bazu podataka na razini EU-a u svrhu poticanja koordinacije među bankama, uklanjanja nedostataka u provedbi sankcija od strane država članica i ocjenjivanja načina na koji banke EU-a provode sankcije; prima na znanje stajalište </w:t>
      </w:r>
      <w:r w:rsidRPr="002235CA">
        <w:lastRenderedPageBreak/>
        <w:t>Parlamenta o prijedlogu uredbe o Tijelu za suzbijanje pranja novca (AMLA), kojim se novom Tijelu povjerava zadaća podupiranja dosljedne primjene ciljanih financijskih sankcija EU-a;</w:t>
      </w:r>
    </w:p>
    <w:p w:rsidR="00DF272B" w:rsidRPr="002235CA" w:rsidRDefault="00DF272B" w:rsidP="00DF272B">
      <w:pPr>
        <w:pStyle w:val="NormalHanging12a"/>
      </w:pPr>
      <w:r w:rsidRPr="002235CA">
        <w:t>3.</w:t>
      </w:r>
      <w:r w:rsidRPr="002235CA">
        <w:tab/>
        <w:t>konstatira da je ukupna izravna izloženost bankarskog sektora prema Rusiji i Ukrajini ograničena jer su banke u procesu smanjenja svoje izloženosti, te poziva nadzorne institucije i ESB u svojstvu tijela za nadzor banaka da pomognu preostalim bankama EU-a koje posluju u Rusiji da uredno izađu s ruskog tržišta;</w:t>
      </w:r>
    </w:p>
    <w:p w:rsidR="00DF272B" w:rsidRPr="002235CA" w:rsidRDefault="00DF272B" w:rsidP="00DF272B">
      <w:pPr>
        <w:pStyle w:val="NormalHanging12a"/>
        <w:rPr>
          <w:b/>
          <w:i/>
        </w:rPr>
      </w:pPr>
      <w:r w:rsidRPr="002235CA">
        <w:t>4.</w:t>
      </w:r>
      <w:r w:rsidRPr="002235CA">
        <w:tab/>
        <w:t>ističe da je bankovna unija i dalje ključna dopuna ekonomskoj i monetarnoj uniji, a time i unutarnjem tržištu; podsjeća da su ključni ciljevi bankovne unije sigurnost bankarskog sustava, zaštita deponenata i sprečavanje spašavanja banaka novcem poreznih obveznika; prepoznaje napredak postignut u posljednjih 15 godina uspostavom jedinstvenog nadzornog mehanizma i jedinstvenog sanacijskog mehanizma, te činjenicu da su banke u EU-u sada u boljem položaju da se nose s financijskim šokovima; poziva na dovršetak bankovne unije te konstatira da njezin treći stup, EDIS, još nije realiziran;</w:t>
      </w:r>
    </w:p>
    <w:p w:rsidR="00C77CD5" w:rsidRDefault="00DF272B" w:rsidP="00DF272B">
      <w:pPr>
        <w:pStyle w:val="NormalHanging12a"/>
      </w:pPr>
      <w:r w:rsidRPr="002235CA">
        <w:t>5.</w:t>
      </w:r>
      <w:r w:rsidRPr="002235CA">
        <w:tab/>
        <w:t>traži od Komisije da dovršenje bankovne unije i unije tržišta kapitala ostanu ključni prioriteti tijekom njezina preostalog mandata te za njezin sljedeći man</w:t>
      </w:r>
      <w:r w:rsidR="00C77CD5">
        <w:t xml:space="preserve">dat; ističe da oba projekta: </w:t>
      </w:r>
    </w:p>
    <w:p w:rsidR="00C77CD5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>otvaraju pristup širem financiranju za kućanstva i MSP-ove, koji se još uvijek u velikoj mjeri oslanjaju na bankovne kredite,</w:t>
      </w:r>
    </w:p>
    <w:p w:rsidR="00C77CD5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>potiču ulaganja i otvaranje radnih mjesta,</w:t>
      </w:r>
    </w:p>
    <w:p w:rsidR="00C77CD5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>podupiru europsko gospodarstvo,</w:t>
      </w:r>
    </w:p>
    <w:p w:rsidR="00C77CD5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 xml:space="preserve">povećavaju financijsku stabilnost, </w:t>
      </w:r>
    </w:p>
    <w:p w:rsidR="00C77CD5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>smanjuju učinak gospodarskih padova,</w:t>
      </w:r>
    </w:p>
    <w:p w:rsidR="00C77CD5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 xml:space="preserve">financiraju prijelaz na zeleno i digitalno gospodarstvo, te </w:t>
      </w:r>
    </w:p>
    <w:p w:rsidR="00DF272B" w:rsidRPr="002235CA" w:rsidRDefault="00C77CD5" w:rsidP="00C77CD5">
      <w:pPr>
        <w:pStyle w:val="NormalHanging12a"/>
        <w:ind w:left="1134"/>
      </w:pPr>
      <w:r>
        <w:t>–</w:t>
      </w:r>
      <w:r>
        <w:tab/>
      </w:r>
      <w:r w:rsidR="00DF272B" w:rsidRPr="002235CA">
        <w:t>oslobađaju potencijal rasta EU-a;</w:t>
      </w:r>
    </w:p>
    <w:p w:rsidR="00DF272B" w:rsidRPr="002235CA" w:rsidRDefault="00DF272B" w:rsidP="00DF272B">
      <w:pPr>
        <w:pStyle w:val="NormalHanging12a"/>
      </w:pPr>
      <w:r w:rsidRPr="002235CA">
        <w:t>6.</w:t>
      </w:r>
      <w:r w:rsidRPr="002235CA">
        <w:tab/>
        <w:t>prima na znanje izjavu EBA-e od 13. srpnja 2023. u kojoj se navodi da bankarski sektor EU-a/EGP-a pokazuje rastuću profitabilnost, ali da su prisutni rizici povezani s kvalitetom imovine i profitabilnosti; prima na znanje nedavna kratkoročna povećanja profitabilnosti banaka EU-a (godišnji povrat na vlasnički kapital porastao je na 10,04 % u drugom tromjesečju 2023., dok je u istom razdoblju 2022. iznosio 7,59 %, dosegnuvši tako najvišu razinu u 14 godina</w:t>
      </w:r>
      <w:r w:rsidRPr="002235CA">
        <w:rPr>
          <w:rStyle w:val="FootnoteReference"/>
        </w:rPr>
        <w:footnoteReference w:id="5"/>
      </w:r>
      <w:r w:rsidRPr="002235CA">
        <w:t>), ali upozorava da ta povećanja moraju biti održiva kako bi se osigurala dugoročna konkurentnost;</w:t>
      </w:r>
    </w:p>
    <w:p w:rsidR="00DF272B" w:rsidRPr="002235CA" w:rsidRDefault="00DF272B" w:rsidP="00DF272B">
      <w:pPr>
        <w:pStyle w:val="NormalHanging12a"/>
      </w:pPr>
      <w:r w:rsidRPr="002235CA">
        <w:t>7.</w:t>
      </w:r>
      <w:r w:rsidRPr="002235CA">
        <w:tab/>
        <w:t xml:space="preserve">potiče korištenje dobiti za izgradnju rezervi, a time i očuvanje stabilnosti financijskog sustava, te za financiranje europskog gospodarstva; konstatira da je privremena obustava raspodjele dividendi i otkupa dionica bila učinkovita u zaštiti otpornosti </w:t>
      </w:r>
      <w:r w:rsidRPr="002235CA">
        <w:lastRenderedPageBreak/>
        <w:t>banaka tijekom krize uzrokovane bolešću COVID-19;</w:t>
      </w:r>
    </w:p>
    <w:p w:rsidR="00DF272B" w:rsidRPr="002235CA" w:rsidRDefault="00DF272B" w:rsidP="00DF272B">
      <w:pPr>
        <w:pStyle w:val="NormalHanging12a"/>
      </w:pPr>
      <w:r w:rsidRPr="002235CA">
        <w:t>8.</w:t>
      </w:r>
      <w:r w:rsidRPr="002235CA">
        <w:tab/>
        <w:t xml:space="preserve">konstatira da je istraživanje o kreditiranju banaka </w:t>
      </w:r>
      <w:proofErr w:type="spellStart"/>
      <w:r w:rsidRPr="002235CA">
        <w:t>europodručja</w:t>
      </w:r>
      <w:proofErr w:type="spellEnd"/>
      <w:r w:rsidRPr="002235CA">
        <w:t xml:space="preserve"> u drugom tromjesečju iz 2023. pokazalo da su banke dodatno postrožile svoje kreditne standarde za kredite poduzećima i kućanstvima za kupnju stambenih nekretnina zbog veće percepcije rizika, niže tolerancije na rizik i povećanih troškova financiranja, te da su banke također postrožile uvjete kreditiranja kao rezultat veće zabrinutosti zbog </w:t>
      </w:r>
      <w:proofErr w:type="spellStart"/>
      <w:r w:rsidRPr="002235CA">
        <w:t>neprihodonosnih</w:t>
      </w:r>
      <w:proofErr w:type="spellEnd"/>
      <w:r w:rsidRPr="002235CA">
        <w:t xml:space="preserve"> kredita</w:t>
      </w:r>
      <w:r w:rsidRPr="002235CA">
        <w:rPr>
          <w:vertAlign w:val="superscript"/>
        </w:rPr>
        <w:footnoteReference w:id="6"/>
      </w:r>
      <w:r w:rsidRPr="002235CA">
        <w:t>; podsjeća na ključnu ulogu bankarskog sektora EU-a u financiranju oporavka gospodarstva EU-a te smatra da će oporavak ovisiti i o tome da banke raspolažu dostatnim kapitalom za kreditiranje, posebno u kontekstu postupnog ukidanja mjera javne potpore u državama članicama;</w:t>
      </w:r>
    </w:p>
    <w:p w:rsidR="00DF272B" w:rsidRPr="002235CA" w:rsidRDefault="00DF272B" w:rsidP="00DF272B">
      <w:pPr>
        <w:pStyle w:val="NormalHanging12a"/>
      </w:pPr>
      <w:r w:rsidRPr="002235CA">
        <w:t>9.</w:t>
      </w:r>
      <w:r w:rsidRPr="002235CA">
        <w:tab/>
        <w:t xml:space="preserve">poziva Komisiju da procijeni prepreke prekograničnim spajanjima, kao i moguće poticaje za namjensko izdvajanje; prima na znanje da, prema izjavi Andree </w:t>
      </w:r>
      <w:proofErr w:type="spellStart"/>
      <w:r w:rsidRPr="002235CA">
        <w:t>Enrija</w:t>
      </w:r>
      <w:proofErr w:type="spellEnd"/>
      <w:r w:rsidRPr="002235CA">
        <w:t xml:space="preserve">, predsjednika Nadzornog odbora ESB-a, bankarski sektor i dalje u velikoj mjeri čini skup nacionalnih bankarskih sektora; konstatira da bi integriraniji bankarski sektor EU-a mogao poboljšati sposobnost banaka za provedbu strateških ulaganja i potaknuti razvoj tržišta kapitala EU-a, istodobno prepoznajući da raznolikost bankarskih poslovnih modela u </w:t>
      </w:r>
      <w:proofErr w:type="spellStart"/>
      <w:r w:rsidRPr="002235CA">
        <w:t>europodručju</w:t>
      </w:r>
      <w:proofErr w:type="spellEnd"/>
      <w:r w:rsidRPr="002235CA">
        <w:t xml:space="preserve"> povećava otpornost financijskog sustava; prima na znanje moguće rizike u pogledu institucija koje su „prevelike da bi propale” i konstatira da bi se financijska stabilnost mogla povećati reformom globalnih sistemski važnih banaka EU-a kojom se odgovara na rizike moralnog hazarda; ističe da bi prekogranična konsolidacija bez prekomjerne koncentracije mogla povećati profitabilnost bankarskog sektora EU-a i potencijalno poboljšati trenutačno stanje u pogledu manjeg broja usluga koje se nude i većih troškova za građane u mnogim državama članicama;</w:t>
      </w:r>
    </w:p>
    <w:p w:rsidR="00DF272B" w:rsidRPr="002235CA" w:rsidRDefault="00DF272B" w:rsidP="00DF272B">
      <w:pPr>
        <w:pStyle w:val="NormalHanging12a"/>
      </w:pPr>
      <w:r w:rsidRPr="002235CA">
        <w:t>10.</w:t>
      </w:r>
      <w:r w:rsidRPr="002235CA">
        <w:tab/>
        <w:t>konstatira da uslugama bankarskog poslovanja sa stanovništvom u određenim državama članicama i dalje dominira mali broj banaka, što za posljedicu ima smanjenje izbora za korisnike bankarskog poslovanja sa stanovništvom; smatra da se integrirana bankovna unija mora temeljiti na jedinstvenom tržištu maloprodajnih financijskih usluga koje dobro funkcionira; žali zbog preostalih prepreka prekograničnim uslugama bankarskog poslovanja sa stanovništvom i poziva Komisiju da analizira prepreke i poteškoće s kojima se potrošači susreću kada koriste proizvode bankarskog poslovanja sa stanovništvom; naglašava potencijal koji integrirana bankovna unija ima za poboljšanje tržišnog natjecanja i izbora potrošača u području bankarskog poslovanja sa stanovništvom, među ostalim preko boljih mogućnosti za pružanje prekograničnih usluga bankarskog poslovanja sa stanovništvom; ističe prednosti diversificiranog i konkurentnog bankarskog sektora u EU-u;</w:t>
      </w:r>
    </w:p>
    <w:p w:rsidR="00DF272B" w:rsidRPr="002235CA" w:rsidRDefault="00DF272B" w:rsidP="00DF272B">
      <w:pPr>
        <w:pStyle w:val="NormalHanging12a"/>
      </w:pPr>
      <w:r w:rsidRPr="002235CA">
        <w:t>11.</w:t>
      </w:r>
      <w:r w:rsidRPr="002235CA">
        <w:tab/>
        <w:t>naglašava da se kamatne stope koje se nude kućanstvima i MSP-ovima izrazito razlikuju po državama članicama; potiče institucije i tijela EU-a da razmotre mjere za poboljšanje izbora potrošača i tržišnog natjecanja te za smanjenje opterećenja za nositelje hipotekarnih kredita i MSP-ove u državama članicama s višim stopama kreditiranja kako bi se zajamčilo da svi građani i poduzeća imaju pristup prijeko potrebnom kapitalu po poštenim i konkurentnim cijenama;</w:t>
      </w:r>
    </w:p>
    <w:p w:rsidR="00DF272B" w:rsidRPr="002235CA" w:rsidRDefault="00DF272B" w:rsidP="00DF272B">
      <w:pPr>
        <w:pStyle w:val="NormalHanging12a"/>
      </w:pPr>
      <w:r w:rsidRPr="002235CA">
        <w:t>12.</w:t>
      </w:r>
      <w:r w:rsidRPr="002235CA">
        <w:tab/>
        <w:t xml:space="preserve">ističe ulogu bankarskog sektora u podupiranju prelaska na digitalizirano i ugljično neutralno gospodarstvo, u usmjeravanju sredstava na obnovljive izvore energije i </w:t>
      </w:r>
      <w:r w:rsidRPr="002235CA">
        <w:lastRenderedPageBreak/>
        <w:t>podupiranju postizanja ciljeva zelenog plana EU-a i Europskog zakona o klimi</w:t>
      </w:r>
      <w:r w:rsidRPr="002235CA">
        <w:rPr>
          <w:rStyle w:val="FootnoteReference"/>
        </w:rPr>
        <w:footnoteReference w:id="7"/>
      </w:r>
      <w:r w:rsidRPr="002235CA">
        <w:t>; prima na znanje da banke u EU-u nastavljaju smanjivati svoju izloženost prema energetski intenzivnim poduzećima i poduzećima u sektoru fosilnih goriva te prima na znanje različite čimbenike koji utječu na financijsku stabilnost, uključujući vrijednosti imovine povezane s fosilnim gorivima; očekuje objavu izvješćâ EBA-e o ključnim pitanjima rizičnosti izloženosti institucija imovini u području okolišnih, socijalnih ili upravljačkih čimbenika i mogućim učincima prilagođenog bonitetnog tretmana tih izloženosti, koja će se objaviti do kraja 2024. i 2025.;</w:t>
      </w:r>
    </w:p>
    <w:p w:rsidR="00DF272B" w:rsidRPr="002235CA" w:rsidRDefault="00DF272B" w:rsidP="00DF272B">
      <w:pPr>
        <w:pStyle w:val="NormalHanging12a"/>
      </w:pPr>
      <w:r w:rsidRPr="002235CA">
        <w:t>13.</w:t>
      </w:r>
      <w:r w:rsidRPr="002235CA">
        <w:tab/>
        <w:t xml:space="preserve">žali zbog toga što financijske institucije nisu uspjele osigurati rodnu ravnotežu, posebno u svojim upravljačkim tijelima; naglašava da rodna ravnoteža u odborima i radnoj snazi donosi i društvenu i gospodarsku dobit; poziva financijske institucije da redovno ažuriraju svoje politike raznolikosti i uključenosti te da doprinose poticanju zdravih radnih kultura u kojima se prednost daje </w:t>
      </w:r>
      <w:proofErr w:type="spellStart"/>
      <w:r w:rsidRPr="002235CA">
        <w:t>uključivosti</w:t>
      </w:r>
      <w:proofErr w:type="spellEnd"/>
      <w:r w:rsidRPr="002235CA">
        <w:t>; poziva nadzorna tijela da iskoriste svoje nadzorne ovlasti kako bi se uhvatila u koštac s nedostatkom raznolikosti i rodne ravnoteže u upravljačkim tijelima financijskih institucija;</w:t>
      </w:r>
    </w:p>
    <w:p w:rsidR="00DF272B" w:rsidRPr="002235CA" w:rsidRDefault="00DF272B" w:rsidP="00DF272B">
      <w:pPr>
        <w:pStyle w:val="NormalHanging12a"/>
      </w:pPr>
      <w:r w:rsidRPr="002235CA">
        <w:t>14.</w:t>
      </w:r>
      <w:r w:rsidRPr="002235CA">
        <w:tab/>
        <w:t>izražava žaljenje zbog nedostatka rodne ravnoteže u Upravnom vijeću ESB-a, njegovu Nadzornom odboru i Jedinstvenom sanacijskom odboru; poziva aktere da osiguraju da se u kontekstu budućih imenovanja smanji taj jaz; podsjeća na Rezoluciju Parlamenta od 14. ožujka 2019. s ciljem osiguravanja rodne ravnoteže na predstojećem popisu kandidata za imenovanje za ekonomske i monetarne politike EU-a i ponavlja svoju predanost da u obzir ne uzima popise kandidata koji ne poštuju načelo rodne ravnoteže;</w:t>
      </w:r>
    </w:p>
    <w:p w:rsidR="00DF272B" w:rsidRPr="002235CA" w:rsidRDefault="00DF272B" w:rsidP="00DF272B">
      <w:pPr>
        <w:pStyle w:val="NormalHanging12a"/>
      </w:pPr>
      <w:r w:rsidRPr="002235CA">
        <w:t>15.</w:t>
      </w:r>
      <w:r w:rsidRPr="002235CA">
        <w:tab/>
        <w:t>žali zbog toga što je ESB u okviru postupka odabira predsjednika Nadzornog odbora ESB-a zanemario povratne informacije Parlamenta; apelira na ESB da u predstojećim postupcima odabira na odgovarajući način uzme u obzir mišljenje Parlamenta;</w:t>
      </w:r>
    </w:p>
    <w:p w:rsidR="00DF272B" w:rsidRPr="002235CA" w:rsidRDefault="00DF272B" w:rsidP="00DF272B">
      <w:pPr>
        <w:pStyle w:val="NormalHanging12a"/>
      </w:pPr>
      <w:r w:rsidRPr="002235CA">
        <w:t>16.</w:t>
      </w:r>
      <w:r w:rsidRPr="002235CA">
        <w:tab/>
        <w:t>konstatira da je izloženost banaka domaćem državnom dugu u bankovnoj uniji i dalje visoka; podsjeća da je jedan od glavnih ciljeva bankovne unije prekidanje veze između banaka i državnih rizika; naglašava da pitanje regulatornog tretmana izloženosti prema državi zahtijeva detaljno ispitivanje u okviru međunarodnih foruma i da bi trebalo biti u skladu s međunarodnim standardima, te poziva Komisiju da to uzme u obzir dok se bude bavila s tim pitanjem u svim budućim prijedlozima; dijeli zabrinutost EBA-e da su izloženosti prema državi značajne za banke u EU-u i da bi mogle postati izvor potencijalne ranjivosti</w:t>
      </w:r>
      <w:r w:rsidRPr="002235CA">
        <w:rPr>
          <w:vertAlign w:val="superscript"/>
        </w:rPr>
        <w:footnoteReference w:id="8"/>
      </w:r>
      <w:r w:rsidRPr="002235CA">
        <w:t>;</w:t>
      </w:r>
    </w:p>
    <w:p w:rsidR="00DF272B" w:rsidRPr="002235CA" w:rsidRDefault="00DF272B" w:rsidP="00DF272B">
      <w:pPr>
        <w:pStyle w:val="NormalHanging12a"/>
      </w:pPr>
      <w:r w:rsidRPr="002235CA">
        <w:t>17.</w:t>
      </w:r>
      <w:r w:rsidRPr="002235CA">
        <w:tab/>
        <w:t xml:space="preserve">ističe da bi uspostava sigurne imovine EU-a mogla pomoći u ublažavanju negativnih povratnih veza između država i domaćih bankarskih sektora; smatra da se instrumentom </w:t>
      </w:r>
      <w:proofErr w:type="spellStart"/>
      <w:r w:rsidRPr="002235CA">
        <w:t>NextGenerationEU</w:t>
      </w:r>
      <w:proofErr w:type="spellEnd"/>
      <w:r w:rsidRPr="002235CA">
        <w:t xml:space="preserve"> osigurava visokokvalitetna, </w:t>
      </w:r>
      <w:proofErr w:type="spellStart"/>
      <w:r w:rsidRPr="002235CA">
        <w:t>niskorizična</w:t>
      </w:r>
      <w:proofErr w:type="spellEnd"/>
      <w:r w:rsidRPr="002235CA">
        <w:t xml:space="preserve"> europska imovina, čime se omogućuje ponovna ravnoteža državnih obveznica u bilancama banaka;</w:t>
      </w:r>
    </w:p>
    <w:p w:rsidR="00DF272B" w:rsidRPr="002235CA" w:rsidRDefault="00DF272B" w:rsidP="00DF272B">
      <w:pPr>
        <w:pStyle w:val="NormalHanging12a"/>
        <w:spacing w:line="276" w:lineRule="auto"/>
        <w:ind w:left="0" w:firstLine="0"/>
        <w:rPr>
          <w:rStyle w:val="BoldItalic"/>
        </w:rPr>
      </w:pPr>
      <w:r w:rsidRPr="002235CA">
        <w:rPr>
          <w:rStyle w:val="BoldItalic"/>
        </w:rPr>
        <w:t>Nadzor</w:t>
      </w:r>
    </w:p>
    <w:p w:rsidR="00DF272B" w:rsidRPr="002235CA" w:rsidRDefault="00DF272B" w:rsidP="00DF272B">
      <w:pPr>
        <w:pStyle w:val="NormalHanging12a"/>
      </w:pPr>
      <w:r w:rsidRPr="002235CA">
        <w:t>18.</w:t>
      </w:r>
      <w:r w:rsidRPr="002235CA">
        <w:tab/>
        <w:t xml:space="preserve">konstatira da se stopa redovnog osnovnog kapitala povećala u drugom tromjesečju </w:t>
      </w:r>
      <w:r w:rsidRPr="002235CA">
        <w:lastRenderedPageBreak/>
        <w:t xml:space="preserve">2023. na 15,72 % (povećanje s 14,96 % u drugom tromjesečju 2022.); žali zbog toga što je koeficijent </w:t>
      </w:r>
      <w:proofErr w:type="spellStart"/>
      <w:r w:rsidRPr="002235CA">
        <w:t>likvidnosne</w:t>
      </w:r>
      <w:proofErr w:type="spellEnd"/>
      <w:r w:rsidRPr="002235CA">
        <w:t xml:space="preserve"> pokrivenosti pao na 158,00 % u drugom tromjesečju 2023. (smanjenje sa 164,36 % u drugom tromjesečju 2022.)</w:t>
      </w:r>
      <w:r w:rsidRPr="002235CA">
        <w:rPr>
          <w:rStyle w:val="FootnoteReference"/>
        </w:rPr>
        <w:footnoteReference w:id="9"/>
      </w:r>
      <w:r w:rsidRPr="002235CA">
        <w:t>;</w:t>
      </w:r>
    </w:p>
    <w:p w:rsidR="00DF272B" w:rsidRPr="002235CA" w:rsidRDefault="00DF272B" w:rsidP="00DF272B">
      <w:pPr>
        <w:pStyle w:val="NormalHanging12a"/>
      </w:pPr>
      <w:r w:rsidRPr="002235CA">
        <w:t>19.</w:t>
      </w:r>
      <w:r w:rsidRPr="002235CA">
        <w:tab/>
        <w:t xml:space="preserve">konstatira da se udio </w:t>
      </w:r>
      <w:proofErr w:type="spellStart"/>
      <w:r w:rsidRPr="002235CA">
        <w:t>neprihodonosnih</w:t>
      </w:r>
      <w:proofErr w:type="spellEnd"/>
      <w:r w:rsidRPr="002235CA">
        <w:t xml:space="preserve"> kredita dodatno smanjio te poziva na daljnje smanjenje; podsjeća da bi smanjenje rizika u bankarskom sektoru doprinijelo bankovnoj uniji koja je stabilnija, snažnija i usmjerenija na gospodarski rast; poziva nadzorna tijela da prate i razvoj kredita u 2. fazi; primjećuje nedostatak napretka u pogledu Prijedloga direktive o ubrzanoj </w:t>
      </w:r>
      <w:proofErr w:type="spellStart"/>
      <w:r w:rsidRPr="002235CA">
        <w:t>izvansudskoj</w:t>
      </w:r>
      <w:proofErr w:type="spellEnd"/>
      <w:r w:rsidRPr="002235CA">
        <w:t xml:space="preserve"> naplati kolaterala, kojim se bankama pod određenim uvjetima namjerava staviti na raspolaganje mehanizam za ubrzanje povrata vrijednosti iz osiguranih kredita preko </w:t>
      </w:r>
      <w:proofErr w:type="spellStart"/>
      <w:r w:rsidRPr="002235CA">
        <w:t>izvansudskih</w:t>
      </w:r>
      <w:proofErr w:type="spellEnd"/>
      <w:r w:rsidRPr="002235CA">
        <w:t xml:space="preserve"> izvršenja postupaka kako bi se dodatno razvila sekundarna tržišta </w:t>
      </w:r>
      <w:proofErr w:type="spellStart"/>
      <w:r w:rsidRPr="002235CA">
        <w:t>neprihodonosnih</w:t>
      </w:r>
      <w:proofErr w:type="spellEnd"/>
      <w:r w:rsidRPr="002235CA">
        <w:t xml:space="preserve"> kredita; ističe da je Direktiva o pružateljima usluge servisiranja kredita i kupcima kredita</w:t>
      </w:r>
      <w:r w:rsidRPr="002235CA">
        <w:rPr>
          <w:rStyle w:val="FootnoteReference"/>
        </w:rPr>
        <w:footnoteReference w:id="10"/>
      </w:r>
      <w:r w:rsidRPr="002235CA">
        <w:t xml:space="preserve"> povećala učinkovitost sekundarnog tržišta </w:t>
      </w:r>
      <w:proofErr w:type="spellStart"/>
      <w:r w:rsidRPr="002235CA">
        <w:t>neprihodonosnih</w:t>
      </w:r>
      <w:proofErr w:type="spellEnd"/>
      <w:r w:rsidRPr="002235CA">
        <w:t xml:space="preserve"> kredita, uz istodobno uspostavljanje visokih zaštitnih mjera za dužnike; ističe da je prodaja </w:t>
      </w:r>
      <w:proofErr w:type="spellStart"/>
      <w:r w:rsidRPr="002235CA">
        <w:t>neprihodonosnih</w:t>
      </w:r>
      <w:proofErr w:type="spellEnd"/>
      <w:r w:rsidRPr="002235CA">
        <w:t xml:space="preserve"> kredita drugo najbolje rješenje u usporedbi s vraćanjem kredita u </w:t>
      </w:r>
      <w:proofErr w:type="spellStart"/>
      <w:r w:rsidRPr="002235CA">
        <w:t>prihodonosni</w:t>
      </w:r>
      <w:proofErr w:type="spellEnd"/>
      <w:r w:rsidRPr="002235CA">
        <w:t xml:space="preserve"> status;</w:t>
      </w:r>
    </w:p>
    <w:p w:rsidR="00DF272B" w:rsidRPr="002235CA" w:rsidRDefault="00DF272B" w:rsidP="00DF272B">
      <w:pPr>
        <w:pStyle w:val="NormalHanging12a"/>
      </w:pPr>
      <w:r w:rsidRPr="002235CA">
        <w:t>20.</w:t>
      </w:r>
      <w:r w:rsidRPr="002235CA">
        <w:tab/>
        <w:t>prima na znanje pogoršanje makroekonomske situacije; ističe da bi se banke u EU-u trebale pripremiti za moguće pogoršanje kvalitete imovine; naglašava stoga važnost opreznog upravljanja rizicima i primjerenog rezerviranja; poziva Komisiju te nacionalna nadzorna tijela i nadzorna tijela EU-a da se pripreme za moguće pogoršanje kvalitete imovine;</w:t>
      </w:r>
    </w:p>
    <w:p w:rsidR="00DF272B" w:rsidRPr="002235CA" w:rsidRDefault="00DF272B" w:rsidP="00DF272B">
      <w:pPr>
        <w:pStyle w:val="NormalHanging12a"/>
      </w:pPr>
      <w:r w:rsidRPr="002235CA">
        <w:t>21.</w:t>
      </w:r>
      <w:r w:rsidRPr="002235CA">
        <w:tab/>
        <w:t>konstatira da je posljednji niz propasti banaka u SAD-u i Švicarskoj pokazao slabosti financijskog sustava, posebno u tim zemljama; ističe da je, u kontekstu tih događaja, stanje kapitala i likvidnosti banaka u EU-u i dalje stabilno, što pokazuje otpornost bankarskog sektora EU-a; ističe da su nadzorna tijela EU-a i nacionalna nadzorna tijela odgovorila na te rizike i pozdravlja rezultate testiranja otpornosti na stres na razini EU-a iz 2023. i činjenicu da bi banke u EU-u mogle prebroditi gospodarski pad;</w:t>
      </w:r>
    </w:p>
    <w:p w:rsidR="00DF272B" w:rsidRPr="002235CA" w:rsidRDefault="00DF272B" w:rsidP="00DF272B">
      <w:pPr>
        <w:pStyle w:val="NormalHanging12a"/>
      </w:pPr>
      <w:r w:rsidRPr="002235CA">
        <w:t>22.</w:t>
      </w:r>
      <w:r w:rsidRPr="002235CA">
        <w:tab/>
        <w:t>poziva nadzorna tijela da nastave procjenjivati izloženost banaka kamatnim rizicima koji proizlaze iz daljnjih promjena u razinama kamatnih stopa; konstatira da izloženost banaka kamatnom riziku ovisi o strukturi njihove imovine i poslovnom modelu, te iščekuje Komisijinu procjenu regulatornog okvira za banke; izražava zabrinutost zbog znatne razine državnog duga u bilancama banaka u bankovnoj uniji; naglašava da pitanje regulatornog tretmana izloženosti prema državi zahtijeva detaljno ispitivanje u okviru međunarodnih foruma i da bi trebalo biti u skladu s međunarodnim standardima; podsjeća da je jedan od glavnih ciljeva bankovne unije prekidanje veze između banaka i državnih rizika;</w:t>
      </w:r>
    </w:p>
    <w:p w:rsidR="00DF272B" w:rsidRPr="002235CA" w:rsidRDefault="00DF272B" w:rsidP="00DF272B">
      <w:pPr>
        <w:pStyle w:val="NormalHanging12a"/>
      </w:pPr>
      <w:r w:rsidRPr="002235CA">
        <w:t>23.</w:t>
      </w:r>
      <w:r w:rsidRPr="002235CA">
        <w:tab/>
        <w:t xml:space="preserve">podsjeća da ESB u svojem dokumentu „Financial </w:t>
      </w:r>
      <w:proofErr w:type="spellStart"/>
      <w:r w:rsidRPr="002235CA">
        <w:t>Stability</w:t>
      </w:r>
      <w:proofErr w:type="spellEnd"/>
      <w:r w:rsidRPr="002235CA">
        <w:t xml:space="preserve"> </w:t>
      </w:r>
      <w:proofErr w:type="spellStart"/>
      <w:r w:rsidRPr="002235CA">
        <w:t>Review</w:t>
      </w:r>
      <w:proofErr w:type="spellEnd"/>
      <w:r w:rsidRPr="002235CA">
        <w:t xml:space="preserve"> 2023” (Pregled financijske stabilnosti 2023.) naglašava važnost uzimanja u obzir pogoršanja bilanci banaka povezanog s rastom kamatnih stopa i naglašava da će </w:t>
      </w:r>
      <w:proofErr w:type="spellStart"/>
      <w:r w:rsidRPr="002235CA">
        <w:t>makrobonitetna</w:t>
      </w:r>
      <w:proofErr w:type="spellEnd"/>
      <w:r w:rsidRPr="002235CA">
        <w:t xml:space="preserve"> tijela </w:t>
      </w:r>
      <w:r w:rsidRPr="002235CA">
        <w:lastRenderedPageBreak/>
        <w:t>morati postupno jačati mjere povezane s kapitalom i/ili zajmoprimcima;</w:t>
      </w:r>
    </w:p>
    <w:p w:rsidR="00DF272B" w:rsidRPr="002235CA" w:rsidRDefault="00DF272B" w:rsidP="00DF272B">
      <w:pPr>
        <w:pStyle w:val="NormalHanging12a"/>
      </w:pPr>
      <w:r w:rsidRPr="002235CA">
        <w:t>24.</w:t>
      </w:r>
      <w:r w:rsidRPr="002235CA">
        <w:tab/>
        <w:t>poziva na daljnje usklađivanje regulatornog okvira EU-a, kada je to primjereno, uz promicanje konvergencije među nacionalnim tijelima i korištenje dijaloga o nadzoru za procjenu razvoja prijetnji bankarskom sektoru;</w:t>
      </w:r>
    </w:p>
    <w:p w:rsidR="00DF272B" w:rsidRPr="002235CA" w:rsidRDefault="00DF272B" w:rsidP="00DF272B">
      <w:pPr>
        <w:pStyle w:val="NormalHanging12a"/>
      </w:pPr>
      <w:r w:rsidRPr="002235CA">
        <w:t>25.</w:t>
      </w:r>
      <w:r w:rsidRPr="002235CA">
        <w:tab/>
        <w:t xml:space="preserve">pozdravlja dogovor postignut na </w:t>
      </w:r>
      <w:proofErr w:type="spellStart"/>
      <w:r w:rsidRPr="002235CA">
        <w:t>međuinstitucijskoj</w:t>
      </w:r>
      <w:proofErr w:type="spellEnd"/>
      <w:r w:rsidRPr="002235CA">
        <w:t xml:space="preserve"> razini o provedbi standarda </w:t>
      </w:r>
      <w:proofErr w:type="spellStart"/>
      <w:r w:rsidRPr="002235CA">
        <w:t>Basel</w:t>
      </w:r>
      <w:proofErr w:type="spellEnd"/>
      <w:r w:rsidRPr="002235CA">
        <w:t xml:space="preserve"> III u EU-u; ističe da će se okvirom postići različite razine povećanja bonitetnih zahtjeva ovisno o oslanjanju banaka na upotrebu internih modela za izračun svojih pondera rizika; ističe da su nova pravila ojačala i bolje utvrdila proporcionalnost u nadzoru banaka te da će nastaviti povećavati financijsku stabilnost u EU-u; naglašava važnost jednakih uvjeta u jurisdikcijama;</w:t>
      </w:r>
    </w:p>
    <w:p w:rsidR="00DF272B" w:rsidRPr="002235CA" w:rsidRDefault="00DF272B" w:rsidP="00DF272B">
      <w:pPr>
        <w:pStyle w:val="NormalHanging12a"/>
      </w:pPr>
      <w:r w:rsidRPr="002235CA">
        <w:t>26.</w:t>
      </w:r>
      <w:r w:rsidRPr="002235CA">
        <w:tab/>
        <w:t>prima na znanje stajališta EBA-e i ESB-a o odstupanjima od međunarodnog sporazuma uvedenih Uredbom o kapitalnim zahtjevima</w:t>
      </w:r>
      <w:r w:rsidRPr="002235CA">
        <w:rPr>
          <w:rStyle w:val="FootnoteReference"/>
        </w:rPr>
        <w:footnoteReference w:id="11"/>
      </w:r>
      <w:r w:rsidRPr="002235CA">
        <w:t>;</w:t>
      </w:r>
    </w:p>
    <w:p w:rsidR="00DF272B" w:rsidRPr="002235CA" w:rsidRDefault="00DF272B" w:rsidP="00DF272B">
      <w:pPr>
        <w:pStyle w:val="NormalHanging12a"/>
      </w:pPr>
      <w:r w:rsidRPr="002235CA">
        <w:t>27.</w:t>
      </w:r>
      <w:r w:rsidRPr="002235CA">
        <w:tab/>
        <w:t xml:space="preserve">ističe da </w:t>
      </w:r>
      <w:proofErr w:type="spellStart"/>
      <w:r w:rsidRPr="002235CA">
        <w:t>kriptoimovina</w:t>
      </w:r>
      <w:proofErr w:type="spellEnd"/>
      <w:r w:rsidRPr="002235CA">
        <w:t xml:space="preserve"> donosi nove mogućnosti i izazove za banke; konstatira da se bazelski standardi još uvijek ne provode za </w:t>
      </w:r>
      <w:proofErr w:type="spellStart"/>
      <w:r w:rsidRPr="002235CA">
        <w:t>kriptoimovinu</w:t>
      </w:r>
      <w:proofErr w:type="spellEnd"/>
      <w:r w:rsidRPr="002235CA">
        <w:t>; pozdravlja prijelazni režim koji je već uključen u trenutačnu reviziju Direktive o kapitalnim zahtjevima</w:t>
      </w:r>
      <w:r w:rsidRPr="002235CA">
        <w:rPr>
          <w:rStyle w:val="FootnoteReference"/>
        </w:rPr>
        <w:footnoteReference w:id="12"/>
      </w:r>
      <w:r w:rsidRPr="002235CA">
        <w:t xml:space="preserve"> i Uredbe o kapitalnim zahtjevima; očekuje zakonodavni prijedlog Komisije do 30. lipnja 2025. o uvođenju posebnog bonitetnog tretmana za izloženosti </w:t>
      </w:r>
      <w:proofErr w:type="spellStart"/>
      <w:r w:rsidRPr="002235CA">
        <w:t>kriptoimovini</w:t>
      </w:r>
      <w:proofErr w:type="spellEnd"/>
      <w:r w:rsidRPr="002235CA">
        <w:t>, uzimajući u obzir bazelske standarde;</w:t>
      </w:r>
    </w:p>
    <w:p w:rsidR="00DF272B" w:rsidRPr="002235CA" w:rsidRDefault="00DF272B" w:rsidP="00DF272B">
      <w:pPr>
        <w:pStyle w:val="NormalHanging12a"/>
      </w:pPr>
      <w:r w:rsidRPr="002235CA">
        <w:t>28.</w:t>
      </w:r>
      <w:r w:rsidRPr="002235CA">
        <w:tab/>
        <w:t>konstatira da sektor nebankarskih financijskih posrednika i dalje raste; naglašava potrebu za jačanjem otpornosti nebankarskih financijskih posrednika i uspostavljanjem ravnopravnih uvjeta u odnosu na bankarski sektor, među ostalim oblikovanjem posebnih regulatornih i nadzornih alata za sprečavanje krize likvidnosti; pozdravlja izvješće MMF-a o svjetskoj financijskoj stabilnosti, objavljeno u travnju 2023., u kojem se utvrđuju mogući izvori rizika za financijski sektor; upozorava da međupovezanost nebankarskih financijskih institucija i banaka povećava rizik od prenošenja poteškoća s jedne strane na drugu;</w:t>
      </w:r>
    </w:p>
    <w:p w:rsidR="00DF272B" w:rsidRPr="002235CA" w:rsidRDefault="00DF272B" w:rsidP="00DF272B">
      <w:pPr>
        <w:pStyle w:val="NormalHanging12a"/>
      </w:pPr>
      <w:r w:rsidRPr="002235CA">
        <w:t>29.</w:t>
      </w:r>
      <w:r w:rsidRPr="002235CA">
        <w:tab/>
        <w:t>ističe važnost kombiniranja daljnje integracije s primjerenim zaštitnim mjerama za rješavanje pitanja matične zemlje / zemlje domaćina na proporcionalan i vjerodostojan način;</w:t>
      </w:r>
    </w:p>
    <w:p w:rsidR="00DF272B" w:rsidRPr="002235CA" w:rsidRDefault="00DF272B" w:rsidP="00DF272B">
      <w:pPr>
        <w:pStyle w:val="NormalHanging12a"/>
      </w:pPr>
      <w:r w:rsidRPr="002235CA">
        <w:t>30.</w:t>
      </w:r>
      <w:r w:rsidRPr="002235CA">
        <w:tab/>
        <w:t>prima na znanje uključivanje financijskih rizika povezanih s klimom i prirodom u nadzorne prioritete ESB-a za nadolazeće godine; pozdravlja, među ostalim, drugo testiranje otpornosti na stres u pogledu klimatskih rizika u cijelom gospodarstvu, koje je ESB proveo u rujnu 2023.; prima na znanje zaključke serije povremenih publikacija ESB-a br. 328 pod naslovom „</w:t>
      </w:r>
      <w:proofErr w:type="spellStart"/>
      <w:r w:rsidRPr="002235CA">
        <w:t>The</w:t>
      </w:r>
      <w:proofErr w:type="spellEnd"/>
      <w:r w:rsidRPr="002235CA">
        <w:t xml:space="preserve"> </w:t>
      </w:r>
      <w:proofErr w:type="spellStart"/>
      <w:r w:rsidRPr="002235CA">
        <w:t>Road</w:t>
      </w:r>
      <w:proofErr w:type="spellEnd"/>
      <w:r w:rsidRPr="002235CA">
        <w:t xml:space="preserve"> to Paris: </w:t>
      </w:r>
      <w:proofErr w:type="spellStart"/>
      <w:r w:rsidRPr="002235CA">
        <w:t>stress</w:t>
      </w:r>
      <w:proofErr w:type="spellEnd"/>
      <w:r w:rsidRPr="002235CA">
        <w:t xml:space="preserve"> </w:t>
      </w:r>
      <w:proofErr w:type="spellStart"/>
      <w:r w:rsidRPr="002235CA">
        <w:t>testing</w:t>
      </w:r>
      <w:proofErr w:type="spellEnd"/>
      <w:r w:rsidRPr="002235CA">
        <w:t xml:space="preserve"> </w:t>
      </w:r>
      <w:proofErr w:type="spellStart"/>
      <w:r w:rsidRPr="002235CA">
        <w:t>the</w:t>
      </w:r>
      <w:proofErr w:type="spellEnd"/>
      <w:r w:rsidRPr="002235CA">
        <w:t xml:space="preserve"> </w:t>
      </w:r>
      <w:proofErr w:type="spellStart"/>
      <w:r w:rsidRPr="002235CA">
        <w:t>transition</w:t>
      </w:r>
      <w:proofErr w:type="spellEnd"/>
      <w:r w:rsidRPr="002235CA">
        <w:t xml:space="preserve"> </w:t>
      </w:r>
      <w:proofErr w:type="spellStart"/>
      <w:r w:rsidRPr="002235CA">
        <w:t>towards</w:t>
      </w:r>
      <w:proofErr w:type="spellEnd"/>
      <w:r w:rsidRPr="002235CA">
        <w:t xml:space="preserve"> a </w:t>
      </w:r>
      <w:proofErr w:type="spellStart"/>
      <w:r w:rsidRPr="002235CA">
        <w:t>net</w:t>
      </w:r>
      <w:proofErr w:type="spellEnd"/>
      <w:r w:rsidRPr="002235CA">
        <w:t xml:space="preserve">-zero </w:t>
      </w:r>
      <w:proofErr w:type="spellStart"/>
      <w:r w:rsidRPr="002235CA">
        <w:t>economy</w:t>
      </w:r>
      <w:proofErr w:type="spellEnd"/>
      <w:r w:rsidRPr="002235CA">
        <w:t xml:space="preserve">”, (Put prema Parizu: testiranje otpornosti na stres u pogledu prelaska na gospodarstvo s nultom neto stopom emisija) u kojem se tvrdi da je najbolji način za postizanje gospodarstva s nultom neto stopom emisija za poduzeća, kućanstva i banke u </w:t>
      </w:r>
      <w:proofErr w:type="spellStart"/>
      <w:r w:rsidRPr="002235CA">
        <w:lastRenderedPageBreak/>
        <w:t>europodručju</w:t>
      </w:r>
      <w:proofErr w:type="spellEnd"/>
      <w:r w:rsidRPr="002235CA">
        <w:t xml:space="preserve"> ubrzavanje zelene tranzicije na stopu bržu od one u okviru postojećih politika; konstatira da ESB u svojim nadzornim praksama uzima u obzir financijske rizike povezane s klimom i prirodom te da pomno prati rastuće fizičke i tranzicijske rizike;</w:t>
      </w:r>
    </w:p>
    <w:p w:rsidR="00DF272B" w:rsidRPr="002235CA" w:rsidRDefault="00DF272B" w:rsidP="00DF272B">
      <w:pPr>
        <w:pStyle w:val="NormalHanging12a"/>
      </w:pPr>
      <w:r w:rsidRPr="002235CA">
        <w:t>31.</w:t>
      </w:r>
      <w:r w:rsidRPr="002235CA">
        <w:tab/>
        <w:t>prima na znanje prijedlog Komisije o transparentnosti, usporedivosti i kvaliteti okolišnih, socijalnih i upravljačkih rejtinga; konstatira da EBA preporučuje da se u vanjske kreditne procjene uključe okolišni i/ili socijalni čimbenici kao pokretači kreditnog rizika kad god je to relevantno;</w:t>
      </w:r>
    </w:p>
    <w:p w:rsidR="00DF272B" w:rsidRPr="002235CA" w:rsidRDefault="00DF272B" w:rsidP="00DF272B">
      <w:pPr>
        <w:pStyle w:val="NormalHanging12a"/>
        <w:rPr>
          <w:rStyle w:val="BoldItalic"/>
        </w:rPr>
      </w:pPr>
      <w:r w:rsidRPr="002235CA">
        <w:rPr>
          <w:rStyle w:val="BoldItalic"/>
        </w:rPr>
        <w:t>Sanacija</w:t>
      </w:r>
    </w:p>
    <w:p w:rsidR="00DF272B" w:rsidRPr="002235CA" w:rsidRDefault="00DF272B" w:rsidP="00DF272B">
      <w:pPr>
        <w:pStyle w:val="NormalHanging12a"/>
      </w:pPr>
      <w:r w:rsidRPr="002235CA">
        <w:t>32.</w:t>
      </w:r>
      <w:r w:rsidRPr="002235CA">
        <w:tab/>
        <w:t>pozdravlja pristupe Jedinstvenog sanacijskog odbora produbljivanju ocjena provedivosti sanacije preko razvoja mjera za kontrolu kvalitete sanacijskih planova i procjena o tome mogu li se ti planovi provesti u kratkom roku; ističe da planovi sanacije, kako bi bili u potpunosti usklađeni s pravnim zahtjevima, moraju uključivati sveobuhvatnu procjenu mogućnosti sanacije svake banke, među ostalim postoje li bitne prepreke provedivosti sanacije i kako se te prepreke mogu ukloniti, uključujući, prema potrebi, promjene u strukturi i organizaciji banke;</w:t>
      </w:r>
    </w:p>
    <w:p w:rsidR="00DF272B" w:rsidRPr="002235CA" w:rsidRDefault="00DF272B" w:rsidP="00DF272B">
      <w:pPr>
        <w:pStyle w:val="NormalHanging12a"/>
      </w:pPr>
      <w:r w:rsidRPr="002235CA">
        <w:t>33.</w:t>
      </w:r>
      <w:r w:rsidRPr="002235CA">
        <w:tab/>
        <w:t>pozdravlja činjenicu da su banke u okviru nadležnosti Jedinstvenog sanacijskog odbora općenito ostvarile dobar napredak prema provedivosti sanacije i jačanju sposobnosti da pokriju gubitke; očekuje da će se taj pozitivan trend nastaviti te podsjeća da postizanje provedivosti sanacije za sve institucije ne bi trebao biti „promjenjivi cilj” i da bi se provedivost sanacije trebala u potpunosti ostvariti za sve banke do kraja 2023.; konstatira da je potreban daljnji napredak u pogledu svih banaka;</w:t>
      </w:r>
    </w:p>
    <w:p w:rsidR="00DF272B" w:rsidRPr="002235CA" w:rsidRDefault="00DF272B" w:rsidP="00DF272B">
      <w:pPr>
        <w:pStyle w:val="NormalHanging12a"/>
      </w:pPr>
      <w:r w:rsidRPr="002235CA">
        <w:t>34.</w:t>
      </w:r>
      <w:r w:rsidRPr="002235CA">
        <w:tab/>
        <w:t>pozdravlja odluku novog predsjednika Jedinstvenog sanacijskog odbora o provedbi sveobuhvatne strateške revizije i izradi novog akcijskog plana; poziva Jedinstveni sanacijski odbor da dodatno poboljša transparentnost svojih odluka;</w:t>
      </w:r>
    </w:p>
    <w:p w:rsidR="00DF272B" w:rsidRPr="002235CA" w:rsidRDefault="00DF272B" w:rsidP="00DF272B">
      <w:pPr>
        <w:pStyle w:val="NormalHanging12a"/>
      </w:pPr>
      <w:r w:rsidRPr="002235CA">
        <w:t>35.</w:t>
      </w:r>
      <w:r w:rsidRPr="002235CA">
        <w:tab/>
        <w:t>ističe važnost zaštite hijerarhije vjerovnika prilikom sanacije banaka i postupaka u slučaju nesolventnosti; pozdravlja izjavu ESB-a u svojstvu tijela za nadzor banaka, Jedinstvenog sanacijskog odbora i EBA-e u kojoj se ističe da u EU-u instrumenti redovnog osnovnog kapitala apsorbiraju gubitke, a dodatni osnovni kapital može se otpisati samo ako su navedeni instrumenti u potpunosti iskorišteni; podsjeća da je, kako je naveo predsjednik Jedinstvenog sanacijskog odbora, potrebno da se u potpunosti i u cijelosti poštuje hijerarhija otpisa u slučaju propasti banke;</w:t>
      </w:r>
    </w:p>
    <w:p w:rsidR="00DF272B" w:rsidRPr="002235CA" w:rsidRDefault="00DF272B" w:rsidP="00DF272B">
      <w:pPr>
        <w:pStyle w:val="NormalHanging12a"/>
      </w:pPr>
      <w:r w:rsidRPr="002235CA">
        <w:t>36.</w:t>
      </w:r>
      <w:r w:rsidRPr="002235CA">
        <w:tab/>
        <w:t>konstatira da su fosilna goriva glavni čimbenik u ubrzavanju klimatskih promjena i da će se brojna imovina povezana s fosilnim gorivima morati napustiti prije kraja njezinog gospodarskog vijeka, čime će se izgubiti sva njezina vrijednost te će ona postati neupotrebljiva imovina;</w:t>
      </w:r>
    </w:p>
    <w:p w:rsidR="00DF272B" w:rsidRPr="002235CA" w:rsidRDefault="00DF272B" w:rsidP="00DF272B">
      <w:pPr>
        <w:pStyle w:val="NormalHanging12a"/>
      </w:pPr>
      <w:r w:rsidRPr="002235CA">
        <w:t>37.</w:t>
      </w:r>
      <w:r w:rsidRPr="002235CA">
        <w:tab/>
        <w:t>prima na znanje prijedlog za reformu okvira za upravljanje krizama i osiguranje depozita (CMDI) na temelju poziva Parlamenta; poziva na proširenje područja primjene sanacije, pojašnjenje procjene javnog interesa, zaštitu poreznih obveznika od troškova propadanja banaka i ograničavanje područja primjene državnih potpora, kao i na ublažavanje svih mjera koje bi mogle dovesti do prekomjernog moralnog hazarda; poziva na brzo i učinkovito donošenje revizije CMDI-ja;</w:t>
      </w:r>
    </w:p>
    <w:p w:rsidR="00DF272B" w:rsidRPr="002235CA" w:rsidRDefault="00DF272B" w:rsidP="00DF272B">
      <w:pPr>
        <w:pStyle w:val="NormalHanging12a"/>
      </w:pPr>
      <w:r w:rsidRPr="002235CA">
        <w:lastRenderedPageBreak/>
        <w:t>38.</w:t>
      </w:r>
      <w:r w:rsidRPr="002235CA">
        <w:tab/>
        <w:t>konstatira da se propadajuća banka šalje u sanaciju samo ako ne može proći redovni postupak u slučaju nesolventnosti bez nanošenja štete javnom interesu ili izazivanja financijske nestabilnosti; također konstatira da prijedlozi za buduću reformu uključuju davanje pristupa okviru za sanaciju na razini EU-a malim i srednjim bankama s pozitivnom ocjenom javnog interesa pod uvjetom da ispunjavaju uvjete za pristup Jedinstvenom fondu za sanaciju;</w:t>
      </w:r>
    </w:p>
    <w:p w:rsidR="00DF272B" w:rsidRPr="002235CA" w:rsidRDefault="00DF272B" w:rsidP="00DF272B">
      <w:pPr>
        <w:pStyle w:val="NormalHanging12a"/>
      </w:pPr>
      <w:r w:rsidRPr="002235CA">
        <w:t>39.</w:t>
      </w:r>
      <w:r w:rsidRPr="002235CA">
        <w:tab/>
        <w:t>ističe ulogu koju Jedinstveni sanacijski odbori i sigurnosne mreže koje financira sektor imaju kada je riječ o zaštiti poreznih obveznika od plaćanja sanacija javnim sredstvima; smatra da se doprinosi sigurnosnim mrežama koje financira sektor uvijek moraju izračunavati razmjerno riziku koji institucija predstavlja; žali zbog toga što se, unatoč političkom dogovoru iz studenoga 2020. o ranom uvođenju, zaštitni mehanizam za Jedinstveni fond za sanaciju, koji se sastoji od kreditne linije iz Europskog stabilizacijskog mehanizma (ESM), još nije počeo primjenjivati zbog kašnjenja u postupku ratifikacije Sporazuma o izmjeni Ugovora o uspostavi Europskog stabilizacijskog mehanizma; naglašava važnost Jedinstvenog fonda za sanaciju za osiguravanje čvrstog i vjerodostojnog okvira za upravljanje krizama; poziva sve države članice da u potpunosti ratificiraju Sporazum o izmjeni Ugovora o uspostavi Europskog stabilizacijskog mehanizma, uključujući uspostavu zajedničkog zaštitnog mehanizma za Jedinstveni fond za sanaciju;</w:t>
      </w:r>
    </w:p>
    <w:p w:rsidR="00DF272B" w:rsidRPr="002235CA" w:rsidRDefault="00DF272B" w:rsidP="00DF272B">
      <w:pPr>
        <w:pStyle w:val="NormalHanging12a"/>
      </w:pPr>
      <w:r w:rsidRPr="002235CA">
        <w:t>40.</w:t>
      </w:r>
      <w:r w:rsidRPr="002235CA">
        <w:tab/>
        <w:t xml:space="preserve">podsjeća da banke moraju nastaviti ispunjavati svoje obveze i obavljati svoje ključne funkcije nakon provedbe odluke o sanaciji; zabrinut je zbog toga što bi se banke mogle suočiti s </w:t>
      </w:r>
      <w:proofErr w:type="spellStart"/>
      <w:r w:rsidRPr="002235CA">
        <w:t>likvidnosnim</w:t>
      </w:r>
      <w:proofErr w:type="spellEnd"/>
      <w:r w:rsidRPr="002235CA">
        <w:t xml:space="preserve"> stresom pri sanaciji odmah nakon što ponovno dobiju pristup tržištu; poziva institucije EU-a da postignu dogovor o rješenju koje ulijeva povjerenje i povećava predvidljivost;</w:t>
      </w:r>
    </w:p>
    <w:p w:rsidR="00DF272B" w:rsidRPr="002235CA" w:rsidRDefault="00DF272B" w:rsidP="00DF272B">
      <w:pPr>
        <w:pStyle w:val="NormalHanging12a"/>
        <w:rPr>
          <w:rStyle w:val="BoldItalic"/>
        </w:rPr>
      </w:pPr>
      <w:r w:rsidRPr="002235CA">
        <w:rPr>
          <w:rStyle w:val="BoldItalic"/>
        </w:rPr>
        <w:t>Osiguranje depozita</w:t>
      </w:r>
    </w:p>
    <w:p w:rsidR="00DF272B" w:rsidRPr="002235CA" w:rsidRDefault="00DF272B" w:rsidP="00DF272B">
      <w:pPr>
        <w:pStyle w:val="NormalHanging12a"/>
      </w:pPr>
      <w:r w:rsidRPr="002235CA">
        <w:t>41.</w:t>
      </w:r>
      <w:r w:rsidRPr="002235CA">
        <w:tab/>
        <w:t>podržava pozive pregovaračkog tima Europskog parlamenta za EDIS, zajedno s pozivima koordinatora i predsjednice odbora ECON iz izjave od 7. prosinca 2022. o tome da se provede ambiciozna revizija okvira za CMDI koja bi mogla pomoći u prevladavanju prepreka uspostavi EDIS-a te da se nastave pregovori o EDIS-u; slaže se s pozivom ESB-a o nastavku rada na uspostavi EDIS-a;</w:t>
      </w:r>
    </w:p>
    <w:p w:rsidR="00DF272B" w:rsidRPr="002235CA" w:rsidRDefault="00DF272B" w:rsidP="00DF272B">
      <w:pPr>
        <w:pStyle w:val="NormalHanging12a"/>
      </w:pPr>
      <w:r w:rsidRPr="002235CA">
        <w:t>42.</w:t>
      </w:r>
      <w:r w:rsidRPr="002235CA">
        <w:tab/>
        <w:t xml:space="preserve">pozdravlja zakonodavni rad na parlamentarnoj razini na prijedlogu o EDIS-u realiziran od izjave pregovaračkog tima Parlamenta za EDIS iz prosinca 2022.; ponovno ističe predanost Parlamenta radu na postizanju sporazuma o EDIS-u; poziva </w:t>
      </w:r>
      <w:proofErr w:type="spellStart"/>
      <w:r w:rsidRPr="002235CA">
        <w:t>suzakonodavce</w:t>
      </w:r>
      <w:proofErr w:type="spellEnd"/>
      <w:r w:rsidRPr="002235CA">
        <w:t xml:space="preserve"> da rade na uspostavi realističnog, vjerodostojnog i čvrstog EDIS-a;</w:t>
      </w:r>
    </w:p>
    <w:p w:rsidR="00DF272B" w:rsidRPr="002235CA" w:rsidRDefault="00DF272B" w:rsidP="00DF272B">
      <w:pPr>
        <w:widowControl/>
        <w:spacing w:after="240"/>
        <w:ind w:left="567" w:hanging="567"/>
      </w:pPr>
      <w:r w:rsidRPr="002235CA">
        <w:t>43.</w:t>
      </w:r>
      <w:r w:rsidRPr="002235CA">
        <w:tab/>
        <w:t>pozdravlja napore Komisije da razjasni opseg zaštite deponenata i unaprijedi konvergenciju reformom Direktive 2014/49/EU o sustavima osiguranja depozita u okviru revizije CMDI-ja</w:t>
      </w:r>
      <w:r w:rsidRPr="002235CA">
        <w:rPr>
          <w:vertAlign w:val="superscript"/>
        </w:rPr>
        <w:footnoteReference w:id="13"/>
      </w:r>
      <w:r w:rsidRPr="002235CA">
        <w:t>; ističe da, iako se revizija CMDI-ja ne može smatrati zamjenom za EDIS, usklađeniji okvir može pomoći u prevladavanju prepreka uspostavi EDIS-a; naglašava važnost proporcionalnosti rizika za doprinose sustavima osiguranja depozita;</w:t>
      </w:r>
    </w:p>
    <w:p w:rsidR="00DF272B" w:rsidRPr="002235CA" w:rsidRDefault="00DF272B" w:rsidP="00DF272B">
      <w:pPr>
        <w:pStyle w:val="NormalHanging12a"/>
      </w:pPr>
      <w:r w:rsidRPr="002235CA">
        <w:t>44.</w:t>
      </w:r>
      <w:r w:rsidRPr="002235CA">
        <w:tab/>
        <w:t xml:space="preserve">ističe potrebu za sveobuhvatnim EDIS-om s doprinosima temeljenima na riziku, koji omogućuje podjelu gubitaka; poziva na ciljanu procjenu kvalitete imovine banaka; </w:t>
      </w:r>
      <w:r w:rsidRPr="002235CA">
        <w:lastRenderedPageBreak/>
        <w:t>preporučuje da se započne s udruživanjem likvidnosti te postupnom stvaranjem fonda EU-a;</w:t>
      </w:r>
    </w:p>
    <w:p w:rsidR="00DF272B" w:rsidRPr="002235CA" w:rsidRDefault="00DF272B" w:rsidP="00DF272B">
      <w:pPr>
        <w:pStyle w:val="NormalHanging12a"/>
      </w:pPr>
      <w:r w:rsidRPr="002235CA">
        <w:t>45.</w:t>
      </w:r>
      <w:r w:rsidRPr="002235CA">
        <w:tab/>
        <w:t>poziva na to da se u okviru bilo kojeg oblika EDIS-a uzmu u obzir institucijski sustavi zaštite, a posebno njihov učinak ublažavanja rizika, uz istodobno očuvanje ravnopravnih uvjeta na jedinstvenom tržištu;</w:t>
      </w:r>
    </w:p>
    <w:p w:rsidR="00DF272B" w:rsidRPr="002235CA" w:rsidRDefault="00DF272B" w:rsidP="00DF272B">
      <w:pPr>
        <w:pStyle w:val="NormalHanging12a"/>
      </w:pPr>
      <w:r w:rsidRPr="002235CA">
        <w:t>46.</w:t>
      </w:r>
      <w:r w:rsidRPr="002235CA">
        <w:tab/>
        <w:t>podsjeća da je jedan od glavnih ciljeva bankovne unije prekidanje veze između banaka i državnih rizika; konstatira da je izloženost banaka domaćem državnom dugu u bankovnoj uniji i dalje visoka; dijeli zabrinutost EBA-e o tome da su izloženosti prema državi značajne za banke u EU-u i da bi mogle postati izvor potencijalne ranjivosti; naglašava da pitanje regulatornog tretmana izloženosti prema državi mora biti u skladu s međunarodnim standardima, te poziva Komisiju da to uzme u obzir pri radu na svim budućim prijedlozima o tom pitanju;</w:t>
      </w:r>
    </w:p>
    <w:p w:rsidR="00DF272B" w:rsidRPr="002235CA" w:rsidRDefault="00DF272B" w:rsidP="00DF272B">
      <w:pPr>
        <w:pStyle w:val="NormalHanging12a"/>
      </w:pPr>
      <w:r w:rsidRPr="002235CA">
        <w:t>47.</w:t>
      </w:r>
      <w:r w:rsidRPr="002235CA">
        <w:tab/>
        <w:t>pozdravlja znatan napredak kada je riječ o smanjenju rizika koji je postignut od 2015.; s druge strane, primjećuje ograničeni napredak u podjeli rizika; konstatira, međutim, da je za uspjeh bankovne unije potrebno odgovarajuće i učinkovito smanjenje rizika;</w:t>
      </w:r>
    </w:p>
    <w:p w:rsidR="00DF272B" w:rsidRPr="002235CA" w:rsidRDefault="00DF272B" w:rsidP="00DF272B">
      <w:pPr>
        <w:spacing w:after="240"/>
        <w:ind w:left="567" w:hanging="567"/>
        <w:jc w:val="center"/>
      </w:pPr>
      <w:r w:rsidRPr="002235CA">
        <w:t>°</w:t>
      </w:r>
    </w:p>
    <w:p w:rsidR="00DF272B" w:rsidRPr="002235CA" w:rsidRDefault="00DF272B" w:rsidP="00DF272B">
      <w:pPr>
        <w:spacing w:after="240"/>
        <w:ind w:left="567" w:hanging="567"/>
        <w:jc w:val="center"/>
      </w:pPr>
      <w:r w:rsidRPr="002235CA">
        <w:t>°</w:t>
      </w:r>
      <w:r w:rsidRPr="002235CA">
        <w:tab/>
        <w:t>°</w:t>
      </w:r>
    </w:p>
    <w:p w:rsidR="00E365E1" w:rsidRPr="002235CA" w:rsidRDefault="00DF272B" w:rsidP="00C77CD5">
      <w:pPr>
        <w:pStyle w:val="NormalHanging12a"/>
      </w:pPr>
      <w:r w:rsidRPr="002235CA">
        <w:t>48.</w:t>
      </w:r>
      <w:r w:rsidRPr="002235CA">
        <w:tab/>
        <w:t>nalaže svojoj predsjednici da ovu Rezoluciju proslijedi Vijeću, Komisiji, Europskoj središnjoj banci, Jedinstvenom sanacijskom odboru i Europskom nadzornom tijelu za bankarstvo.</w:t>
      </w:r>
      <w:bookmarkStart w:id="9" w:name="TextBodyEnd"/>
      <w:bookmarkEnd w:id="9"/>
    </w:p>
    <w:sectPr w:rsidR="00E365E1" w:rsidRPr="002235CA" w:rsidSect="002235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E6A" w:rsidRPr="002235CA" w:rsidRDefault="00211E6A">
      <w:r w:rsidRPr="002235CA">
        <w:separator/>
      </w:r>
    </w:p>
  </w:endnote>
  <w:endnote w:type="continuationSeparator" w:id="0">
    <w:p w:rsidR="00211E6A" w:rsidRPr="002235CA" w:rsidRDefault="00211E6A">
      <w:r w:rsidRPr="002235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5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5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5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E6A" w:rsidRPr="002235CA" w:rsidRDefault="00211E6A">
      <w:r w:rsidRPr="002235CA">
        <w:separator/>
      </w:r>
    </w:p>
  </w:footnote>
  <w:footnote w:type="continuationSeparator" w:id="0">
    <w:p w:rsidR="00211E6A" w:rsidRPr="002235CA" w:rsidRDefault="00211E6A">
      <w:r w:rsidRPr="002235CA">
        <w:continuationSeparator/>
      </w:r>
    </w:p>
  </w:footnote>
  <w:footnote w:id="1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>Usvojeni tekstovi, P9_TA(2023)0270.</w:t>
      </w:r>
    </w:p>
  </w:footnote>
  <w:footnote w:id="2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C77CD5">
        <w:rPr>
          <w:sz w:val="24"/>
          <w:lang w:val="hr-HR"/>
        </w:rPr>
        <w:t>SL C 494, 8.12.2021., str. 118.</w:t>
      </w:r>
    </w:p>
  </w:footnote>
  <w:footnote w:id="3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C77CD5">
        <w:rPr>
          <w:sz w:val="24"/>
          <w:lang w:val="hr-HR"/>
        </w:rPr>
        <w:t>SL C 23, 21.1.2021., str. 105</w:t>
      </w:r>
      <w:r w:rsidRPr="002235CA">
        <w:rPr>
          <w:sz w:val="24"/>
          <w:lang w:val="hr-HR"/>
        </w:rPr>
        <w:t>.</w:t>
      </w:r>
    </w:p>
  </w:footnote>
  <w:footnote w:id="4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 xml:space="preserve">De Vito, L. i dr., </w:t>
      </w:r>
      <w:hyperlink r:id="rId1" w:history="1">
        <w:proofErr w:type="spellStart"/>
        <w:r w:rsidRPr="002235CA">
          <w:rPr>
            <w:rStyle w:val="Hyperlink"/>
            <w:i/>
            <w:sz w:val="24"/>
            <w:lang w:val="hr-HR"/>
          </w:rPr>
          <w:t>Understanding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the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profitability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gap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between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euro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area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and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US global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systemically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important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banks</w:t>
        </w:r>
        <w:proofErr w:type="spellEnd"/>
      </w:hyperlink>
      <w:r w:rsidRPr="002235CA">
        <w:rPr>
          <w:sz w:val="24"/>
          <w:lang w:val="hr-HR"/>
        </w:rPr>
        <w:t xml:space="preserve"> (Razumijevanje razlika u profitabilnosti između globalnih sistemski važnih banaka </w:t>
      </w:r>
      <w:proofErr w:type="spellStart"/>
      <w:r w:rsidRPr="002235CA">
        <w:rPr>
          <w:sz w:val="24"/>
          <w:lang w:val="hr-HR"/>
        </w:rPr>
        <w:t>europodručja</w:t>
      </w:r>
      <w:proofErr w:type="spellEnd"/>
      <w:r w:rsidRPr="002235CA">
        <w:rPr>
          <w:sz w:val="24"/>
          <w:lang w:val="hr-HR"/>
        </w:rPr>
        <w:t xml:space="preserve"> i SAD-a), Serija povremenih publikacija ESB-a 327, 2023.</w:t>
      </w:r>
    </w:p>
  </w:footnote>
  <w:footnote w:id="5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 xml:space="preserve">ESB, </w:t>
      </w:r>
      <w:hyperlink r:id="rId2" w:history="1">
        <w:proofErr w:type="spellStart"/>
        <w:r w:rsidRPr="002235CA">
          <w:rPr>
            <w:rStyle w:val="Hyperlink"/>
            <w:i/>
            <w:sz w:val="24"/>
            <w:lang w:val="hr-HR"/>
          </w:rPr>
          <w:t>Supervisory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Banking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Statistics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for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significant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institutions</w:t>
        </w:r>
        <w:proofErr w:type="spellEnd"/>
        <w:r w:rsidRPr="002235CA">
          <w:rPr>
            <w:rStyle w:val="Hyperlink"/>
            <w:i/>
            <w:sz w:val="24"/>
            <w:lang w:val="hr-HR"/>
          </w:rPr>
          <w:t>.</w:t>
        </w:r>
      </w:hyperlink>
      <w:hyperlink r:id="rId3" w:history="1"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Second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quarter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2023</w:t>
        </w:r>
      </w:hyperlink>
      <w:r w:rsidRPr="002235CA">
        <w:rPr>
          <w:sz w:val="24"/>
          <w:lang w:val="hr-HR"/>
        </w:rPr>
        <w:t xml:space="preserve"> (Statistika u pogledu nadzora banaka za značajne institucije. Drugo tromjesečje 2023.). listopad 2023.</w:t>
      </w:r>
    </w:p>
  </w:footnote>
  <w:footnote w:id="6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 xml:space="preserve">ESB, </w:t>
      </w:r>
      <w:hyperlink r:id="rId4" w:history="1">
        <w:r w:rsidRPr="002235CA">
          <w:rPr>
            <w:rStyle w:val="Hyperlink"/>
            <w:i/>
            <w:sz w:val="24"/>
            <w:lang w:val="hr-HR"/>
          </w:rPr>
          <w:t xml:space="preserve">Euro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area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bank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lending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survey</w:t>
        </w:r>
        <w:proofErr w:type="spellEnd"/>
      </w:hyperlink>
      <w:r w:rsidRPr="002235CA">
        <w:rPr>
          <w:sz w:val="24"/>
          <w:lang w:val="hr-HR"/>
        </w:rPr>
        <w:t xml:space="preserve"> (Anketa o bankovnom kreditiranju u </w:t>
      </w:r>
      <w:proofErr w:type="spellStart"/>
      <w:r w:rsidRPr="002235CA">
        <w:rPr>
          <w:sz w:val="24"/>
          <w:lang w:val="hr-HR"/>
        </w:rPr>
        <w:t>europodručju</w:t>
      </w:r>
      <w:proofErr w:type="spellEnd"/>
      <w:r w:rsidRPr="002235CA">
        <w:rPr>
          <w:sz w:val="24"/>
          <w:lang w:val="hr-HR"/>
        </w:rPr>
        <w:t>).</w:t>
      </w:r>
    </w:p>
  </w:footnote>
  <w:footnote w:id="7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>Uredba (EU) 2021/1119 od 30. lipnja 2021. o uspostavi okvira za postizanje klimatske neutralnosti i o izmjeni uredaba (EZ</w:t>
      </w:r>
      <w:r w:rsidR="00C77CD5">
        <w:rPr>
          <w:sz w:val="24"/>
          <w:lang w:val="hr-HR"/>
        </w:rPr>
        <w:t>) br. 401/2009 i (EU) 2018/1999</w:t>
      </w:r>
      <w:r w:rsidRPr="002235CA">
        <w:rPr>
          <w:sz w:val="24"/>
          <w:lang w:val="hr-HR"/>
        </w:rPr>
        <w:t xml:space="preserve"> </w:t>
      </w:r>
      <w:r w:rsidR="00C77CD5">
        <w:rPr>
          <w:sz w:val="24"/>
          <w:lang w:val="hr-HR"/>
        </w:rPr>
        <w:t>(</w:t>
      </w:r>
      <w:r w:rsidRPr="00C77CD5">
        <w:rPr>
          <w:sz w:val="24"/>
          <w:lang w:val="hr-HR"/>
        </w:rPr>
        <w:t>SL L 243, 9.7.2021., str. 1.</w:t>
      </w:r>
      <w:r w:rsidR="00C77CD5">
        <w:rPr>
          <w:sz w:val="24"/>
          <w:lang w:val="hr-HR"/>
        </w:rPr>
        <w:t>).</w:t>
      </w:r>
    </w:p>
  </w:footnote>
  <w:footnote w:id="8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 xml:space="preserve">EBA, </w:t>
      </w:r>
      <w:hyperlink r:id="rId5" w:history="1">
        <w:proofErr w:type="spellStart"/>
        <w:r w:rsidRPr="002235CA">
          <w:rPr>
            <w:rStyle w:val="Hyperlink"/>
            <w:i/>
            <w:sz w:val="24"/>
            <w:lang w:val="hr-HR"/>
          </w:rPr>
          <w:t>Risk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Assessment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of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the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European Banking System</w:t>
        </w:r>
      </w:hyperlink>
      <w:r w:rsidRPr="002235CA">
        <w:rPr>
          <w:sz w:val="24"/>
          <w:lang w:val="hr-HR"/>
        </w:rPr>
        <w:t xml:space="preserve"> (Procjena rizika za europski bankovni sustav), prosinac 2022.</w:t>
      </w:r>
    </w:p>
  </w:footnote>
  <w:footnote w:id="9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 xml:space="preserve">ESB, </w:t>
      </w:r>
      <w:hyperlink r:id="rId6" w:history="1">
        <w:proofErr w:type="spellStart"/>
        <w:r w:rsidRPr="002235CA">
          <w:rPr>
            <w:rStyle w:val="Hyperlink"/>
            <w:i/>
            <w:sz w:val="24"/>
            <w:lang w:val="hr-HR"/>
          </w:rPr>
          <w:t>Supervisory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Banking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Statistics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for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significant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institutions.</w:t>
        </w:r>
      </w:hyperlink>
      <w:hyperlink r:id="rId7" w:history="1">
        <w:r w:rsidRPr="002235CA">
          <w:rPr>
            <w:rStyle w:val="Hyperlink"/>
            <w:i/>
            <w:sz w:val="24"/>
            <w:lang w:val="hr-HR"/>
          </w:rPr>
          <w:t>Second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2235CA">
          <w:rPr>
            <w:rStyle w:val="Hyperlink"/>
            <w:i/>
            <w:sz w:val="24"/>
            <w:lang w:val="hr-HR"/>
          </w:rPr>
          <w:t>quarter</w:t>
        </w:r>
        <w:proofErr w:type="spellEnd"/>
        <w:r w:rsidRPr="002235CA">
          <w:rPr>
            <w:rStyle w:val="Hyperlink"/>
            <w:i/>
            <w:sz w:val="24"/>
            <w:lang w:val="hr-HR"/>
          </w:rPr>
          <w:t xml:space="preserve"> 2023</w:t>
        </w:r>
      </w:hyperlink>
      <w:r w:rsidRPr="002235CA">
        <w:rPr>
          <w:sz w:val="24"/>
          <w:lang w:val="hr-HR"/>
        </w:rPr>
        <w:t xml:space="preserve"> (Statistika u pogledu nadzora banaka za značajne institucije. Drugo tromjesečje 2023.), listopad 2023.</w:t>
      </w:r>
    </w:p>
  </w:footnote>
  <w:footnote w:id="10">
    <w:p w:rsidR="00DF272B" w:rsidRPr="002235CA" w:rsidRDefault="00DF272B" w:rsidP="002235CA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 w:rsidRPr="002235CA">
        <w:rPr>
          <w:rStyle w:val="FootnoteReference"/>
        </w:rPr>
        <w:footnoteRef/>
      </w:r>
      <w:r w:rsidR="002235CA" w:rsidRPr="002235CA">
        <w:t xml:space="preserve"> </w:t>
      </w:r>
      <w:r w:rsidR="002235CA" w:rsidRPr="002235CA">
        <w:tab/>
      </w:r>
      <w:r w:rsidRPr="002235CA">
        <w:t>Direktiva (EU) 2021/2167 od 24. studenoga 2021. o pružateljima usluge servisiranja kredita i kupcima kredita te izmjeni di</w:t>
      </w:r>
      <w:r w:rsidR="00C77CD5">
        <w:t>rektiva 2008/48/EZ i 2014/17/EU</w:t>
      </w:r>
      <w:r w:rsidRPr="002235CA">
        <w:t xml:space="preserve"> </w:t>
      </w:r>
      <w:r w:rsidR="00C77CD5">
        <w:t>(</w:t>
      </w:r>
      <w:r w:rsidRPr="00C77CD5">
        <w:t>SL L 438, 8.12.2021., str. 1.</w:t>
      </w:r>
      <w:r w:rsidR="00C77CD5">
        <w:rPr>
          <w:rStyle w:val="Hyperlink"/>
        </w:rPr>
        <w:t>).</w:t>
      </w:r>
    </w:p>
  </w:footnote>
  <w:footnote w:id="11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>Uredba (EU) br. 575/2013 od 26. lipnja 2013. o bonitetnim zahtjevima za kreditne institucije i investicijska društva i o i</w:t>
      </w:r>
      <w:r w:rsidR="00C77CD5">
        <w:rPr>
          <w:sz w:val="24"/>
          <w:lang w:val="hr-HR"/>
        </w:rPr>
        <w:t>zmjeni Uredbe (EU) br. 648/2012</w:t>
      </w:r>
      <w:r w:rsidRPr="002235CA">
        <w:rPr>
          <w:sz w:val="24"/>
          <w:lang w:val="hr-HR"/>
        </w:rPr>
        <w:t xml:space="preserve"> </w:t>
      </w:r>
      <w:r w:rsidR="00C77CD5">
        <w:rPr>
          <w:sz w:val="24"/>
          <w:lang w:val="hr-HR"/>
        </w:rPr>
        <w:t>(</w:t>
      </w:r>
      <w:r w:rsidRPr="00C77CD5">
        <w:rPr>
          <w:sz w:val="24"/>
          <w:lang w:val="hr-HR"/>
        </w:rPr>
        <w:t>SL L 176, 27.6.2013., str. 1.</w:t>
      </w:r>
      <w:r w:rsidR="00C77CD5">
        <w:rPr>
          <w:rStyle w:val="Hyperlink"/>
          <w:sz w:val="24"/>
          <w:lang w:val="hr-HR"/>
        </w:rPr>
        <w:t>).</w:t>
      </w:r>
    </w:p>
  </w:footnote>
  <w:footnote w:id="12">
    <w:p w:rsidR="00DF272B" w:rsidRPr="002235CA" w:rsidRDefault="00DF272B" w:rsidP="002235CA">
      <w:pPr>
        <w:pStyle w:val="FootnoteText"/>
        <w:ind w:left="567" w:hanging="567"/>
        <w:rPr>
          <w:sz w:val="24"/>
          <w:lang w:val="hr-HR"/>
        </w:rPr>
      </w:pPr>
      <w:r w:rsidRPr="002235CA">
        <w:rPr>
          <w:rStyle w:val="FootnoteReference"/>
          <w:sz w:val="24"/>
          <w:lang w:val="hr-HR"/>
        </w:rPr>
        <w:footnoteRef/>
      </w:r>
      <w:r w:rsidR="002235CA" w:rsidRPr="002235CA">
        <w:rPr>
          <w:sz w:val="24"/>
          <w:lang w:val="hr-HR"/>
        </w:rPr>
        <w:t xml:space="preserve"> </w:t>
      </w:r>
      <w:r w:rsidR="002235CA" w:rsidRPr="002235CA">
        <w:rPr>
          <w:sz w:val="24"/>
          <w:lang w:val="hr-HR"/>
        </w:rPr>
        <w:tab/>
      </w:r>
      <w:r w:rsidRPr="002235CA">
        <w:rPr>
          <w:sz w:val="24"/>
          <w:lang w:val="hr-HR"/>
        </w:rPr>
        <w:t xml:space="preserve">Direktiva 2013/36/EU </w:t>
      </w:r>
      <w:bookmarkStart w:id="8" w:name="_GoBack"/>
      <w:bookmarkEnd w:id="8"/>
      <w:r w:rsidRPr="002235CA">
        <w:rPr>
          <w:sz w:val="24"/>
          <w:lang w:val="hr-HR"/>
        </w:rPr>
        <w:t>od 26. lipnja 2013. o pristupanju djelatnosti kreditnih institucija i bonitetnom nadzoru nad kreditnim institucijama i investicijskim društvima, izmjeni Direktive 2002/87/EZ te stavljanju izvan snage di</w:t>
      </w:r>
      <w:r w:rsidR="00C77CD5">
        <w:rPr>
          <w:sz w:val="24"/>
          <w:lang w:val="hr-HR"/>
        </w:rPr>
        <w:t>rektiva 2006/48/EZ i 2006/49/EZ</w:t>
      </w:r>
      <w:r w:rsidRPr="002235CA">
        <w:rPr>
          <w:sz w:val="24"/>
          <w:lang w:val="hr-HR"/>
        </w:rPr>
        <w:t xml:space="preserve"> </w:t>
      </w:r>
      <w:r w:rsidR="00C77CD5">
        <w:rPr>
          <w:sz w:val="24"/>
          <w:lang w:val="hr-HR"/>
        </w:rPr>
        <w:t>(</w:t>
      </w:r>
      <w:r w:rsidRPr="00C77CD5">
        <w:rPr>
          <w:sz w:val="24"/>
          <w:lang w:val="hr-HR"/>
        </w:rPr>
        <w:t>SL L 176, 27.6.2013., str. 338.</w:t>
      </w:r>
      <w:r w:rsidR="00C77CD5">
        <w:rPr>
          <w:rStyle w:val="Hyperlink"/>
          <w:sz w:val="24"/>
          <w:lang w:val="hr-HR"/>
        </w:rPr>
        <w:t>).</w:t>
      </w:r>
    </w:p>
  </w:footnote>
  <w:footnote w:id="13">
    <w:p w:rsidR="00DF272B" w:rsidRPr="002235CA" w:rsidRDefault="00DF272B" w:rsidP="002235CA">
      <w:pPr>
        <w:keepLines/>
        <w:widowControl/>
        <w:ind w:left="567" w:hanging="567"/>
      </w:pPr>
      <w:r w:rsidRPr="002235CA">
        <w:rPr>
          <w:rStyle w:val="FootnoteReference"/>
        </w:rPr>
        <w:footnoteRef/>
      </w:r>
      <w:r w:rsidR="002235CA" w:rsidRPr="002235CA">
        <w:t xml:space="preserve"> </w:t>
      </w:r>
      <w:r w:rsidR="002235CA" w:rsidRPr="002235CA">
        <w:tab/>
      </w:r>
      <w:r w:rsidRPr="00C77CD5">
        <w:t>SL L 173, 12.6.2014., str. 149</w:t>
      </w:r>
      <w:r w:rsidRPr="002235CA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5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5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5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1/2023"/>
    <w:docVar w:name="dvlangue" w:val="HR"/>
    <w:docVar w:name="dvnumam" w:val="0"/>
    <w:docVar w:name="dvpe" w:val="752.739"/>
    <w:docVar w:name="dvrapporteur" w:val="Izvjestitelj: "/>
    <w:docVar w:name="dvtitre" w:val="Rezolucija Europskog parlamenta od .... 2024. o bankovnoj uniji – godišnje izvješće za 2023.(2023/2078(INI))"/>
  </w:docVars>
  <w:rsids>
    <w:rsidRoot w:val="00211E6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E6A"/>
    <w:rsid w:val="002235CA"/>
    <w:rsid w:val="002767FF"/>
    <w:rsid w:val="002B18FE"/>
    <w:rsid w:val="002B5493"/>
    <w:rsid w:val="00343214"/>
    <w:rsid w:val="00361C00"/>
    <w:rsid w:val="00395FA1"/>
    <w:rsid w:val="003E15D4"/>
    <w:rsid w:val="003E7E2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CD5"/>
    <w:rsid w:val="00C80FB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72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8ED6C"/>
  <w15:chartTrackingRefBased/>
  <w15:docId w15:val="{F71D7A4E-331C-4163-B756-50EAA679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F27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DF272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F27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F272B"/>
    <w:rPr>
      <w:sz w:val="24"/>
      <w:lang w:val="hr-HR"/>
    </w:rPr>
  </w:style>
  <w:style w:type="paragraph" w:customStyle="1" w:styleId="EPFooter">
    <w:name w:val="EPFooter"/>
    <w:basedOn w:val="Normal"/>
    <w:rsid w:val="00DF27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F272B"/>
    <w:pPr>
      <w:spacing w:before="480" w:after="240"/>
    </w:pPr>
  </w:style>
  <w:style w:type="character" w:customStyle="1" w:styleId="BoldItalic">
    <w:name w:val="BoldItalic"/>
    <w:basedOn w:val="DefaultParagraphFont"/>
    <w:uiPriority w:val="1"/>
    <w:qFormat/>
    <w:rsid w:val="00DF272B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styleId="Hyperlink">
    <w:name w:val="Hyperlink"/>
    <w:basedOn w:val="DefaultParagraphFont"/>
    <w:rsid w:val="00DF272B"/>
    <w:rPr>
      <w:color w:val="0563C1" w:themeColor="hyperlink"/>
      <w:u w:val="single"/>
    </w:rPr>
  </w:style>
  <w:style w:type="paragraph" w:customStyle="1" w:styleId="title-bold">
    <w:name w:val="title-bold"/>
    <w:basedOn w:val="Normal"/>
    <w:rsid w:val="00DF272B"/>
    <w:pPr>
      <w:widowControl/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rsid w:val="00C77C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ankingsupervision.europa.eu/ecb/pub/pdf/ssm.supervisorybankingstatistics_second_quarter_2023_202310~f41e7f2373.en.pdf" TargetMode="External"/><Relationship Id="rId7" Type="http://schemas.openxmlformats.org/officeDocument/2006/relationships/hyperlink" Target="https://www.bankingsupervision.europa.eu/ecb/pub/pdf/ssm.supervisorybankingstatistics_second_quarter_2023_202310~f41e7f2373.en.pdf" TargetMode="External"/><Relationship Id="rId2" Type="http://schemas.openxmlformats.org/officeDocument/2006/relationships/hyperlink" Target="https://www.bankingsupervision.europa.eu/ecb/pub/pdf/ssm.supervisorybankingstatistics_second_quarter_2023_202310~f41e7f2373.en.pdf" TargetMode="External"/><Relationship Id="rId1" Type="http://schemas.openxmlformats.org/officeDocument/2006/relationships/hyperlink" Target="https://www.ecb.europa.eu/pub/pdf/scpops/ecb.op327~0d50b9136f.en.pdf" TargetMode="External"/><Relationship Id="rId6" Type="http://schemas.openxmlformats.org/officeDocument/2006/relationships/hyperlink" Target="https://www.bankingsupervision.europa.eu/ecb/pub/pdf/ssm.supervisorybankingstatistics_second_quarter_2023_202310~f41e7f2373.en.pdf" TargetMode="External"/><Relationship Id="rId5" Type="http://schemas.openxmlformats.org/officeDocument/2006/relationships/hyperlink" Target="https://www.eba.europa.eu/sites/default/documents/files/document_library/Risk%20Analysis%20and%20Data/Risk%20Assessment%20Reports/2022/RAR/1045298/Risk%20Assessment%20Report%20December%202022.pdf" TargetMode="External"/><Relationship Id="rId4" Type="http://schemas.openxmlformats.org/officeDocument/2006/relationships/hyperlink" Target="https://www.ecb.europa.eu/stats/ecb_surveys/bank_lending_survey/html/index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75238-538B-46ED-A567-F6E830630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4933</Words>
  <Characters>30483</Characters>
  <Application>Microsoft Office Word</Application>
  <DocSecurity>0</DocSecurity>
  <Lines>254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BULJAN Jakov</cp:lastModifiedBy>
  <cp:revision>2</cp:revision>
  <cp:lastPrinted>2004-11-19T15:42:00Z</cp:lastPrinted>
  <dcterms:created xsi:type="dcterms:W3CDTF">2024-02-15T08:00:00Z</dcterms:created>
  <dcterms:modified xsi:type="dcterms:W3CDTF">2024-02-15T08:00:00Z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A9-0431/2023</vt:lpwstr>
  </property>
  <property fmtid="{D5CDD505-2E9C-101B-9397-08002B2CF9AE}" pid="4" name="&lt;Type&gt;">
    <vt:lpwstr>RR</vt:lpwstr>
  </property>
</Properties>
</file>