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C668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C6684" w:rsidRDefault="00E97FE3" w:rsidP="0010095E">
            <w:pPr>
              <w:pStyle w:val="EPName"/>
            </w:pPr>
            <w:r w:rsidRPr="003C6684">
              <w:t>Parlament Europejski</w:t>
            </w:r>
          </w:p>
          <w:p w:rsidR="00751A4A" w:rsidRPr="003C668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C6684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3C6684" w:rsidRDefault="00187494" w:rsidP="0010095E">
            <w:pPr>
              <w:pStyle w:val="EPLogo"/>
            </w:pPr>
            <w:r w:rsidRPr="003C6684">
              <w:rPr>
                <w:noProof/>
                <w:lang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C6684" w:rsidRDefault="00D058B8" w:rsidP="004C5D52">
      <w:pPr>
        <w:pStyle w:val="LineTop"/>
      </w:pPr>
    </w:p>
    <w:p w:rsidR="00680577" w:rsidRPr="003C6684" w:rsidRDefault="00E97FE3" w:rsidP="00680577">
      <w:pPr>
        <w:pStyle w:val="EPBodyTA1"/>
      </w:pPr>
      <w:r w:rsidRPr="003C6684">
        <w:t>TEKSTY PRZYJĘTE</w:t>
      </w:r>
    </w:p>
    <w:p w:rsidR="00D058B8" w:rsidRPr="003C6684" w:rsidRDefault="00D058B8" w:rsidP="00D058B8">
      <w:pPr>
        <w:pStyle w:val="LineBottom"/>
      </w:pPr>
    </w:p>
    <w:p w:rsidR="00E97FE3" w:rsidRPr="003C6684" w:rsidRDefault="00E97FE3" w:rsidP="00E97FE3">
      <w:pPr>
        <w:pStyle w:val="ATHeading1"/>
      </w:pPr>
      <w:bookmarkStart w:id="0" w:name="TANumber"/>
      <w:r w:rsidRPr="003C6684">
        <w:t>P9_TA(2024)00</w:t>
      </w:r>
      <w:bookmarkEnd w:id="0"/>
      <w:r w:rsidR="00B3506E">
        <w:t>12</w:t>
      </w:r>
    </w:p>
    <w:p w:rsidR="00E97FE3" w:rsidRPr="00027F49" w:rsidRDefault="00027F49" w:rsidP="00E97FE3">
      <w:pPr>
        <w:pStyle w:val="ATHeading2"/>
      </w:pPr>
      <w:r w:rsidRPr="00027F49">
        <w:t>Unia bankowa – sprawozdanie roczne za 2023 r.</w:t>
      </w:r>
    </w:p>
    <w:p w:rsidR="00E97FE3" w:rsidRPr="003C6684" w:rsidRDefault="00E97FE3" w:rsidP="00E97FE3">
      <w:pPr>
        <w:rPr>
          <w:i/>
          <w:vanish/>
        </w:rPr>
      </w:pPr>
      <w:r w:rsidRPr="003C6684">
        <w:rPr>
          <w:i/>
        </w:rPr>
        <w:fldChar w:fldCharType="begin"/>
      </w:r>
      <w:r w:rsidRPr="003C6684">
        <w:rPr>
          <w:i/>
        </w:rPr>
        <w:instrText xml:space="preserve"> TC"(</w:instrText>
      </w:r>
      <w:bookmarkStart w:id="1" w:name="DocNumber"/>
      <w:r w:rsidRPr="003C6684">
        <w:rPr>
          <w:i/>
        </w:rPr>
        <w:instrText>A9-0431/2023</w:instrText>
      </w:r>
      <w:bookmarkEnd w:id="1"/>
      <w:r w:rsidRPr="003C6684">
        <w:rPr>
          <w:i/>
        </w:rPr>
        <w:instrText xml:space="preserve"> - Sprawozdawca: Ivars Ijabs)"\l3 \n&gt; \* MERGEFORMAT </w:instrText>
      </w:r>
      <w:r w:rsidRPr="003C6684">
        <w:rPr>
          <w:i/>
        </w:rPr>
        <w:fldChar w:fldCharType="end"/>
      </w:r>
    </w:p>
    <w:p w:rsidR="00E97FE3" w:rsidRPr="003C6684" w:rsidRDefault="00E97FE3" w:rsidP="00E97FE3">
      <w:pPr>
        <w:rPr>
          <w:vanish/>
        </w:rPr>
      </w:pPr>
      <w:bookmarkStart w:id="2" w:name="Commission"/>
      <w:r w:rsidRPr="003C6684">
        <w:rPr>
          <w:vanish/>
        </w:rPr>
        <w:t>Komisja Gospodarcza i Monetarna</w:t>
      </w:r>
      <w:bookmarkEnd w:id="2"/>
    </w:p>
    <w:p w:rsidR="00E97FE3" w:rsidRPr="003C6684" w:rsidRDefault="00E97FE3" w:rsidP="00E97FE3">
      <w:pPr>
        <w:rPr>
          <w:vanish/>
        </w:rPr>
      </w:pPr>
      <w:bookmarkStart w:id="3" w:name="PE"/>
      <w:r w:rsidRPr="003C6684">
        <w:rPr>
          <w:vanish/>
        </w:rPr>
        <w:t>PE752.739</w:t>
      </w:r>
      <w:bookmarkEnd w:id="3"/>
    </w:p>
    <w:p w:rsidR="00E97FE3" w:rsidRPr="003C6684" w:rsidRDefault="00E97FE3" w:rsidP="00E97FE3">
      <w:pPr>
        <w:pStyle w:val="ATHeading3"/>
      </w:pPr>
      <w:bookmarkStart w:id="4" w:name="Sujet"/>
      <w:r w:rsidRPr="003C6684">
        <w:t xml:space="preserve">Rezolucja Parlamentu Europejskiego z dnia </w:t>
      </w:r>
      <w:r w:rsidR="00027F49">
        <w:t>16 stycznia</w:t>
      </w:r>
      <w:r w:rsidRPr="003C6684">
        <w:t xml:space="preserve"> 2024 r. w sprawie unii bankowej – sprawozdanie za rok 2023</w:t>
      </w:r>
      <w:bookmarkEnd w:id="4"/>
      <w:r w:rsidRPr="003C6684">
        <w:t xml:space="preserve"> </w:t>
      </w:r>
      <w:bookmarkStart w:id="5" w:name="References"/>
      <w:r w:rsidRPr="003C6684">
        <w:t>(2023/2078(INI))</w:t>
      </w:r>
      <w:bookmarkEnd w:id="5"/>
    </w:p>
    <w:p w:rsidR="00E97FE3" w:rsidRPr="003C6684" w:rsidRDefault="00E97FE3" w:rsidP="00E97FE3"/>
    <w:p w:rsidR="00A54CD7" w:rsidRPr="003C6684" w:rsidRDefault="00A54CD7" w:rsidP="00A54CD7">
      <w:pPr>
        <w:pStyle w:val="EPComma"/>
      </w:pPr>
      <w:bookmarkStart w:id="6" w:name="TextBodyBegin"/>
      <w:bookmarkEnd w:id="6"/>
      <w:r w:rsidRPr="003C6684">
        <w:rPr>
          <w:i/>
        </w:rPr>
        <w:t>Parlament Europejski</w:t>
      </w:r>
      <w:r w:rsidRPr="003C6684">
        <w:t>,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–</w:t>
      </w:r>
      <w:r w:rsidRPr="00027F49">
        <w:rPr>
          <w:color w:val="000000" w:themeColor="text1"/>
        </w:rPr>
        <w:tab/>
        <w:t>uwzględniając swoją rezolucję z 11 lipca 2023 r. w sprawie unii bankowej – sprawozdanie za rok 2022</w:t>
      </w:r>
      <w:r w:rsidRPr="00027F49">
        <w:rPr>
          <w:rStyle w:val="FootnoteReference"/>
          <w:color w:val="000000" w:themeColor="text1"/>
        </w:rPr>
        <w:footnoteReference w:id="1"/>
      </w:r>
      <w:r w:rsidRPr="00027F49">
        <w:rPr>
          <w:color w:val="000000" w:themeColor="text1"/>
        </w:rPr>
        <w:t>,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–</w:t>
      </w:r>
      <w:r w:rsidRPr="00027F49">
        <w:rPr>
          <w:color w:val="000000" w:themeColor="text1"/>
        </w:rPr>
        <w:tab/>
        <w:t>uwzględniając działania następcze Komisji dotyczące rezolucji Parlamentu Europejskiego z 11 lipca 2023 r. w sprawie unii bankowej – sprawozdanie za rok 2022,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–</w:t>
      </w:r>
      <w:r w:rsidRPr="00027F49">
        <w:rPr>
          <w:color w:val="000000" w:themeColor="text1"/>
        </w:rPr>
        <w:tab/>
        <w:t>uwzględniając dokument Europejskiego Banku Centralnego z 20 października 2023 r. zatytułowany „Feedback on the input provided by the European Parliament as part of its ‘Resolution on Banking Union - Annual Report 2022” [Odpowiedź na uwagi Parlamentu Europejskiego zawarte w rezolucji w sprawie unii bankowej – sprawozdanie za rok 2022],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–</w:t>
      </w:r>
      <w:r w:rsidRPr="00027F49">
        <w:rPr>
          <w:color w:val="000000" w:themeColor="text1"/>
        </w:rPr>
        <w:tab/>
        <w:t>uwzględniając raport roczny Europejskiego Banku Centralnego (EBC) z działalności nadzorczej w 2022 r. wydany 21 marca 2023 r.,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–</w:t>
      </w:r>
      <w:r w:rsidRPr="00027F49">
        <w:rPr>
          <w:color w:val="000000" w:themeColor="text1"/>
        </w:rPr>
        <w:tab/>
        <w:t>uwzględniając sprawozdanie roczne Jednolitej Rady ds. Restrukturyzacji i Uporządkowanej Likwidacji (SRB) za rok 2022 przedstawione 30 czerwca 2023 r.,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–</w:t>
      </w:r>
      <w:r w:rsidRPr="00027F49">
        <w:rPr>
          <w:color w:val="000000" w:themeColor="text1"/>
        </w:rPr>
        <w:tab/>
        <w:t>uwzględniając wniosek Komisji z 24 listopada 2015 r. dotyczący rozporządzenia Parlamentu Europejskiego i Rady zmieniającego rozporządzenie (UE) nr 806/2014 w celu ustanowienia europejskiego systemu gwarantowania depozytów (COM(2015)0586),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–</w:t>
      </w:r>
      <w:r w:rsidRPr="00027F49">
        <w:rPr>
          <w:color w:val="000000" w:themeColor="text1"/>
        </w:rPr>
        <w:tab/>
        <w:t>uwzględniając wniosek Komisji z 14 marca 2018 r. dotyczący dyrektywy Parlamentu Europejskiego i Rady w sprawie podmiotów obsługujących kredyty, nabywców kredytów oraz egzekucji z zabezpieczenia (COM(2018)0135),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–</w:t>
      </w:r>
      <w:r w:rsidRPr="00027F49">
        <w:rPr>
          <w:color w:val="000000" w:themeColor="text1"/>
        </w:rPr>
        <w:tab/>
        <w:t>uwzględniając komunikat prasowy Rady z 7 grudnia 2022 r. zatytułowany „Pranie pieniędzy: Rada uzgadnia stanowisko w sprawie surowszych przepisów”,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lastRenderedPageBreak/>
        <w:t>–</w:t>
      </w:r>
      <w:r w:rsidRPr="00027F49">
        <w:rPr>
          <w:color w:val="000000" w:themeColor="text1"/>
        </w:rPr>
        <w:tab/>
        <w:t>uwzględniając komunikat prasowy Rady z 27 czerwca 2023 r. zatytułowany „Sektor bankowy: wstępne porozumienie co do wdrażania reform Bazylea III”,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–</w:t>
      </w:r>
      <w:r w:rsidRPr="00027F49">
        <w:rPr>
          <w:color w:val="000000" w:themeColor="text1"/>
        </w:rPr>
        <w:tab/>
        <w:t>uwzględniając wniosek Komisji z 18 kwietnia 2023 r. dotyczący rozporządzenia Parlamentu Europejskiego i Rady zmieniającego rozporządzenie (UE) nr 806/2014 w odniesieniu do środków wczesnej interwencji, warunków uruchomienia procedury restrukturyzacji i uporządkowanej likwidacji oraz finansowania działań w ramach restrukturyzacji i uporządkowanej likwidacji (COM(2023)0226),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–</w:t>
      </w:r>
      <w:r w:rsidRPr="00027F49">
        <w:rPr>
          <w:color w:val="000000" w:themeColor="text1"/>
        </w:rPr>
        <w:tab/>
        <w:t>uwzględniając wniosek Komisji z 18 kwietnia 2023 r. dotyczący dyrektywy Parlamentu Europejskiego i Rady zmieniającej dyrektywę 2014/59/UE w odniesieniu do środków wczesnej interwencji, warunków uruchomienia procedury restrukturyzacji i uporządkowanej likwidacji oraz finansowania działań w ramach restrukturyzacji i uporządkowanej likwidacji (COM(2023)0227),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–</w:t>
      </w:r>
      <w:r w:rsidRPr="00027F49">
        <w:rPr>
          <w:color w:val="000000" w:themeColor="text1"/>
        </w:rPr>
        <w:tab/>
        <w:t>uwzględniając wniosek Komisji z 18 kwietnia 2023 r. dotyczący dyrektywy Parlamentu Europejskiego i Rady zmieniającej dyrektywę 2014/49/UE w odniesieniu do zakresu ochrony depozytów, wykorzystywania środków z systemów gwarancji depozytów, współpracy transgranicznej i przejrzystości (COM(2023)0228),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–</w:t>
      </w:r>
      <w:r w:rsidRPr="00027F49">
        <w:rPr>
          <w:color w:val="000000" w:themeColor="text1"/>
        </w:rPr>
        <w:tab/>
        <w:t>uwzględniając sprawozdanie pięciu przewodniczących z 22 czerwca 2015 r. zatytułowane „Dokończenie budowy europejskiej unii gospodarczej i walutowej”,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–</w:t>
      </w:r>
      <w:r w:rsidRPr="00027F49">
        <w:rPr>
          <w:color w:val="000000" w:themeColor="text1"/>
        </w:rPr>
        <w:tab/>
        <w:t>uwzględniając oświadczenie Eurogrupy z 16 czerwca 2022 r. w sprawie przyszłości unii bankowej,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–</w:t>
      </w:r>
      <w:r w:rsidRPr="00027F49">
        <w:rPr>
          <w:color w:val="000000" w:themeColor="text1"/>
        </w:rPr>
        <w:tab/>
        <w:t>uwzględniając standardy Bazylejskiego Komitetu Nadzoru Bankowego z 16 grudnia 2022 r. dotyczące ostrożnościowego traktowania ekspozycji na kryptoaktywa,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–</w:t>
      </w:r>
      <w:r w:rsidRPr="00027F49">
        <w:rPr>
          <w:color w:val="000000" w:themeColor="text1"/>
        </w:rPr>
        <w:tab/>
        <w:t>uwzględniając komunikat Komisji z 16 grudnia 2020 r. zatytułowany „Rozwiązanie problemu kredytów zagrożonych zaistniałego w następstwie pandemii COVID-19” (COM(2020)0822),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–</w:t>
      </w:r>
      <w:r w:rsidRPr="00027F49">
        <w:rPr>
          <w:color w:val="000000" w:themeColor="text1"/>
        </w:rPr>
        <w:tab/>
        <w:t>uwzględniając zalecenie EBC z 15 grudnia 2020 r. w sprawie wypłat dywidend w czasie pandemii COVID-19,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–</w:t>
      </w:r>
      <w:r w:rsidRPr="00027F49">
        <w:rPr>
          <w:color w:val="000000" w:themeColor="text1"/>
        </w:rPr>
        <w:tab/>
        <w:t>uwzględniając dokument z serii okolicznościowej EBC „The Road to Paris: stress testing the transition towards a net-zero economy” [Osiąganie celów porozumienia paryskiego: analiza wariantowa i szokowa przejścia na gospodarkę neutralną emisyjnie],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–</w:t>
      </w:r>
      <w:r w:rsidRPr="00027F49">
        <w:rPr>
          <w:color w:val="000000" w:themeColor="text1"/>
        </w:rPr>
        <w:tab/>
        <w:t>uwzględniając opublikowany 28 lipca 2023 r. wynik ogólnounijnego działania na rzecz przejrzystości przeprowadzonego przez Europejski Urząd Nadzoru Bankowego (EUNB) w 2023 r.,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–</w:t>
      </w:r>
      <w:r w:rsidRPr="00027F49">
        <w:rPr>
          <w:color w:val="000000" w:themeColor="text1"/>
        </w:rPr>
        <w:tab/>
        <w:t>uwzględniając sprawozdanie EUNB w sprawie roli ryzyka środowiskowego i społecznego w ramach ostrożnościowych,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–</w:t>
      </w:r>
      <w:r w:rsidRPr="00027F49">
        <w:rPr>
          <w:color w:val="000000" w:themeColor="text1"/>
        </w:rPr>
        <w:tab/>
        <w:t>uwzględniając dokument EBC z maja 2023 r. zatytułowany „Financial Stability Review” [Przegląd stabilności finansowej],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–</w:t>
      </w:r>
      <w:r w:rsidRPr="00027F49">
        <w:rPr>
          <w:color w:val="000000" w:themeColor="text1"/>
        </w:rPr>
        <w:tab/>
        <w:t xml:space="preserve">uwzględniając sprawozdanie EBC z 12 grudnia 2022 r. w sprawie priorytetów </w:t>
      </w:r>
      <w:r w:rsidRPr="00027F49">
        <w:rPr>
          <w:color w:val="000000" w:themeColor="text1"/>
        </w:rPr>
        <w:lastRenderedPageBreak/>
        <w:t>nadzorczych na lata 2023–25,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–</w:t>
      </w:r>
      <w:r w:rsidRPr="00027F49">
        <w:rPr>
          <w:color w:val="000000" w:themeColor="text1"/>
        </w:rPr>
        <w:tab/>
        <w:t>uwzględniając sprawozdanie Europejskiego Trybunału Obrachunkowego z 12 maja 2023 r. pt. „Sprawozdanie specjalne nr 12/2023: Nadzór UE nad ryzykiem kredytowym banków – EBC zintensyfikował działania, ale należy zrobić więcej, aby zwiększyć pewność, że banki właściwie zarządzają ryzykiem kredytowym i odpowiednio się przed nim zabezpieczają”,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–</w:t>
      </w:r>
      <w:r w:rsidRPr="00027F49">
        <w:rPr>
          <w:color w:val="000000" w:themeColor="text1"/>
        </w:rPr>
        <w:tab/>
        <w:t>uwzględniając oświadczenia prezesa Rady ds. Nadzoru EBC Andrei Enrii złożone podczas wysłuchań w Komisji Gospodarczej i Monetarnej Parlamentu Europejskiego 21 marca 2023 r. i 28 czerwca 2023 r.,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–</w:t>
      </w:r>
      <w:r w:rsidRPr="00027F49">
        <w:rPr>
          <w:color w:val="000000" w:themeColor="text1"/>
        </w:rPr>
        <w:tab/>
        <w:t>uwzględniając oświadczenia złożone 20 września 2023 r. podczas wysłuchania publicznego Komisji Gospodarczej i Monetarnej z udziałem kandydata zaproponowanego na stanowisko prezesa Rady ds. Nadzoru EBC,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–</w:t>
      </w:r>
      <w:r w:rsidRPr="00027F49">
        <w:rPr>
          <w:color w:val="000000" w:themeColor="text1"/>
        </w:rPr>
        <w:tab/>
        <w:t>uwzględniając oświadczenia przewodniczącego SRB Dominique’a Laboureixa złożone podczas wysłuchań w Komisji Gospodarczej i Monetarnej Parlamentu Europejskiego 1 marca 2023 r. i 18 lipca 2023 r.,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–</w:t>
      </w:r>
      <w:r w:rsidRPr="00027F49">
        <w:rPr>
          <w:color w:val="000000" w:themeColor="text1"/>
        </w:rPr>
        <w:tab/>
        <w:t>uwzględniając półroczne sprawozdanie SRB dla Eurogrupy z 15 maja 2023 r.,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–</w:t>
      </w:r>
      <w:r w:rsidRPr="00027F49">
        <w:rPr>
          <w:color w:val="000000" w:themeColor="text1"/>
        </w:rPr>
        <w:tab/>
        <w:t>uwzględniając wspólne oświadczenie Nadzoru Bankowego EBC, EUNB i SRB z 20 marca 2023 r. w sprawie zapowiedzi władz szwajcarskich z 19 marca 2023 r.,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–</w:t>
      </w:r>
      <w:r w:rsidRPr="00027F49">
        <w:rPr>
          <w:color w:val="000000" w:themeColor="text1"/>
        </w:rPr>
        <w:tab/>
        <w:t>uwzględniając Protokół ustaleń z 27 czerwca 2023 r. ustanawiający ramy współpracy regulacyjnej w dziedzinie usług finansowych między Unią Europejską a Zjednoczonym Królestwem Wielkiej Brytanii i Irlandii Północnej,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–</w:t>
      </w:r>
      <w:r w:rsidRPr="00027F49">
        <w:rPr>
          <w:color w:val="000000" w:themeColor="text1"/>
        </w:rPr>
        <w:tab/>
        <w:t>uwzględniając deklarację z 7 grudnia 2022 r. podpisaną przez przewodniczącą Komisji Gospodarczej i Monetarnej Parlamentu Europejskiego i uzgodnioną przez koordynatorów sześciu grup politycznych Parlamentu (Europejskiej Partii Ludowej, Postępowego Sojuszu Socjalistów i Demokratów, Renew Europe, Zielonych / Wolnego Przymierza Europejskiego, Europejskich Konserwatystów i Reformatorów oraz Lewicy) w sprawie europejskiego systemu gwarantowania depozytów,</w:t>
      </w:r>
    </w:p>
    <w:p w:rsidR="00A54CD7" w:rsidRPr="00027F49" w:rsidRDefault="00F21148" w:rsidP="00A54CD7">
      <w:pPr>
        <w:pStyle w:val="NormalHanging12a"/>
        <w:rPr>
          <w:color w:val="000000" w:themeColor="text1"/>
        </w:rPr>
      </w:pPr>
      <w:r>
        <w:rPr>
          <w:color w:val="000000" w:themeColor="text1"/>
        </w:rPr>
        <w:t>–</w:t>
      </w:r>
      <w:r>
        <w:rPr>
          <w:color w:val="000000" w:themeColor="text1"/>
        </w:rPr>
        <w:tab/>
      </w:r>
      <w:r w:rsidR="00A54CD7" w:rsidRPr="00027F49">
        <w:rPr>
          <w:color w:val="000000" w:themeColor="text1"/>
        </w:rPr>
        <w:t>uwzględniając swoją rezolucję z 25 marca 2021 r. w sprawie wzmocnienia międzynarodowej roli euro</w:t>
      </w:r>
      <w:r w:rsidR="00A54CD7" w:rsidRPr="00027F49">
        <w:rPr>
          <w:rStyle w:val="FootnoteReference"/>
          <w:color w:val="000000" w:themeColor="text1"/>
        </w:rPr>
        <w:footnoteReference w:id="2"/>
      </w:r>
      <w:r w:rsidR="00A54CD7" w:rsidRPr="00027F49">
        <w:rPr>
          <w:color w:val="000000" w:themeColor="text1"/>
        </w:rPr>
        <w:t>,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–</w:t>
      </w:r>
      <w:r w:rsidRPr="00027F49">
        <w:rPr>
          <w:color w:val="000000" w:themeColor="text1"/>
        </w:rPr>
        <w:tab/>
        <w:t>uwzględniając swoją rezolucję z 14 marca 2019 r. w sprawie równowagi płci przy obsadzaniu stanowisk w obszarze polityki gospodarczej i monetarnej UE</w:t>
      </w:r>
      <w:r w:rsidRPr="00027F49">
        <w:rPr>
          <w:rStyle w:val="FootnoteReference"/>
          <w:color w:val="000000" w:themeColor="text1"/>
        </w:rPr>
        <w:footnoteReference w:id="3"/>
      </w:r>
      <w:r w:rsidRPr="00027F49">
        <w:rPr>
          <w:color w:val="000000" w:themeColor="text1"/>
        </w:rPr>
        <w:t>,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–</w:t>
      </w:r>
      <w:r w:rsidRPr="00027F49">
        <w:rPr>
          <w:color w:val="000000" w:themeColor="text1"/>
        </w:rPr>
        <w:tab/>
        <w:t>uwzględniając art. 54 Regulaminu,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–</w:t>
      </w:r>
      <w:r w:rsidRPr="00027F49">
        <w:rPr>
          <w:color w:val="000000" w:themeColor="text1"/>
        </w:rPr>
        <w:tab/>
        <w:t>uwzględniając sprawozdanie Komisji Gospodarczej i Monetarnej (A9-0431/2023),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A.</w:t>
      </w:r>
      <w:r w:rsidRPr="00027F49">
        <w:rPr>
          <w:color w:val="000000" w:themeColor="text1"/>
        </w:rPr>
        <w:tab/>
      </w:r>
      <w:proofErr w:type="gramStart"/>
      <w:r w:rsidRPr="00027F49">
        <w:rPr>
          <w:color w:val="000000" w:themeColor="text1"/>
        </w:rPr>
        <w:t>mając</w:t>
      </w:r>
      <w:proofErr w:type="gramEnd"/>
      <w:r w:rsidRPr="00027F49">
        <w:rPr>
          <w:color w:val="000000" w:themeColor="text1"/>
        </w:rPr>
        <w:t xml:space="preserve"> na uwadze, że unia bankowa, która obecnie obejmuje jednolity mechanizm nadzorczy, jednolity mechanizm restrukturyzacji i uporządkowanej likwidacji i której podstawą jest jednolity zbiór przepisów, stanowi integralną część stabilności finansowej </w:t>
      </w:r>
      <w:r w:rsidRPr="00027F49">
        <w:rPr>
          <w:color w:val="000000" w:themeColor="text1"/>
        </w:rPr>
        <w:lastRenderedPageBreak/>
        <w:t>Unii i gwarantuje wysokie minimalne normy ochrony depozytów do czasu utworzenia europejskiego systemu gwarantowania depozytów (EDIS);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B.</w:t>
      </w:r>
      <w:r w:rsidRPr="00027F49">
        <w:rPr>
          <w:color w:val="000000" w:themeColor="text1"/>
        </w:rPr>
        <w:tab/>
        <w:t>mając na uwadze, że zajęcie się ryzykiem wynikającym ze zbyt dużej więzi bank –państwo zapewniłoby niezwykle istotną dodatkową stabilność i bezpieczeństwo europejskiego systemu bankowego oraz korzystających z niego klientów;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C.</w:t>
      </w:r>
      <w:r w:rsidRPr="00027F49">
        <w:rPr>
          <w:color w:val="000000" w:themeColor="text1"/>
        </w:rPr>
        <w:tab/>
      </w:r>
      <w:proofErr w:type="gramStart"/>
      <w:r w:rsidRPr="00027F49">
        <w:rPr>
          <w:color w:val="000000" w:themeColor="text1"/>
        </w:rPr>
        <w:t>mając</w:t>
      </w:r>
      <w:proofErr w:type="gramEnd"/>
      <w:r w:rsidRPr="00027F49">
        <w:rPr>
          <w:color w:val="000000" w:themeColor="text1"/>
        </w:rPr>
        <w:t xml:space="preserve"> na uwadze, że w pełni rozwinięta unia bankowa byłaby korzystna dla obywateli i gospodarki UE, ponieważ stworzyłaby podstawę dla bardziej stabilnego systemu bankowego, ograniczenia ryzyka systemowego, większej konkurencji, większego wyboru dla konsumentów i ich ochrony, większych możliwości w obszarze bankowości transgranicznej i dostępu do detalicznych usług finansowych, większych inwestycji gospodarczych, lepszego dostępu do finansowania dla gospodarstw domowych i przedsiębiorstw i niższych kosztów dla klientów banków, a zarazem zagwarantowałaby, że do ratowania sektora bankowego nie wykorzystuje się funduszy publicznych;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D.</w:t>
      </w:r>
      <w:r w:rsidRPr="00027F49">
        <w:rPr>
          <w:color w:val="000000" w:themeColor="text1"/>
        </w:rPr>
        <w:tab/>
      </w:r>
      <w:proofErr w:type="gramStart"/>
      <w:r w:rsidRPr="00027F49">
        <w:rPr>
          <w:color w:val="000000" w:themeColor="text1"/>
        </w:rPr>
        <w:t>mając</w:t>
      </w:r>
      <w:proofErr w:type="gramEnd"/>
      <w:r w:rsidRPr="00027F49">
        <w:rPr>
          <w:color w:val="000000" w:themeColor="text1"/>
        </w:rPr>
        <w:t xml:space="preserve"> na uwadze, że banki unijne poradziły sobie ze skutkami rosyjskiej agresji; mając na uwadze, że odgrywają one kluczową rolę w zapewnianiu ciągłego wdrażania i przestrzegania sankcji nałożonych przez UE na Rosję w odpowiedzi na inwazję; mając na uwadze, że konieczna jest dalsza koordynacja, aby uniknąć obchodzenia sankcji;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E.</w:t>
      </w:r>
      <w:r w:rsidRPr="00027F49">
        <w:rPr>
          <w:color w:val="000000" w:themeColor="text1"/>
        </w:rPr>
        <w:tab/>
      </w:r>
      <w:proofErr w:type="gramStart"/>
      <w:r w:rsidRPr="00027F49">
        <w:rPr>
          <w:color w:val="000000" w:themeColor="text1"/>
        </w:rPr>
        <w:t>mając</w:t>
      </w:r>
      <w:proofErr w:type="gramEnd"/>
      <w:r w:rsidRPr="00027F49">
        <w:rPr>
          <w:color w:val="000000" w:themeColor="text1"/>
        </w:rPr>
        <w:t xml:space="preserve"> na uwadze, że zmiana klimatu, degradacja środowiska i przejście na gospodarkę niskoemisyjną są czynnikami, które należy uwzględnić, oceniając zrównoważony charakter bilansów banków jako źródło ryzyka wpływające potencjalnie na inwestycje w obrębie regionów i sektorów;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F.</w:t>
      </w:r>
      <w:r w:rsidRPr="00027F49">
        <w:rPr>
          <w:color w:val="000000" w:themeColor="text1"/>
        </w:rPr>
        <w:tab/>
      </w:r>
      <w:proofErr w:type="gramStart"/>
      <w:r w:rsidRPr="00027F49">
        <w:rPr>
          <w:color w:val="000000" w:themeColor="text1"/>
        </w:rPr>
        <w:t>mając</w:t>
      </w:r>
      <w:proofErr w:type="gramEnd"/>
      <w:r w:rsidRPr="00027F49">
        <w:rPr>
          <w:color w:val="000000" w:themeColor="text1"/>
        </w:rPr>
        <w:t xml:space="preserve"> na uwadze, że nie osiągnięto jeszcze porozumienia w sprawie EDIS; mając na uwadze, że w odpowiedzi na apele Parlamentu Komisja zaproponowała reformę ram zarządzania kryzysowego i gwarantowania depozytów (ram CMDI), a jednocześnie uznała, że nie należy ich postrzegać jako substytutu EDIS;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G.</w:t>
      </w:r>
      <w:r w:rsidRPr="00027F49">
        <w:rPr>
          <w:color w:val="000000" w:themeColor="text1"/>
        </w:rPr>
        <w:tab/>
        <w:t>mając na uwadze, że choć w 2020 r. osiągnięto porozumienie polityczne w sprawie stworzenia mechanizmu ochronnego dla jednolitego funduszu restrukturyzacji i uporządkowanej likwidacji, wciąż go brakuje; mając na uwadze, że według najnowszych dostępnych danych 16 z 36 systemów gwarancji depozytów w UE nie osiągnęło wymaganego (minimalnego) poziomu finansowania;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H.</w:t>
      </w:r>
      <w:r w:rsidRPr="00027F49">
        <w:rPr>
          <w:color w:val="000000" w:themeColor="text1"/>
        </w:rPr>
        <w:tab/>
      </w:r>
      <w:proofErr w:type="gramStart"/>
      <w:r w:rsidRPr="00027F49">
        <w:rPr>
          <w:color w:val="000000" w:themeColor="text1"/>
        </w:rPr>
        <w:t>mając</w:t>
      </w:r>
      <w:proofErr w:type="gramEnd"/>
      <w:r w:rsidRPr="00027F49">
        <w:rPr>
          <w:color w:val="000000" w:themeColor="text1"/>
        </w:rPr>
        <w:t xml:space="preserve"> na uwadze, że brak transgranicznej konsolidacji unijnego sektora bankowego wpływa na jego globalną konkurencyjność, a w niektórych państwach członkowskich bankowość detaliczna jest nadal zdominowana przez niewielką liczbę banków; mając na uwadze, że w ciągu ostatniej dekady zwiększyła się luka rentowności między bankami w UE i USA, a stopa zwrotu z kapitału własnego banków unijnych jest o 5 punktów niższa niż banków amerykańskich</w:t>
      </w:r>
      <w:r w:rsidRPr="00027F49">
        <w:rPr>
          <w:rStyle w:val="FootnoteReference"/>
          <w:color w:val="000000" w:themeColor="text1"/>
        </w:rPr>
        <w:footnoteReference w:id="4"/>
      </w:r>
      <w:r w:rsidRPr="00027F49">
        <w:rPr>
          <w:color w:val="000000" w:themeColor="text1"/>
        </w:rPr>
        <w:t>;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I.</w:t>
      </w:r>
      <w:r w:rsidRPr="00027F49">
        <w:rPr>
          <w:color w:val="000000" w:themeColor="text1"/>
        </w:rPr>
        <w:tab/>
      </w:r>
      <w:proofErr w:type="gramStart"/>
      <w:r w:rsidRPr="00027F49">
        <w:rPr>
          <w:color w:val="000000" w:themeColor="text1"/>
        </w:rPr>
        <w:t>mając</w:t>
      </w:r>
      <w:proofErr w:type="gramEnd"/>
      <w:r w:rsidRPr="00027F49">
        <w:rPr>
          <w:color w:val="000000" w:themeColor="text1"/>
        </w:rPr>
        <w:t xml:space="preserve"> na uwadze, że rentowność sektora bankowego w UE wzrasta, częściowo ze względu na wyższe stopy procentowe oraz w wyniku wyższych depozytów EBC; mając na uwadze, że wzrost stóp procentowych doprowadził również do pogorszenia bilansu </w:t>
      </w:r>
      <w:r w:rsidRPr="00027F49">
        <w:rPr>
          <w:color w:val="000000" w:themeColor="text1"/>
        </w:rPr>
        <w:lastRenderedPageBreak/>
        <w:t>niektórych banków z uwagi na niezrealizowane straty kapitałowe;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J.</w:t>
      </w:r>
      <w:r w:rsidRPr="00027F49">
        <w:rPr>
          <w:color w:val="000000" w:themeColor="text1"/>
        </w:rPr>
        <w:tab/>
        <w:t>mając na uwadze, że silny, stabilny, odporny, dynamiczny i konkurencyjny sektor bankowy ma zasadnicze znaczenie, by zapewnić wzrost gospodarczy, finansowanie małych i średnich przedsiębiorstw (MŚP) oraz przedsiębiorstw typu start-up, zwiększyć szanse na posiadanie nieruchomości mieszkalnych, a także pilnie potrzebne przejście na gospodarkę ekologiczną i cyfrową;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K.</w:t>
      </w:r>
      <w:r w:rsidRPr="00027F49">
        <w:rPr>
          <w:color w:val="000000" w:themeColor="text1"/>
        </w:rPr>
        <w:tab/>
        <w:t>mając na uwadze, że sektor bankowy stoi w obliczu zagrożeń wynikających z pandemii i inwazji, w szczególności w związku z pogorszeniem się jakości aktywów; mając na uwadze, że choć wskaźnik kredytów zagrożonych spadł do 2,24 % w pierwszym kwartale 2023 r. i od czasu zakończenia wielkiej recesji stale się zmniejsza, potrzebne jest jego dalsze obniżenie;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L.</w:t>
      </w:r>
      <w:r w:rsidRPr="00027F49">
        <w:rPr>
          <w:color w:val="000000" w:themeColor="text1"/>
        </w:rPr>
        <w:tab/>
      </w:r>
      <w:proofErr w:type="gramStart"/>
      <w:r w:rsidRPr="00027F49">
        <w:rPr>
          <w:color w:val="000000" w:themeColor="text1"/>
        </w:rPr>
        <w:t>mając</w:t>
      </w:r>
      <w:proofErr w:type="gramEnd"/>
      <w:r w:rsidRPr="00027F49">
        <w:rPr>
          <w:color w:val="000000" w:themeColor="text1"/>
        </w:rPr>
        <w:t xml:space="preserve"> na uwadze, że prawodawcy UE wynegocjowali zasady wdrażania standardów Bazylea III w sposób chroniący konkurencyjność banków i uwzględniający specyfikę unijnego sektora bankowego;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M.</w:t>
      </w:r>
      <w:r w:rsidRPr="00027F49">
        <w:rPr>
          <w:color w:val="000000" w:themeColor="text1"/>
        </w:rPr>
        <w:tab/>
        <w:t>mając na uwadze, że cyfryzacja finansów zapewnia sektorowi bankowemu istotne możliwości i przyniosła istotne postępy technologiczne w sektorze bankowym w UE dzięki zwiększeniu wydajności świadczenia usług bankowych i większej chęci do innowacji; mając na uwadze, że wiąże się to również z wyzwaniami, w tym w związku z ochroną danych, ryzykiem utraty reputacji, przeciwdziałaniem praniu pieniędzy (AML) i ochroną konsumentów;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N.</w:t>
      </w:r>
      <w:r w:rsidRPr="00027F49">
        <w:rPr>
          <w:color w:val="000000" w:themeColor="text1"/>
        </w:rPr>
        <w:tab/>
        <w:t>mając na uwadze, że instytucje finansowe w coraz większej mierze polegają na technologii informacyjno-komunikacyjnej (ICT); mając na uwadze, że sektor bankowy UE musi zwiększyć cyberodporność, aby zagwarantować, że systemy ICT będą w stanie przeciwstawić się różnym rodzajom zagrożeń cyberbezpieczeństwa;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O.</w:t>
      </w:r>
      <w:r w:rsidRPr="00027F49">
        <w:rPr>
          <w:color w:val="000000" w:themeColor="text1"/>
        </w:rPr>
        <w:tab/>
      </w:r>
      <w:proofErr w:type="gramStart"/>
      <w:r w:rsidRPr="00027F49">
        <w:rPr>
          <w:color w:val="000000" w:themeColor="text1"/>
        </w:rPr>
        <w:t>mając</w:t>
      </w:r>
      <w:proofErr w:type="gramEnd"/>
      <w:r w:rsidRPr="00027F49">
        <w:rPr>
          <w:color w:val="000000" w:themeColor="text1"/>
        </w:rPr>
        <w:t xml:space="preserve"> na uwadze, że w szeregu banków rośnie poziom zaangażowania w dług państwowy; mając na uwadze, że należy zająć się ryzykiem wynikającym ze zbyt dużej więzi bank–państwo;</w:t>
      </w:r>
    </w:p>
    <w:p w:rsidR="00A54CD7" w:rsidRPr="00027F49" w:rsidRDefault="00A54CD7" w:rsidP="00A54CD7">
      <w:pPr>
        <w:pStyle w:val="NormalHanging12a"/>
        <w:rPr>
          <w:b/>
          <w:i/>
          <w:color w:val="000000" w:themeColor="text1"/>
        </w:rPr>
      </w:pPr>
      <w:r w:rsidRPr="00027F49">
        <w:rPr>
          <w:color w:val="000000" w:themeColor="text1"/>
        </w:rPr>
        <w:t>P.</w:t>
      </w:r>
      <w:r w:rsidRPr="00027F49">
        <w:rPr>
          <w:color w:val="000000" w:themeColor="text1"/>
        </w:rPr>
        <w:tab/>
        <w:t>mając na uwadze, że unia bankowa powinna pomóc w rozwiązaniu problemu więzi bank–państwo lub inaczej „pętli zagłady”, który to problem nadal się utrzymuje; mając na uwadze, że w szeregu banków rośnie poziom zaangażowania w dług państwowy; mając na uwadze, że ostrożnościowe traktowanie długu państwowego powinno być zgodne z normami międzynarodowymi;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Q.</w:t>
      </w:r>
      <w:r w:rsidRPr="00027F49">
        <w:rPr>
          <w:color w:val="000000" w:themeColor="text1"/>
        </w:rPr>
        <w:tab/>
      </w:r>
      <w:proofErr w:type="gramStart"/>
      <w:r w:rsidRPr="00027F49">
        <w:rPr>
          <w:color w:val="000000" w:themeColor="text1"/>
        </w:rPr>
        <w:t>mając</w:t>
      </w:r>
      <w:proofErr w:type="gramEnd"/>
      <w:r w:rsidRPr="00027F49">
        <w:rPr>
          <w:color w:val="000000" w:themeColor="text1"/>
        </w:rPr>
        <w:t xml:space="preserve"> na uwadze, że podwyżki stóp procentowych negatywnie wpłynęły na zdolność kredytową gospodarstw domowych i zdolność kredytobiorców do spłaty zadłużenia oraz narażają banki unijne na potencjalne straty w przyszłości;</w:t>
      </w:r>
      <w:r w:rsidRPr="00027F49">
        <w:rPr>
          <w:b/>
          <w:i/>
          <w:color w:val="000000" w:themeColor="text1"/>
        </w:rPr>
        <w:t xml:space="preserve"> </w:t>
      </w:r>
      <w:r w:rsidRPr="00027F49">
        <w:rPr>
          <w:color w:val="000000" w:themeColor="text1"/>
        </w:rPr>
        <w:t>mając na uwadze, że jak dotąd odpowiednio uwzględniano zagrożenia wynikające z podwyżek stóp procentowych;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R</w:t>
      </w:r>
      <w:r w:rsidR="00F21148">
        <w:rPr>
          <w:color w:val="000000" w:themeColor="text1"/>
        </w:rPr>
        <w:t>.</w:t>
      </w:r>
      <w:r w:rsidRPr="00027F49">
        <w:rPr>
          <w:color w:val="000000" w:themeColor="text1"/>
        </w:rPr>
        <w:tab/>
        <w:t>mając na uwadze, że ukończenie unii rynków kapitałowych wymaga ustanowienia wspólnych przepisów i skutecznych narzędzi, aby zmniejszyć fragmentację rynku wewnętrznego i ułatwić dostęp do alternatywnych źródeł finansowania;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S.</w:t>
      </w:r>
      <w:r w:rsidRPr="00027F49">
        <w:rPr>
          <w:color w:val="000000" w:themeColor="text1"/>
        </w:rPr>
        <w:tab/>
        <w:t xml:space="preserve">mając na uwadze, że UE i Zjednoczone Królestwo podpisały protokół ustaleń ustanawiający ramy współpracy regulacyjnej w dziedzinie usług finansowych i że to </w:t>
      </w:r>
      <w:r w:rsidRPr="00027F49">
        <w:rPr>
          <w:color w:val="000000" w:themeColor="text1"/>
        </w:rPr>
        <w:lastRenderedPageBreak/>
        <w:t>podejście oparte na współpracy powinno być podstawą długoterminowych stosunków między UE a Zjednoczonym Królestwem, zwłaszcza w dziedzinie bankowości; mając na uwadze, że Komisja ponownie przedłużyła tymczasowe zezwolenie umożliwiające unijnym bankom i zarządzającym funduszami korzystanie z brytyjskich izb rozliczeniowych;</w:t>
      </w:r>
    </w:p>
    <w:p w:rsidR="00A54CD7" w:rsidRPr="00027F49" w:rsidRDefault="00A54CD7" w:rsidP="00A54CD7">
      <w:pPr>
        <w:spacing w:after="240"/>
        <w:ind w:left="567" w:hanging="567"/>
        <w:rPr>
          <w:color w:val="000000" w:themeColor="text1"/>
        </w:rPr>
      </w:pPr>
      <w:r w:rsidRPr="00027F49">
        <w:rPr>
          <w:rStyle w:val="BoldItalic"/>
          <w:color w:val="000000" w:themeColor="text1"/>
        </w:rPr>
        <w:t>Uwagi ogólne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1.</w:t>
      </w:r>
      <w:r w:rsidRPr="00027F49">
        <w:rPr>
          <w:color w:val="000000" w:themeColor="text1"/>
        </w:rPr>
        <w:tab/>
      </w:r>
      <w:proofErr w:type="gramStart"/>
      <w:r w:rsidRPr="00027F49">
        <w:rPr>
          <w:color w:val="000000" w:themeColor="text1"/>
        </w:rPr>
        <w:t>potępia</w:t>
      </w:r>
      <w:proofErr w:type="gramEnd"/>
      <w:r w:rsidRPr="00027F49">
        <w:rPr>
          <w:color w:val="000000" w:themeColor="text1"/>
        </w:rPr>
        <w:t xml:space="preserve"> rosyjską napaść na Ukrainę oraz jej wpływ na naród ukraiński, UE i inne regiony; wzywa banki, by nadal dostosowywały decyzje strategiczne do nowego kontekstu europejskiego i międzynarodowego wynikającego z tej sytuacji, zajęły się problemem ryzyka systemowego oraz w dalszym ciągu stosowały sankcje finansowe przyjęte w odpowiedzi na inwazję Rosji na Ukrainę i ich przestrzegały;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2.</w:t>
      </w:r>
      <w:r w:rsidRPr="00027F49">
        <w:rPr>
          <w:color w:val="000000" w:themeColor="text1"/>
        </w:rPr>
        <w:tab/>
      </w:r>
      <w:proofErr w:type="gramStart"/>
      <w:r w:rsidRPr="00027F49">
        <w:rPr>
          <w:color w:val="000000" w:themeColor="text1"/>
        </w:rPr>
        <w:t>przypomina</w:t>
      </w:r>
      <w:proofErr w:type="gramEnd"/>
      <w:r w:rsidRPr="00027F49">
        <w:rPr>
          <w:color w:val="000000" w:themeColor="text1"/>
        </w:rPr>
        <w:t>, że choć państwa członkowskie odpowiadają za wykrywanie naruszeń sankcji UE, sektor bankowy odgrywa kluczową rolę w stosowaniu sankcji i monitorowaniu ich przestrzegania; wzywa Komisję do stworzenia bazy danych na szczeblu UE, aby wspierać koordynację między bankami, usunąć luki w stosowaniu sankcji przez państwa członkowskie oraz ocenić sposób wdrażania sankcji przez banki UE; przyjmuje do wiadomości stanowisko Parlamentu w sprawie wniosku dotyczącego rozporządzenia w sprawie Urzędu ds. Przeciwdziałania Praniu Pieniędzy (AMLA), zgodnie z którym nowy Urząd ma wspierać spójne stosowanie ukierunkowanych sankcji finansowych UE;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3.</w:t>
      </w:r>
      <w:r w:rsidRPr="00027F49">
        <w:rPr>
          <w:color w:val="000000" w:themeColor="text1"/>
        </w:rPr>
        <w:tab/>
      </w:r>
      <w:proofErr w:type="gramStart"/>
      <w:r w:rsidRPr="00027F49">
        <w:rPr>
          <w:color w:val="000000" w:themeColor="text1"/>
        </w:rPr>
        <w:t>zauważa</w:t>
      </w:r>
      <w:proofErr w:type="gramEnd"/>
      <w:r w:rsidRPr="00027F49">
        <w:rPr>
          <w:color w:val="000000" w:themeColor="text1"/>
        </w:rPr>
        <w:t>, że łączne bezpośrednie zaangażowanie sektora bankowego w Rosji i Ukrainie jest ograniczone, ponieważ obecnie banki je zmniejszają, oraz wzywa instytucje nadzorcze i Nadzór Bankowy EBC do pomocy pozostałym bankom UE działającym w Rosji w uporządkowanym opuszczeniu rynku rosyjskiego;</w:t>
      </w:r>
    </w:p>
    <w:p w:rsidR="00A54CD7" w:rsidRPr="00027F49" w:rsidRDefault="00A54CD7" w:rsidP="00A54CD7">
      <w:pPr>
        <w:pStyle w:val="NormalHanging12a"/>
        <w:rPr>
          <w:b/>
          <w:i/>
          <w:color w:val="000000" w:themeColor="text1"/>
        </w:rPr>
      </w:pPr>
      <w:r w:rsidRPr="00027F49">
        <w:rPr>
          <w:color w:val="000000" w:themeColor="text1"/>
        </w:rPr>
        <w:t>4.</w:t>
      </w:r>
      <w:r w:rsidRPr="00027F49">
        <w:rPr>
          <w:color w:val="000000" w:themeColor="text1"/>
        </w:rPr>
        <w:tab/>
      </w:r>
      <w:proofErr w:type="gramStart"/>
      <w:r w:rsidRPr="00027F49">
        <w:rPr>
          <w:color w:val="000000" w:themeColor="text1"/>
        </w:rPr>
        <w:t>podkreśla</w:t>
      </w:r>
      <w:proofErr w:type="gramEnd"/>
      <w:r w:rsidRPr="00027F49">
        <w:rPr>
          <w:color w:val="000000" w:themeColor="text1"/>
        </w:rPr>
        <w:t>, że unia bankowa stanowi istotne dopełnienie unii gospodarczej i walutowej (UGW), a tym samym rynku wewnętrznego; przypomina, że główne cele unii bankowej to bezpieczeństwo systemu bankowego, ochrona deponentów i zapobieganie ratowaniu banków przez podatników; dostrzega postęp osiągnięty w ciągu ostatnich 15 lat dzięki ustanowieniu Jednolitego Mechanizmu Nadzorczego i jednolitego mechanizmu restrukturyzacji i uporządkowanej likwidacji oraz że banki unijne są obecnie lepiej przygotowane, by wytrzymać wstrząsy finansowe; wzywa, by dokończyć budowanie unii bankowej, i zauważa, że jej trzeci filar – EDIS – jest nadal w trakcie tworzenia;</w:t>
      </w:r>
    </w:p>
    <w:p w:rsidR="00027F49" w:rsidRPr="00027F49" w:rsidRDefault="00A54CD7" w:rsidP="00027F49">
      <w:pPr>
        <w:pStyle w:val="NormalHanging12a"/>
        <w:ind w:left="1134"/>
        <w:rPr>
          <w:color w:val="000000" w:themeColor="text1"/>
        </w:rPr>
      </w:pPr>
      <w:r w:rsidRPr="00027F49">
        <w:rPr>
          <w:color w:val="000000" w:themeColor="text1"/>
        </w:rPr>
        <w:t>5.</w:t>
      </w:r>
      <w:r w:rsidRPr="00027F49">
        <w:rPr>
          <w:color w:val="000000" w:themeColor="text1"/>
        </w:rPr>
        <w:tab/>
      </w:r>
      <w:proofErr w:type="gramStart"/>
      <w:r w:rsidRPr="00027F49">
        <w:rPr>
          <w:color w:val="000000" w:themeColor="text1"/>
        </w:rPr>
        <w:t>zwraca</w:t>
      </w:r>
      <w:proofErr w:type="gramEnd"/>
      <w:r w:rsidRPr="00027F49">
        <w:rPr>
          <w:color w:val="000000" w:themeColor="text1"/>
        </w:rPr>
        <w:t xml:space="preserve"> się do Komisji, by do końca obecnej i podczas następnej kadencji jej priorytetem nadal było ukończenie unii bankowej i unii rynków kapitałowych; podkreśla, że oba projekty: </w:t>
      </w:r>
    </w:p>
    <w:p w:rsidR="00027F49" w:rsidRPr="00027F49" w:rsidRDefault="00A54CD7" w:rsidP="00027F49">
      <w:pPr>
        <w:pStyle w:val="NormalHanging12a"/>
        <w:ind w:left="1134"/>
        <w:rPr>
          <w:color w:val="000000" w:themeColor="text1"/>
        </w:rPr>
      </w:pPr>
      <w:r w:rsidRPr="00027F49">
        <w:rPr>
          <w:color w:val="000000" w:themeColor="text1"/>
        </w:rPr>
        <w:t xml:space="preserve">– </w:t>
      </w:r>
      <w:r w:rsidR="00027F49" w:rsidRPr="00027F49">
        <w:rPr>
          <w:color w:val="000000" w:themeColor="text1"/>
        </w:rPr>
        <w:tab/>
      </w:r>
      <w:r w:rsidRPr="00027F49">
        <w:rPr>
          <w:color w:val="000000" w:themeColor="text1"/>
        </w:rPr>
        <w:t>oferują gospodarstwom domowym i MŚP, które nadal w dużej mierze polegają na kredytach bankowych, dostęp do szerszego finansowania,</w:t>
      </w:r>
    </w:p>
    <w:p w:rsidR="00027F49" w:rsidRPr="00027F49" w:rsidRDefault="00A54CD7" w:rsidP="00027F49">
      <w:pPr>
        <w:pStyle w:val="NormalHanging12a"/>
        <w:ind w:left="1134"/>
        <w:rPr>
          <w:color w:val="000000" w:themeColor="text1"/>
        </w:rPr>
      </w:pPr>
      <w:r w:rsidRPr="00027F49">
        <w:rPr>
          <w:color w:val="000000" w:themeColor="text1"/>
        </w:rPr>
        <w:t xml:space="preserve">– </w:t>
      </w:r>
      <w:r w:rsidR="00027F49" w:rsidRPr="00027F49">
        <w:rPr>
          <w:color w:val="000000" w:themeColor="text1"/>
        </w:rPr>
        <w:tab/>
      </w:r>
      <w:r w:rsidRPr="00027F49">
        <w:rPr>
          <w:color w:val="000000" w:themeColor="text1"/>
        </w:rPr>
        <w:t>wspierają inwestycje i tworzenie miejsc pracy,</w:t>
      </w:r>
    </w:p>
    <w:p w:rsidR="00027F49" w:rsidRPr="00027F49" w:rsidRDefault="00A54CD7" w:rsidP="00027F49">
      <w:pPr>
        <w:pStyle w:val="NormalHanging12a"/>
        <w:ind w:left="1134"/>
        <w:rPr>
          <w:color w:val="000000" w:themeColor="text1"/>
        </w:rPr>
      </w:pPr>
      <w:r w:rsidRPr="00027F49">
        <w:rPr>
          <w:color w:val="000000" w:themeColor="text1"/>
        </w:rPr>
        <w:t xml:space="preserve">– </w:t>
      </w:r>
      <w:r w:rsidR="00027F49" w:rsidRPr="00027F49">
        <w:rPr>
          <w:color w:val="000000" w:themeColor="text1"/>
        </w:rPr>
        <w:tab/>
      </w:r>
      <w:r w:rsidRPr="00027F49">
        <w:rPr>
          <w:color w:val="000000" w:themeColor="text1"/>
        </w:rPr>
        <w:t>wspierają gospodarkę europejską,</w:t>
      </w:r>
    </w:p>
    <w:p w:rsidR="00027F49" w:rsidRPr="00027F49" w:rsidRDefault="00A54CD7" w:rsidP="00027F49">
      <w:pPr>
        <w:pStyle w:val="NormalHanging12a"/>
        <w:ind w:left="1134"/>
        <w:rPr>
          <w:color w:val="000000" w:themeColor="text1"/>
        </w:rPr>
      </w:pPr>
      <w:r w:rsidRPr="00027F49">
        <w:rPr>
          <w:color w:val="000000" w:themeColor="text1"/>
        </w:rPr>
        <w:t xml:space="preserve">– </w:t>
      </w:r>
      <w:r w:rsidR="00027F49" w:rsidRPr="00027F49">
        <w:rPr>
          <w:color w:val="000000" w:themeColor="text1"/>
        </w:rPr>
        <w:tab/>
      </w:r>
      <w:r w:rsidRPr="00027F49">
        <w:rPr>
          <w:color w:val="000000" w:themeColor="text1"/>
        </w:rPr>
        <w:t>zwiększają stabilność finansową,</w:t>
      </w:r>
    </w:p>
    <w:p w:rsidR="00027F49" w:rsidRPr="00027F49" w:rsidRDefault="00A54CD7" w:rsidP="00027F49">
      <w:pPr>
        <w:pStyle w:val="NormalHanging12a"/>
        <w:ind w:left="1134"/>
        <w:rPr>
          <w:color w:val="000000" w:themeColor="text1"/>
        </w:rPr>
      </w:pPr>
      <w:r w:rsidRPr="00027F49">
        <w:rPr>
          <w:color w:val="000000" w:themeColor="text1"/>
        </w:rPr>
        <w:t xml:space="preserve">– </w:t>
      </w:r>
      <w:r w:rsidR="00027F49" w:rsidRPr="00027F49">
        <w:rPr>
          <w:color w:val="000000" w:themeColor="text1"/>
        </w:rPr>
        <w:tab/>
      </w:r>
      <w:r w:rsidRPr="00027F49">
        <w:rPr>
          <w:color w:val="000000" w:themeColor="text1"/>
        </w:rPr>
        <w:t>ograniczają skutki pogorszenia koniunktury gospodarczej,</w:t>
      </w:r>
    </w:p>
    <w:p w:rsidR="00027F49" w:rsidRPr="00027F49" w:rsidRDefault="00A54CD7" w:rsidP="00027F49">
      <w:pPr>
        <w:pStyle w:val="NormalHanging12a"/>
        <w:ind w:left="1134"/>
        <w:rPr>
          <w:color w:val="000000" w:themeColor="text1"/>
        </w:rPr>
      </w:pPr>
      <w:r w:rsidRPr="00027F49">
        <w:rPr>
          <w:color w:val="000000" w:themeColor="text1"/>
        </w:rPr>
        <w:lastRenderedPageBreak/>
        <w:t xml:space="preserve">– </w:t>
      </w:r>
      <w:r w:rsidR="00027F49" w:rsidRPr="00027F49">
        <w:rPr>
          <w:color w:val="000000" w:themeColor="text1"/>
        </w:rPr>
        <w:tab/>
      </w:r>
      <w:r w:rsidRPr="00027F49">
        <w:rPr>
          <w:color w:val="000000" w:themeColor="text1"/>
        </w:rPr>
        <w:t>finansują transformację cyfrową oraz przejście na gospodarkę zrównoważoną, a także</w:t>
      </w:r>
    </w:p>
    <w:p w:rsidR="00A54CD7" w:rsidRPr="00027F49" w:rsidRDefault="00A54CD7" w:rsidP="00027F49">
      <w:pPr>
        <w:pStyle w:val="NormalHanging12a"/>
        <w:ind w:left="1134"/>
        <w:rPr>
          <w:color w:val="000000" w:themeColor="text1"/>
        </w:rPr>
      </w:pPr>
      <w:r w:rsidRPr="00027F49">
        <w:rPr>
          <w:color w:val="000000" w:themeColor="text1"/>
        </w:rPr>
        <w:t xml:space="preserve">– </w:t>
      </w:r>
      <w:r w:rsidR="00027F49" w:rsidRPr="00027F49">
        <w:rPr>
          <w:color w:val="000000" w:themeColor="text1"/>
        </w:rPr>
        <w:tab/>
      </w:r>
      <w:r w:rsidRPr="00027F49">
        <w:rPr>
          <w:color w:val="000000" w:themeColor="text1"/>
        </w:rPr>
        <w:t>uwalniają potencjał wzrostu UE;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6.</w:t>
      </w:r>
      <w:r w:rsidRPr="00027F49">
        <w:rPr>
          <w:color w:val="000000" w:themeColor="text1"/>
        </w:rPr>
        <w:tab/>
      </w:r>
      <w:proofErr w:type="gramStart"/>
      <w:r w:rsidRPr="00027F49">
        <w:rPr>
          <w:color w:val="000000" w:themeColor="text1"/>
        </w:rPr>
        <w:t>odnotowuje</w:t>
      </w:r>
      <w:proofErr w:type="gramEnd"/>
      <w:r w:rsidRPr="00027F49">
        <w:rPr>
          <w:color w:val="000000" w:themeColor="text1"/>
        </w:rPr>
        <w:t xml:space="preserve"> oświadczenie EUNB z 13 lipca 2023 r., w którym stwierdzono, że sektor bankowy UE/EOG wykazuje rosnącą rentowność, ale występują zagrożenia związane z jakością aktywów i rentownością; odnotowuje niedawny krótkoterminowy wzrost rentowności banków UE (roczna stopa zwrotu z kapitału własnego wzrosła do 10,04 % w drugim kwartale 2023 r., podczas gdy w tym samym okresie 2022 r. wynosiła 7,59 %, osiągając najwyższy poziom od 14 lat</w:t>
      </w:r>
      <w:r w:rsidRPr="00027F49">
        <w:rPr>
          <w:rStyle w:val="FootnoteReference"/>
          <w:color w:val="000000" w:themeColor="text1"/>
        </w:rPr>
        <w:footnoteReference w:id="5"/>
      </w:r>
      <w:r w:rsidRPr="00027F49">
        <w:rPr>
          <w:color w:val="000000" w:themeColor="text1"/>
        </w:rPr>
        <w:t>), ale ostrzega, że tendencja ta musi być trwała, aby zapewnić długoterminową konkurencyjność;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7.</w:t>
      </w:r>
      <w:r w:rsidRPr="00027F49">
        <w:rPr>
          <w:color w:val="000000" w:themeColor="text1"/>
        </w:rPr>
        <w:tab/>
      </w:r>
      <w:proofErr w:type="gramStart"/>
      <w:r w:rsidRPr="00027F49">
        <w:rPr>
          <w:color w:val="000000" w:themeColor="text1"/>
        </w:rPr>
        <w:t>zachęca</w:t>
      </w:r>
      <w:proofErr w:type="gramEnd"/>
      <w:r w:rsidRPr="00027F49">
        <w:rPr>
          <w:color w:val="000000" w:themeColor="text1"/>
        </w:rPr>
        <w:t>, by wykorzystywać zyski do budowy buforów i tym samym ochrony stabilności systemu finansowego, a także do finansowania gospodarki europejskiej; zauważa, że tymczasowe zawieszenie wypłaty dywidend i skupu akcji własnych skutecznie zabezpieczyło odporność banków podczas kryzysu związanego z COVID-19;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8.</w:t>
      </w:r>
      <w:r w:rsidRPr="00027F49">
        <w:rPr>
          <w:color w:val="000000" w:themeColor="text1"/>
        </w:rPr>
        <w:tab/>
      </w:r>
      <w:proofErr w:type="gramStart"/>
      <w:r w:rsidRPr="00027F49">
        <w:rPr>
          <w:color w:val="000000" w:themeColor="text1"/>
        </w:rPr>
        <w:t>zauważa</w:t>
      </w:r>
      <w:proofErr w:type="gramEnd"/>
      <w:r w:rsidRPr="00027F49">
        <w:rPr>
          <w:color w:val="000000" w:themeColor="text1"/>
        </w:rPr>
        <w:t>, że badanie akcji kredytowej banków strefy euro z II kwartału 2023 r. wykazało, iż z uwagi na wyższe postrzeganie ryzyka, niższą tolerancję ryzyka i wyższe koszty finansowania banki jeszcze bardziej zaostrzyły swoje standardy kredytowe dla kredytów udzielanych przedsiębiorstwom i gospodarstwom domowym na zakup nieruchomości mieszkalnych oraz że banki zaostrzyły również warunki udzielania kredytów w związku z wyższym poziomem obaw o kredyty zagrożone</w:t>
      </w:r>
      <w:r w:rsidRPr="00027F49">
        <w:rPr>
          <w:color w:val="000000" w:themeColor="text1"/>
          <w:vertAlign w:val="superscript"/>
        </w:rPr>
        <w:footnoteReference w:id="6"/>
      </w:r>
      <w:r w:rsidRPr="00027F49">
        <w:rPr>
          <w:color w:val="000000" w:themeColor="text1"/>
        </w:rPr>
        <w:t>; przypomina o kluczowej roli unijnego sektora bankowego w finansowaniu odbudowy gospodarki UE oraz uważa, że odbudowa gospodarcza będzie też zależna od tego, czy banki będą dysponować kapitałem wystarczającym do udzielania kredytów, w szczególności w związku ze stopniowym wycofywaniem publicznych środków wsparcia w państwach członkowskich;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9.</w:t>
      </w:r>
      <w:r w:rsidRPr="00027F49">
        <w:rPr>
          <w:color w:val="000000" w:themeColor="text1"/>
        </w:rPr>
        <w:tab/>
      </w:r>
      <w:proofErr w:type="gramStart"/>
      <w:r w:rsidRPr="00027F49">
        <w:rPr>
          <w:color w:val="000000" w:themeColor="text1"/>
        </w:rPr>
        <w:t>wzywa</w:t>
      </w:r>
      <w:proofErr w:type="gramEnd"/>
      <w:r w:rsidRPr="00027F49">
        <w:rPr>
          <w:color w:val="000000" w:themeColor="text1"/>
        </w:rPr>
        <w:t xml:space="preserve"> Komisję do oceny przeszkód dla transgranicznych połączeń, a także potencjalnych zachęt do wyodrębniania; zauważa, że jak publicznie oświadczył przewodniczący Rady ds. Nadzoru EBC Andrea Enria, sektor bankowy jest w zasadzie nadal zbiorem krajowych sektorów bankowych; zauważa, że bardziej zintegrowany sektor bankowy UE mógłby zwiększyć zdolność banków do inwestycji strategicznych i wspierać rozwój unijnych rynków kapitałowych, a zarazem uznaje, że różnorodność bankowych modeli biznesowych w strefie euro zwiększa odporność systemu finansowego; zwraca uwagę na ryzyko, jakie mogą stwarzać instytucje zbyt duże, by upaść, oraz zauważa, że stabilność finansową można zwiększyć dzięki reformie banków UE o znaczeniu systemowym w reakcji na </w:t>
      </w:r>
      <w:proofErr w:type="gramStart"/>
      <w:r w:rsidRPr="00027F49">
        <w:rPr>
          <w:color w:val="000000" w:themeColor="text1"/>
        </w:rPr>
        <w:t>ryzyko</w:t>
      </w:r>
      <w:proofErr w:type="gramEnd"/>
      <w:r w:rsidRPr="00027F49">
        <w:rPr>
          <w:color w:val="000000" w:themeColor="text1"/>
        </w:rPr>
        <w:t xml:space="preserve"> pokusy nadużycia; podkreśla, że konsolidacja transgraniczna bez nadmiernej koncentracji mogłaby zwiększyć rentowność sektora bankowego UE i potencjalnie poprawić obecną sytuację w wielu państwach członkowskich, w których oferowane usługi są ograniczone, a koszty ponoszone przez obywateli – wysokie;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lastRenderedPageBreak/>
        <w:t>10.</w:t>
      </w:r>
      <w:r w:rsidRPr="00027F49">
        <w:rPr>
          <w:color w:val="000000" w:themeColor="text1"/>
        </w:rPr>
        <w:tab/>
      </w:r>
      <w:proofErr w:type="gramStart"/>
      <w:r w:rsidRPr="00027F49">
        <w:rPr>
          <w:color w:val="000000" w:themeColor="text1"/>
        </w:rPr>
        <w:t>odnotowuje</w:t>
      </w:r>
      <w:proofErr w:type="gramEnd"/>
      <w:r w:rsidRPr="00027F49">
        <w:rPr>
          <w:color w:val="000000" w:themeColor="text1"/>
        </w:rPr>
        <w:t xml:space="preserve">, że w niektórych państwach członkowskich detaliczne usługi bankowe są zdominowane przez niewielką liczbę banków, co skutkuje ograniczonym wyborem dla klientów korzystających z takich usług; uważa, że zintegrowana unia bankowa musi zależeć od dobrze funkcjonującego jednolitego rynku detalicznych usług finansowych; ubolewa z powodu utrzymujących się barier dla świadczenia transgranicznych detalicznych usług bankowych i wzywa Komisję do oceny przeszkód i barier dla konsumentów, które powstają przy transgranicznym korzystaniu z produktów bankowości detalicznej; podkreśla potencjał zintegrowanej unii bankowej pod względem poprawy konkurencji i wyboru dla konsumentów w obszarze bankowości detalicznej, w tym dzięki większym możliwościom świadczenia transgranicznych detalicznych usług bankowych; podkreśla korzyści </w:t>
      </w:r>
      <w:proofErr w:type="gramStart"/>
      <w:r w:rsidRPr="00027F49">
        <w:rPr>
          <w:color w:val="000000" w:themeColor="text1"/>
        </w:rPr>
        <w:t>płynące</w:t>
      </w:r>
      <w:proofErr w:type="gramEnd"/>
      <w:r w:rsidRPr="00027F49">
        <w:rPr>
          <w:color w:val="000000" w:themeColor="text1"/>
        </w:rPr>
        <w:t xml:space="preserve"> ze zróżnicowanego i konkurencyjnego sektora bankowego w UE;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11.</w:t>
      </w:r>
      <w:r w:rsidRPr="00027F49">
        <w:rPr>
          <w:color w:val="000000" w:themeColor="text1"/>
        </w:rPr>
        <w:tab/>
      </w:r>
      <w:proofErr w:type="gramStart"/>
      <w:r w:rsidRPr="00027F49">
        <w:rPr>
          <w:color w:val="000000" w:themeColor="text1"/>
        </w:rPr>
        <w:t>podkreśla</w:t>
      </w:r>
      <w:proofErr w:type="gramEnd"/>
      <w:r w:rsidRPr="00027F49">
        <w:rPr>
          <w:color w:val="000000" w:themeColor="text1"/>
        </w:rPr>
        <w:t>, że stopy procentowe oferowane gospodarstwom domowym i MŚP w państwach członkowskich są bardzo zróżnicowane; apeluje do instytucji i organów UE o rozważenie środków zwiększających wybór dla konsumentów, poprawiających konkurencję i zmniejszających obciążenia dla osób posiadających kredyty hipoteczne oraz dla MŚP w państwach członkowskich, w których stopy są wyższe, aby zagwarantować wszystkim obywatelom i przedsiębiorstwom możliwość dostępu do bardzo potrzebnego kapitału po uczciwych i konkurencyjnych stawkach;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12.</w:t>
      </w:r>
      <w:r w:rsidRPr="00027F49">
        <w:rPr>
          <w:color w:val="000000" w:themeColor="text1"/>
        </w:rPr>
        <w:tab/>
      </w:r>
      <w:proofErr w:type="gramStart"/>
      <w:r w:rsidRPr="00027F49">
        <w:rPr>
          <w:color w:val="000000" w:themeColor="text1"/>
        </w:rPr>
        <w:t>podkreśla</w:t>
      </w:r>
      <w:proofErr w:type="gramEnd"/>
      <w:r w:rsidRPr="00027F49">
        <w:rPr>
          <w:color w:val="000000" w:themeColor="text1"/>
        </w:rPr>
        <w:t xml:space="preserve"> rolę sektora bankowego we wspieraniu przejścia na cyfrową i neutralną pod względem emisji dwutlenku węgla gospodarkę, w przeznaczaniu środków na energię ze źródeł odnawialnych oraz we wspieraniu realizacji celów Europejskiego Zielonego Ładu i unijnego prawa o klimacie</w:t>
      </w:r>
      <w:r w:rsidRPr="00027F49">
        <w:rPr>
          <w:rStyle w:val="FootnoteReference"/>
          <w:color w:val="000000" w:themeColor="text1"/>
        </w:rPr>
        <w:footnoteReference w:id="7"/>
      </w:r>
      <w:r w:rsidRPr="00027F49">
        <w:rPr>
          <w:color w:val="000000" w:themeColor="text1"/>
        </w:rPr>
        <w:t>; zauważa, że banki unijne nadal ograniczają zaangażowanie w przedsiębiorstwa energochłonne i prowadzące działalność związaną z paliwami kopalnymi, oraz odnotowuje różne czynniki, które wpływają na stabilność finansową, w tym wartości aktywów związanych z paliwami kopalnymi; oczekuje publikacji do końca 2024 i 2025 r. sprawozdań EUNB, które będą dotyczyły kluczowych kwestii ryzykowności ekspozycji instytucji na aktywa ESG oraz potencjalnych skutków dostosowanego ostrożnościowego traktowania tych ekspozycji;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13.</w:t>
      </w:r>
      <w:r w:rsidRPr="00027F49">
        <w:rPr>
          <w:color w:val="000000" w:themeColor="text1"/>
        </w:rPr>
        <w:tab/>
      </w:r>
      <w:proofErr w:type="gramStart"/>
      <w:r w:rsidRPr="00027F49">
        <w:rPr>
          <w:color w:val="000000" w:themeColor="text1"/>
        </w:rPr>
        <w:t>ubolewa</w:t>
      </w:r>
      <w:proofErr w:type="gramEnd"/>
      <w:r w:rsidRPr="00027F49">
        <w:rPr>
          <w:color w:val="000000" w:themeColor="text1"/>
        </w:rPr>
        <w:t>, że instytucje finansowe nie zapewniają równowagi płci, zwłaszcza w organach zarządzających; podkreśla, że równowaga płci w zarządach i wśród pracowników przynosi zarówno korzyści społeczne, jak i gospodarcze; apeluje do instytucji finansowych, aby regularnie aktualizowały polityki różnorodności i włączenia społecznego oraz aby pomagały promować zdrową kulturę pracy, w której priorytetowo traktuje się inkluzywność; apeluje do organów nadzorczych o wykorzystanie uprawnień nadzorczych, aby przeciwdziałać brakowi różnorodności i równowagi płci w organach zarządzających instytucji finansowych;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14.</w:t>
      </w:r>
      <w:r w:rsidRPr="00027F49">
        <w:rPr>
          <w:color w:val="000000" w:themeColor="text1"/>
        </w:rPr>
        <w:tab/>
      </w:r>
      <w:proofErr w:type="gramStart"/>
      <w:r w:rsidRPr="00027F49">
        <w:rPr>
          <w:color w:val="000000" w:themeColor="text1"/>
        </w:rPr>
        <w:t>ubolewa</w:t>
      </w:r>
      <w:proofErr w:type="gramEnd"/>
      <w:r w:rsidRPr="00027F49">
        <w:rPr>
          <w:color w:val="000000" w:themeColor="text1"/>
        </w:rPr>
        <w:t xml:space="preserve"> nad brakiem równowagi płci w Radzie Prezesów i Radzie ds. Nadzoru EBC oraz w zarządzie SRB; wzywa odnośne podmioty do usunięcia tego braku podczas przyszłych nominacji; przypomina o swojej rezolucji z 14 marca 2019 r. mającej na celu zapewnienie równowagi płci na przyszłej liście kandydatów do nominacji w sprawach gospodarczych i walutowych UE i ponawia swoje zobowiązanie do </w:t>
      </w:r>
      <w:r w:rsidRPr="00027F49">
        <w:rPr>
          <w:color w:val="000000" w:themeColor="text1"/>
        </w:rPr>
        <w:lastRenderedPageBreak/>
        <w:t>nieuwzględniania list kandydatów, które nie są zgodne z zasadą równowagi płci;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15.</w:t>
      </w:r>
      <w:r w:rsidRPr="00027F49">
        <w:rPr>
          <w:color w:val="000000" w:themeColor="text1"/>
        </w:rPr>
        <w:tab/>
      </w:r>
      <w:proofErr w:type="gramStart"/>
      <w:r w:rsidRPr="00027F49">
        <w:rPr>
          <w:color w:val="000000" w:themeColor="text1"/>
        </w:rPr>
        <w:t>ubolewa</w:t>
      </w:r>
      <w:proofErr w:type="gramEnd"/>
      <w:r w:rsidRPr="00027F49">
        <w:rPr>
          <w:color w:val="000000" w:themeColor="text1"/>
        </w:rPr>
        <w:t>, że EBC zignorował informacje przekazane przez Parlament podczas procedury wyboru przewodniczącego Rady ds. Nadzoru EBC; apeluje do EBC o należyte uwzględnianie opinii Parlamentu w nadchodzących procedurach naboru;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16.</w:t>
      </w:r>
      <w:r w:rsidRPr="00027F49">
        <w:rPr>
          <w:color w:val="000000" w:themeColor="text1"/>
        </w:rPr>
        <w:tab/>
      </w:r>
      <w:proofErr w:type="gramStart"/>
      <w:r w:rsidRPr="00027F49">
        <w:rPr>
          <w:color w:val="000000" w:themeColor="text1"/>
        </w:rPr>
        <w:t>zauważa</w:t>
      </w:r>
      <w:proofErr w:type="gramEnd"/>
      <w:r w:rsidRPr="00027F49">
        <w:rPr>
          <w:color w:val="000000" w:themeColor="text1"/>
        </w:rPr>
        <w:t>, że zaangażowanie banków w krajowy dług państwowy jest nadal wysokie w unii bankowej; przypomina, że jednym z głównych celów unii bankowej jest przerwanie powiązań między ryzykiem bankowym i ryzykiem związanym z długiem państwowym; podkreśla, że kwestia uregulowania zaangażowania w dług państwowy wymaga dogłębnej analizy na forach międzynarodowych i zgodności z normami międzynarodowymi, a ponadto wzywa Komisję do uwzględniania tej kwestii we wszelkich przyszłych wnioskach; podziela obawy EUNB, że zaangażowanie w dług państwowy istotnie wpływa na banki w UE i może stać się źródłem potencjalnej podatności na zagrożenia</w:t>
      </w:r>
      <w:r w:rsidRPr="00027F49">
        <w:rPr>
          <w:color w:val="000000" w:themeColor="text1"/>
          <w:vertAlign w:val="superscript"/>
        </w:rPr>
        <w:footnoteReference w:id="8"/>
      </w:r>
      <w:r w:rsidRPr="00027F49">
        <w:rPr>
          <w:color w:val="000000" w:themeColor="text1"/>
        </w:rPr>
        <w:t>;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17.</w:t>
      </w:r>
      <w:r w:rsidRPr="00027F49">
        <w:rPr>
          <w:color w:val="000000" w:themeColor="text1"/>
        </w:rPr>
        <w:tab/>
      </w:r>
      <w:proofErr w:type="gramStart"/>
      <w:r w:rsidRPr="00027F49">
        <w:rPr>
          <w:color w:val="000000" w:themeColor="text1"/>
        </w:rPr>
        <w:t>podkreśla</w:t>
      </w:r>
      <w:proofErr w:type="gramEnd"/>
      <w:r w:rsidRPr="00027F49">
        <w:rPr>
          <w:color w:val="000000" w:themeColor="text1"/>
        </w:rPr>
        <w:t>, że utworzenie bezpiecznego składnika aktywów UE mogłoby przyczynić się do złagodzenia negatywnych skutków powiązań między państwami a krajowymi sektorami bankowymi; uważa, że NextGenerationEU zapewnia wysokiej jakości aktywa europejskie o niskim ryzyku, umożliwiając zrównoważenie obligacji skarbowych w bilansach banków;</w:t>
      </w:r>
    </w:p>
    <w:p w:rsidR="00A54CD7" w:rsidRPr="00027F49" w:rsidRDefault="00A54CD7" w:rsidP="00A54CD7">
      <w:pPr>
        <w:pStyle w:val="NormalHanging12a"/>
        <w:spacing w:line="276" w:lineRule="auto"/>
        <w:ind w:left="0" w:firstLine="0"/>
        <w:rPr>
          <w:rStyle w:val="BoldItalic"/>
          <w:color w:val="000000" w:themeColor="text1"/>
        </w:rPr>
      </w:pPr>
      <w:r w:rsidRPr="00027F49">
        <w:rPr>
          <w:rStyle w:val="BoldItalic"/>
          <w:color w:val="000000" w:themeColor="text1"/>
        </w:rPr>
        <w:t>Nadzór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18.</w:t>
      </w:r>
      <w:r w:rsidRPr="00027F49">
        <w:rPr>
          <w:color w:val="000000" w:themeColor="text1"/>
        </w:rPr>
        <w:tab/>
      </w:r>
      <w:proofErr w:type="gramStart"/>
      <w:r w:rsidRPr="00027F49">
        <w:rPr>
          <w:color w:val="000000" w:themeColor="text1"/>
        </w:rPr>
        <w:t>zauważa</w:t>
      </w:r>
      <w:proofErr w:type="gramEnd"/>
      <w:r w:rsidRPr="00027F49">
        <w:rPr>
          <w:color w:val="000000" w:themeColor="text1"/>
        </w:rPr>
        <w:t>, że współczynnik kapitału podstawowego Tier I wzrósł w drugim kwartale 2023 r. do 15,72 % (z 14,96 % w drugim kwartale 2022 r.); ubolewa nad spadkiem wskaźnika pokrycia wypływów netto do 158,00 % w drugim kwartale 2023 r. (ze 164,36 % w drugim kwartale 2022 r.)</w:t>
      </w:r>
      <w:r w:rsidRPr="00027F49">
        <w:rPr>
          <w:rStyle w:val="FootnoteReference"/>
          <w:color w:val="000000" w:themeColor="text1"/>
        </w:rPr>
        <w:footnoteReference w:id="9"/>
      </w:r>
      <w:r w:rsidRPr="00027F49">
        <w:rPr>
          <w:color w:val="000000" w:themeColor="text1"/>
        </w:rPr>
        <w:t>;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19.</w:t>
      </w:r>
      <w:r w:rsidRPr="00027F49">
        <w:rPr>
          <w:color w:val="000000" w:themeColor="text1"/>
        </w:rPr>
        <w:tab/>
      </w:r>
      <w:proofErr w:type="gramStart"/>
      <w:r w:rsidRPr="00027F49">
        <w:rPr>
          <w:color w:val="000000" w:themeColor="text1"/>
        </w:rPr>
        <w:t>odnotowuje</w:t>
      </w:r>
      <w:proofErr w:type="gramEnd"/>
      <w:r w:rsidRPr="00027F49">
        <w:rPr>
          <w:color w:val="000000" w:themeColor="text1"/>
        </w:rPr>
        <w:t xml:space="preserve"> dalszy spadek wskaźnika kredytów zagrożonych, ale apeluje, by nadal go obniżać; przypomina, że zmniejszenie ryzyka w sektorze bankowym przyczyniłoby się do powstania stabilniejszej i silniejszej unii bankowej zorientowanej na wzrost gospodarczy; wzywa organy nadzorcze, by monitorowały również kredyty w fazie 2; zauważa brak postępów w związku z wnioskiem dotyczącym dyrektywy w sprawie przyspieszonej egzekucji z zabezpieczenia na drodze pozasądowej, która to dyrektywa ma zapewnić bankom, pod pewnymi warunkami, mechanizm szybszego odzyskiwania wartości zabezpieczonych pożyczek przez pozasądowe egzekwowanie procedur, aby rozwijać wtórne rynki kredytów zagrożonych; podkreśla, że dzięki dyrektywie w sprawie podmiotów obsługujących kredyty i nabywców kredytów</w:t>
      </w:r>
      <w:r w:rsidRPr="00027F49">
        <w:rPr>
          <w:rStyle w:val="FootnoteReference"/>
          <w:color w:val="000000" w:themeColor="text1"/>
        </w:rPr>
        <w:footnoteReference w:id="10"/>
      </w:r>
      <w:r w:rsidRPr="00027F49">
        <w:rPr>
          <w:color w:val="000000" w:themeColor="text1"/>
        </w:rPr>
        <w:t xml:space="preserve"> rynek wtórny kredytów zagrożonych </w:t>
      </w:r>
      <w:proofErr w:type="gramStart"/>
      <w:r w:rsidRPr="00027F49">
        <w:rPr>
          <w:color w:val="000000" w:themeColor="text1"/>
        </w:rPr>
        <w:t>stał</w:t>
      </w:r>
      <w:proofErr w:type="gramEnd"/>
      <w:r w:rsidRPr="00027F49">
        <w:rPr>
          <w:color w:val="000000" w:themeColor="text1"/>
        </w:rPr>
        <w:t xml:space="preserve"> się bardziej wydajny, a zarazem ustanowiono w niej wysoki poziom zabezpieczeń dla dłużników; podkreśla, że rozwiązaniem lepszym od sprzedaży </w:t>
      </w:r>
      <w:r w:rsidRPr="00027F49">
        <w:rPr>
          <w:color w:val="000000" w:themeColor="text1"/>
        </w:rPr>
        <w:lastRenderedPageBreak/>
        <w:t>kredytu zagrożonego jest jedynie przywrócenie kredytu do statusu niezagrożonego;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20.</w:t>
      </w:r>
      <w:r w:rsidRPr="00027F49">
        <w:rPr>
          <w:color w:val="000000" w:themeColor="text1"/>
        </w:rPr>
        <w:tab/>
      </w:r>
      <w:proofErr w:type="gramStart"/>
      <w:r w:rsidRPr="00027F49">
        <w:rPr>
          <w:color w:val="000000" w:themeColor="text1"/>
        </w:rPr>
        <w:t>odnotowuje</w:t>
      </w:r>
      <w:proofErr w:type="gramEnd"/>
      <w:r w:rsidRPr="00027F49">
        <w:rPr>
          <w:color w:val="000000" w:themeColor="text1"/>
        </w:rPr>
        <w:t xml:space="preserve"> pogarszającą się sytuację makroekonomiczną; zwraca uwagę, że banki unijne powinny przygotować się na potencjalne pogorszenie się jakości aktywów; w związku z tym podkreśla, że ważne jest ostrożne zarządzanie ryzykiem i tworzenie odpowiednich rezerw; zachęca Komisję oraz krajowe i unijne organy nadzoru, by przygotowały się na potencjalne pogorszenie się jakości aktywów;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21.</w:t>
      </w:r>
      <w:r w:rsidRPr="00027F49">
        <w:rPr>
          <w:color w:val="000000" w:themeColor="text1"/>
        </w:rPr>
        <w:tab/>
      </w:r>
      <w:proofErr w:type="gramStart"/>
      <w:r w:rsidRPr="00027F49">
        <w:rPr>
          <w:color w:val="000000" w:themeColor="text1"/>
        </w:rPr>
        <w:t>zauważa</w:t>
      </w:r>
      <w:proofErr w:type="gramEnd"/>
      <w:r w:rsidRPr="00027F49">
        <w:rPr>
          <w:color w:val="000000" w:themeColor="text1"/>
        </w:rPr>
        <w:t>, że ostatnia seria upadłości banków w Stanach Zjednoczonych i Szwajcarii unaoczniła podatności systemu finansowego na zagrożenia, szczególnie w tych krajach; podkreśla, że w tym kontekście sytuacja kapitałowa i płynnościowa banków unijnych jest nadal solidna, co świadczy o odporności unijnego sektora bankowego; podkreśla, że unijne i krajowe organy nadzoru zajęły się tymi zagrożeniami, i z zadowoleniem przyjmuje wyniki ogólnounijnego testu warunków skrajnych w 2023 r. oraz fakt, że banki UE mogą wytrzymać spowolnienie gospodarcze;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22.</w:t>
      </w:r>
      <w:r w:rsidRPr="00027F49">
        <w:rPr>
          <w:color w:val="000000" w:themeColor="text1"/>
        </w:rPr>
        <w:tab/>
      </w:r>
      <w:proofErr w:type="gramStart"/>
      <w:r w:rsidRPr="00027F49">
        <w:rPr>
          <w:color w:val="000000" w:themeColor="text1"/>
        </w:rPr>
        <w:t>wzywa</w:t>
      </w:r>
      <w:proofErr w:type="gramEnd"/>
      <w:r w:rsidRPr="00027F49">
        <w:rPr>
          <w:color w:val="000000" w:themeColor="text1"/>
        </w:rPr>
        <w:t xml:space="preserve"> organy nadzoru, by kontynuowały ocenę ekspozycji banków na ryzyko stopy procentowej wynikające z dalszych zmian wysokości stóp procentowych; zauważa, że ekspozycja banków na ryzyko stopy procentowej zależy od ich struktury aktywów i modelu biznesowego, oraz czeka na przeprowadzoną przez Komisję ocenę ram regulacyjnych dla banków; wyraża zaniepokojenie wysokim poziomem długu państwowego w bilansach banków w unii bankowej; podkreśla, że kwestia uregulowania zaangażowania w dług państwowy wymaga przeprowadzonej na forach międzynarodowych dogłębnej analizy i że należy zachować zgodność ze standardami międzynarodowymi; przypomina, że jednym z głównych celów unii bankowej jest przerwanie powiązań między ryzykiem bankowym i ryzykiem związanym z długiem </w:t>
      </w:r>
      <w:proofErr w:type="gramStart"/>
      <w:r w:rsidRPr="00027F49">
        <w:rPr>
          <w:color w:val="000000" w:themeColor="text1"/>
        </w:rPr>
        <w:t>państwowym</w:t>
      </w:r>
      <w:proofErr w:type="gramEnd"/>
      <w:r w:rsidRPr="00027F49">
        <w:rPr>
          <w:color w:val="000000" w:themeColor="text1"/>
        </w:rPr>
        <w:t>;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23.</w:t>
      </w:r>
      <w:r w:rsidRPr="00027F49">
        <w:rPr>
          <w:color w:val="000000" w:themeColor="text1"/>
        </w:rPr>
        <w:tab/>
      </w:r>
      <w:proofErr w:type="gramStart"/>
      <w:r w:rsidRPr="00027F49">
        <w:rPr>
          <w:color w:val="000000" w:themeColor="text1"/>
        </w:rPr>
        <w:t>przypomina</w:t>
      </w:r>
      <w:proofErr w:type="gramEnd"/>
      <w:r w:rsidRPr="00027F49">
        <w:rPr>
          <w:color w:val="000000" w:themeColor="text1"/>
        </w:rPr>
        <w:t>, że w dokumencie EBC „Financial Stability Review 2023” [Przegląd stabilności finansowej 2023] podkreślono, jak ważne jest, by uwzględnić pogorszenie bilansów banków związane z rosnącymi stopami procentowymi, oraz że organy makroostrożnościowe będą musiały stopniowo wzmocnić kapitał lub środki związane z kredytobiorcami;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24.</w:t>
      </w:r>
      <w:r w:rsidRPr="00027F49">
        <w:rPr>
          <w:color w:val="000000" w:themeColor="text1"/>
        </w:rPr>
        <w:tab/>
      </w:r>
      <w:proofErr w:type="gramStart"/>
      <w:r w:rsidRPr="00027F49">
        <w:rPr>
          <w:color w:val="000000" w:themeColor="text1"/>
        </w:rPr>
        <w:t>wzywa</w:t>
      </w:r>
      <w:proofErr w:type="gramEnd"/>
      <w:r w:rsidRPr="00027F49">
        <w:rPr>
          <w:color w:val="000000" w:themeColor="text1"/>
        </w:rPr>
        <w:t>, by w stosownych przypadkach kontynuować harmonizację ram regulacyjnych UE, promować konwergencję między organami krajowymi i wykorzystać dialog nadzorczy do oceny rozwoju zagrożeń dla sektora bankowego;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25.</w:t>
      </w:r>
      <w:r w:rsidRPr="00027F49">
        <w:rPr>
          <w:color w:val="000000" w:themeColor="text1"/>
        </w:rPr>
        <w:tab/>
      </w:r>
      <w:proofErr w:type="gramStart"/>
      <w:r w:rsidRPr="00027F49">
        <w:rPr>
          <w:color w:val="000000" w:themeColor="text1"/>
        </w:rPr>
        <w:t>z</w:t>
      </w:r>
      <w:proofErr w:type="gramEnd"/>
      <w:r w:rsidRPr="00027F49">
        <w:rPr>
          <w:color w:val="000000" w:themeColor="text1"/>
        </w:rPr>
        <w:t xml:space="preserve"> zadowoleniem przyjmuje porozumienie osiągnięte na szczeblu międzyinstytucjonalnym w sprawie wdrożenia standardów Bazylea III w UE; podkreśla, że ramy te zapewnią różne poziomy zwiększenia wymogów ostrożnościowych stosownie do zależności banków od stosowania modeli wewnętrznych do obliczania wag ryzyka; podkreśla, że nowe przepisy wzmocniły i lepiej określiły proporcjonalność w nadzorze bankowym oraz będą nadal zwiększać stabilność finansową w UE; podkreśla znaczenie równych warunków działania we wszystkich jurysdykcjach;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26.</w:t>
      </w:r>
      <w:r w:rsidRPr="00027F49">
        <w:rPr>
          <w:color w:val="000000" w:themeColor="text1"/>
        </w:rPr>
        <w:tab/>
      </w:r>
      <w:proofErr w:type="gramStart"/>
      <w:r w:rsidRPr="00027F49">
        <w:rPr>
          <w:color w:val="000000" w:themeColor="text1"/>
        </w:rPr>
        <w:t>odnotowuje</w:t>
      </w:r>
      <w:proofErr w:type="gramEnd"/>
      <w:r w:rsidRPr="00027F49">
        <w:rPr>
          <w:color w:val="000000" w:themeColor="text1"/>
        </w:rPr>
        <w:t xml:space="preserve"> poglądy wyrażone przez EUNB i EBC w odniesieniu do odstępstw od umowy międzynarodowej wprowadzonych do rozporządzenia w sprawie wymogów </w:t>
      </w:r>
      <w:r w:rsidRPr="00027F49">
        <w:rPr>
          <w:color w:val="000000" w:themeColor="text1"/>
        </w:rPr>
        <w:lastRenderedPageBreak/>
        <w:t>kapitałowych</w:t>
      </w:r>
      <w:r w:rsidRPr="00027F49">
        <w:rPr>
          <w:rStyle w:val="FootnoteReference"/>
          <w:color w:val="000000" w:themeColor="text1"/>
        </w:rPr>
        <w:footnoteReference w:id="11"/>
      </w:r>
      <w:r w:rsidRPr="00027F49">
        <w:rPr>
          <w:color w:val="000000" w:themeColor="text1"/>
        </w:rPr>
        <w:t>;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27.</w:t>
      </w:r>
      <w:r w:rsidRPr="00027F49">
        <w:rPr>
          <w:color w:val="000000" w:themeColor="text1"/>
        </w:rPr>
        <w:tab/>
      </w:r>
      <w:proofErr w:type="gramStart"/>
      <w:r w:rsidRPr="00027F49">
        <w:rPr>
          <w:color w:val="000000" w:themeColor="text1"/>
        </w:rPr>
        <w:t>podkreśla</w:t>
      </w:r>
      <w:proofErr w:type="gramEnd"/>
      <w:r w:rsidRPr="00027F49">
        <w:rPr>
          <w:color w:val="000000" w:themeColor="text1"/>
        </w:rPr>
        <w:t>, że kryptoaktywa stwarzają dla banków nowe możliwości i wyzwania; zauważa, że nadal nie wdrożono standardów bazylejskich w odniesieniu do kryptoaktywów; z zadowoleniem przyjmuje system przejściowy uwzględniony już w obecnym przeglądzie dyrektywy w sprawie wymogów kapitałowych</w:t>
      </w:r>
      <w:r w:rsidRPr="00027F49">
        <w:rPr>
          <w:rStyle w:val="FootnoteReference"/>
          <w:color w:val="000000" w:themeColor="text1"/>
        </w:rPr>
        <w:footnoteReference w:id="12"/>
      </w:r>
      <w:r w:rsidRPr="00027F49">
        <w:rPr>
          <w:color w:val="000000" w:themeColor="text1"/>
        </w:rPr>
        <w:t xml:space="preserve"> i rozporządzenia w sprawie wymogów kapitałowych; oczekuje, że do 30 czerwca 2025 r. Komisja przedstawi wniosek ustawodawczy mający na celu wprowadzenie specjalnego ostrożnościowego traktowania zaangażowania w kryptoaktywa, z uwzględnieniem standardów bazylejskich;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28.</w:t>
      </w:r>
      <w:r w:rsidRPr="00027F49">
        <w:rPr>
          <w:color w:val="000000" w:themeColor="text1"/>
        </w:rPr>
        <w:tab/>
      </w:r>
      <w:proofErr w:type="gramStart"/>
      <w:r w:rsidRPr="00027F49">
        <w:rPr>
          <w:color w:val="000000" w:themeColor="text1"/>
        </w:rPr>
        <w:t>odnotowuje</w:t>
      </w:r>
      <w:proofErr w:type="gramEnd"/>
      <w:r w:rsidRPr="00027F49">
        <w:rPr>
          <w:color w:val="000000" w:themeColor="text1"/>
        </w:rPr>
        <w:t xml:space="preserve"> dalszy rozwój sektora pośredników finansowych niebędących bankami; podkreśla, że należy zwiększyć odporność pośredników finansowych niebędących bankami i stworzyć równe warunki działania w stosunku do sektora bankowego, w tym za pomocą zaawansowanych specjalnych narzędzi regulacyjnych i nadzorczych zapobiegających kryzysowi płynności; z zadowoleniem przyjmuje opublikowane w kwietniu 2023 r. sprawozdanie MFW na temat stabilności finansowej na świecie, w którym zidentyfikowano możliwe źródła ryzyka dla sektora finansowego; ostrzega, że powiązania między instytucjami niebędącymi bankami a bankami zwiększają ryzyko przenoszenia trudności z jednych na drugie;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29.</w:t>
      </w:r>
      <w:r w:rsidRPr="00027F49">
        <w:rPr>
          <w:color w:val="000000" w:themeColor="text1"/>
        </w:rPr>
        <w:tab/>
      </w:r>
      <w:proofErr w:type="gramStart"/>
      <w:r w:rsidRPr="00027F49">
        <w:rPr>
          <w:color w:val="000000" w:themeColor="text1"/>
        </w:rPr>
        <w:t>podkreśla</w:t>
      </w:r>
      <w:proofErr w:type="gramEnd"/>
      <w:r w:rsidRPr="00027F49">
        <w:rPr>
          <w:color w:val="000000" w:themeColor="text1"/>
        </w:rPr>
        <w:t xml:space="preserve"> wagę połączenia w proporcjonalny i wiarygodny sposób dalszej integracji z odpowiednimi zabezpieczeniami dotyczącymi kwestii państwa macierzystego i państwa przyjmującego;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30.</w:t>
      </w:r>
      <w:r w:rsidRPr="00027F49">
        <w:rPr>
          <w:color w:val="000000" w:themeColor="text1"/>
        </w:rPr>
        <w:tab/>
      </w:r>
      <w:proofErr w:type="gramStart"/>
      <w:r w:rsidRPr="00027F49">
        <w:rPr>
          <w:color w:val="000000" w:themeColor="text1"/>
        </w:rPr>
        <w:t>odnotowuje</w:t>
      </w:r>
      <w:proofErr w:type="gramEnd"/>
      <w:r w:rsidRPr="00027F49">
        <w:rPr>
          <w:color w:val="000000" w:themeColor="text1"/>
        </w:rPr>
        <w:t xml:space="preserve"> włączenie ryzyka finansowego związanego z klimatem i przyrodą do priorytetów nadzorczych EBC na nadchodzące lata; z zadowoleniem przyjmuje między innymi drugi klimatyczny test warunków skrajnych dotyczący całej gospodarki, przeprowadzony przez EBC we wrześniu 2023 r.; odnotowuje wnioski zawarte w dokumencie z serii okolicznościowej EBC nr 328 „Osiąganie celów porozumienia paryskiego: analiza wariantowa i szokowa przejścia na gospodarkę neutralną emisyjnie”, zgodnie z którymi najlepszym sposobem dla firm, gospodarstw domowych i banków w strefie euro na osiągnięcie gospodarki neutralnej emisyjnie jest przyspieszenie zielonej transformacji do tempa szybszego niż w obecnej polityce; zauważa, że EBC uwzględnia w swoich praktykach nadzorczych ryzyko finansowe związane z </w:t>
      </w:r>
      <w:proofErr w:type="gramStart"/>
      <w:r w:rsidRPr="00027F49">
        <w:rPr>
          <w:color w:val="000000" w:themeColor="text1"/>
        </w:rPr>
        <w:t>klimatem</w:t>
      </w:r>
      <w:proofErr w:type="gramEnd"/>
      <w:r w:rsidRPr="00027F49">
        <w:rPr>
          <w:color w:val="000000" w:themeColor="text1"/>
        </w:rPr>
        <w:t xml:space="preserve"> i przyrodą oraz ściśle monitoruje coraz większe ryzyko fizyczne i ryzyko związane z transformacją;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31.</w:t>
      </w:r>
      <w:r w:rsidRPr="00027F49">
        <w:rPr>
          <w:color w:val="000000" w:themeColor="text1"/>
        </w:rPr>
        <w:tab/>
      </w:r>
      <w:proofErr w:type="gramStart"/>
      <w:r w:rsidRPr="00027F49">
        <w:rPr>
          <w:color w:val="000000" w:themeColor="text1"/>
        </w:rPr>
        <w:t>przyjmuje</w:t>
      </w:r>
      <w:proofErr w:type="gramEnd"/>
      <w:r w:rsidRPr="00027F49">
        <w:rPr>
          <w:color w:val="000000" w:themeColor="text1"/>
        </w:rPr>
        <w:t xml:space="preserve"> do wiadomości wniosek Komisji dotyczący przejrzystości, porównywalności i jakości ratingów ESG; zauważa, że EUNB zaleca, aby w stosownych przypadkach zewnętrzne oceny kredytowe uwzględniały czynniki środowiskowe i społeczne jako </w:t>
      </w:r>
      <w:r w:rsidRPr="00027F49">
        <w:rPr>
          <w:color w:val="000000" w:themeColor="text1"/>
        </w:rPr>
        <w:lastRenderedPageBreak/>
        <w:t>czynniki ryzyka kredytowego;</w:t>
      </w:r>
    </w:p>
    <w:p w:rsidR="00A54CD7" w:rsidRPr="00027F49" w:rsidRDefault="00A54CD7" w:rsidP="00A54CD7">
      <w:pPr>
        <w:pStyle w:val="NormalHanging12a"/>
        <w:rPr>
          <w:rStyle w:val="BoldItalic"/>
          <w:color w:val="000000" w:themeColor="text1"/>
        </w:rPr>
      </w:pPr>
      <w:r w:rsidRPr="00027F49">
        <w:rPr>
          <w:rStyle w:val="BoldItalic"/>
          <w:color w:val="000000" w:themeColor="text1"/>
        </w:rPr>
        <w:t>Restrukturyzacja i uporządkowana likwidacja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32.</w:t>
      </w:r>
      <w:r w:rsidRPr="00027F49">
        <w:rPr>
          <w:color w:val="000000" w:themeColor="text1"/>
        </w:rPr>
        <w:tab/>
      </w:r>
      <w:proofErr w:type="gramStart"/>
      <w:r w:rsidRPr="00027F49">
        <w:rPr>
          <w:color w:val="000000" w:themeColor="text1"/>
        </w:rPr>
        <w:t>z</w:t>
      </w:r>
      <w:proofErr w:type="gramEnd"/>
      <w:r w:rsidRPr="00027F49">
        <w:rPr>
          <w:color w:val="000000" w:themeColor="text1"/>
        </w:rPr>
        <w:t xml:space="preserve"> zadowoleniem przyjmuje podejście SRB do pogłębiania ocen możliwości przeprowadzenia skutecznej restrukturyzacji i uporządkowanej likwidacji dzięki opracowaniu środków kontroli jakości planów restrukturyzacji i uporządkowanej likwidacji oraz ocenie, czy plany te można szybko wdrożyć; zauważa, że aby plany restrukturyzacji i uporządkowanej likwidacji były w pełni zgodne z wymogami prawa, muszą obejmować kompleksową ocenę możliwości przeprowadzenia skutecznej restrukturyzacji i uporządkowanej likwidacji każdego banku, w tym również ocenę, czy istnieją istotne przeszkody dla przeprowadzeniu skutecznej restrukturyzacji i uporządkowanej likwidacji danego podmiotu, i jak takie przeszkody można usunąć, włącznie z ewentualnymi potrzebnymi zmianami w strukturze i organizacji banku;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33.</w:t>
      </w:r>
      <w:r w:rsidRPr="00027F49">
        <w:rPr>
          <w:color w:val="000000" w:themeColor="text1"/>
        </w:rPr>
        <w:tab/>
      </w:r>
      <w:proofErr w:type="gramStart"/>
      <w:r w:rsidRPr="00027F49">
        <w:rPr>
          <w:color w:val="000000" w:themeColor="text1"/>
        </w:rPr>
        <w:t>z</w:t>
      </w:r>
      <w:proofErr w:type="gramEnd"/>
      <w:r w:rsidRPr="00027F49">
        <w:rPr>
          <w:color w:val="000000" w:themeColor="text1"/>
        </w:rPr>
        <w:t xml:space="preserve"> zadowoleniem odnotowuje, że ogół banków podlegających kompetencjom SRB osiągnął zadowalające postępy w tworzeniu zdolności do skutecznej restrukturyzacji i uporządkowanej likwidacji oraz zdolności do pokrycia strat; oczekuje, że ta pozytywna tendencja się utrzyma, i przypomina, że osiągnięcie możliwości przeprowadzenia skutecznej restrukturyzacji i uporządkowanej likwidacji wszystkich instytucji nie powinno być „ruchomym celem” i że do końca 2023 r. wszystkie banki powinny być w pełni zdolne do przeprowadzenia skutecznej restrukturyzacji i uporządkowanej likwidacji; zauważa, że konieczne są dalsze postępy ze strony wszystkich banków;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34.</w:t>
      </w:r>
      <w:r w:rsidRPr="00027F49">
        <w:rPr>
          <w:color w:val="000000" w:themeColor="text1"/>
        </w:rPr>
        <w:tab/>
      </w:r>
      <w:proofErr w:type="gramStart"/>
      <w:r w:rsidRPr="00027F49">
        <w:rPr>
          <w:color w:val="000000" w:themeColor="text1"/>
        </w:rPr>
        <w:t>pochwala</w:t>
      </w:r>
      <w:proofErr w:type="gramEnd"/>
      <w:r w:rsidRPr="00027F49">
        <w:rPr>
          <w:color w:val="000000" w:themeColor="text1"/>
        </w:rPr>
        <w:t xml:space="preserve"> decyzję nowego przewodniczącego SRB, by przeprowadzić kompleksowy przegląd strategiczny i opracować nowy plan działania; wzywa SRB do dalszej poprawy przejrzystości jej decyzji;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35.</w:t>
      </w:r>
      <w:r w:rsidRPr="00027F49">
        <w:rPr>
          <w:color w:val="000000" w:themeColor="text1"/>
        </w:rPr>
        <w:tab/>
      </w:r>
      <w:proofErr w:type="gramStart"/>
      <w:r w:rsidRPr="00027F49">
        <w:rPr>
          <w:color w:val="000000" w:themeColor="text1"/>
        </w:rPr>
        <w:t>podkreśla</w:t>
      </w:r>
      <w:proofErr w:type="gramEnd"/>
      <w:r w:rsidRPr="00027F49">
        <w:rPr>
          <w:color w:val="000000" w:themeColor="text1"/>
        </w:rPr>
        <w:t>, jak ważna jest hierarchii wierzycieli w procedurze restrukturyzacji i uporządkowanej likwidacji oraz postępowaniu upadłościowym banków; z zadowoleniem przyjmuje oświadczenie Nadzoru Bankowego EBC, SRB i EUNB, w którym podkreślono, że do pokrycia strat mają służyć instrumenty w kapitale podstawowym, a kapitał dodatkowy Tier I może być umarzany dopiero po pełnym wykorzystaniu tych pierwszych instrumentów; przypomina o potrzebie wyrażonej przez przewodniczącego SRB, aby w przypadku upadłości banków w pełni i całkowicie przestrzegać hierarchii umorzeń;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36.</w:t>
      </w:r>
      <w:r w:rsidRPr="00027F49">
        <w:rPr>
          <w:color w:val="000000" w:themeColor="text1"/>
        </w:rPr>
        <w:tab/>
      </w:r>
      <w:proofErr w:type="gramStart"/>
      <w:r w:rsidRPr="00027F49">
        <w:rPr>
          <w:color w:val="000000" w:themeColor="text1"/>
        </w:rPr>
        <w:t>przypomina</w:t>
      </w:r>
      <w:proofErr w:type="gramEnd"/>
      <w:r w:rsidRPr="00027F49">
        <w:rPr>
          <w:color w:val="000000" w:themeColor="text1"/>
        </w:rPr>
        <w:t>, że paliwa kopalne są głównym czynnikiem przyspieszenia zmiany klimatu oraz że konieczne będzie porzucenie wielu aktywów związanych z paliwami kopalnymi przed końcem ich ekonomicznego okresu użytkowania, co sprawi, że stracą one całą wartość i staną się aktywami osieroconymi;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37.</w:t>
      </w:r>
      <w:r w:rsidRPr="00027F49">
        <w:rPr>
          <w:color w:val="000000" w:themeColor="text1"/>
        </w:rPr>
        <w:tab/>
      </w:r>
      <w:proofErr w:type="gramStart"/>
      <w:r w:rsidRPr="00027F49">
        <w:rPr>
          <w:color w:val="000000" w:themeColor="text1"/>
        </w:rPr>
        <w:t>odnotowuje</w:t>
      </w:r>
      <w:proofErr w:type="gramEnd"/>
      <w:r w:rsidRPr="00027F49">
        <w:rPr>
          <w:color w:val="000000" w:themeColor="text1"/>
        </w:rPr>
        <w:t xml:space="preserve"> propozycję reformy ram CMDI w odpowiedzi na apele Parlamentu; wzywa, by rozszerzyć zakres restrukturyzacji i uporządkowanej likwidacji, wyjaśnić oceny interesu publicznego, zabezpieczyć podatników przed kosztami upadłości banków i ograniczyć zakres pomocy państwa, a także ograniczyć wszelkie środki, które mogłyby spowodować nadmierną pokusę nadużycia; wzywa do szybkiego i skutecznego przyjęcia przeglądu ram CMDI;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38.</w:t>
      </w:r>
      <w:r w:rsidRPr="00027F49">
        <w:rPr>
          <w:color w:val="000000" w:themeColor="text1"/>
        </w:rPr>
        <w:tab/>
      </w:r>
      <w:proofErr w:type="gramStart"/>
      <w:r w:rsidRPr="00027F49">
        <w:rPr>
          <w:color w:val="000000" w:themeColor="text1"/>
        </w:rPr>
        <w:t>zauważa</w:t>
      </w:r>
      <w:proofErr w:type="gramEnd"/>
      <w:r w:rsidRPr="00027F49">
        <w:rPr>
          <w:color w:val="000000" w:themeColor="text1"/>
        </w:rPr>
        <w:t xml:space="preserve">, że upadający bank jest poddawany restrukturyzacji i uporządkowanej likwidacji tylko wówczas, gdy nie może przejść standardowego postępowania </w:t>
      </w:r>
      <w:r w:rsidRPr="00027F49">
        <w:rPr>
          <w:color w:val="000000" w:themeColor="text1"/>
        </w:rPr>
        <w:lastRenderedPageBreak/>
        <w:t>upadłościowego bez szkody dla interesu publicznego lub powodowania niestabilności finansowej; zauważa również, że propozycje dotyczące przyszłej reformy obejmują zapewnienie małym i średnim bankom z pozytywną oceną interesu publicznego dostępu do unijnych ram restrukturyzacji i uporządkowanej likwidacji, o ile spełniają warunki dostępu do jednolitego funduszu restrukturyzacji i uporządkowanej likwidacji;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39.</w:t>
      </w:r>
      <w:r w:rsidRPr="00027F49">
        <w:rPr>
          <w:color w:val="000000" w:themeColor="text1"/>
        </w:rPr>
        <w:tab/>
      </w:r>
      <w:proofErr w:type="gramStart"/>
      <w:r w:rsidRPr="00027F49">
        <w:rPr>
          <w:color w:val="000000" w:themeColor="text1"/>
        </w:rPr>
        <w:t>podkreśla</w:t>
      </w:r>
      <w:proofErr w:type="gramEnd"/>
      <w:r w:rsidRPr="00027F49">
        <w:rPr>
          <w:color w:val="000000" w:themeColor="text1"/>
        </w:rPr>
        <w:t xml:space="preserve"> rolę SRB i sieci bezpieczeństwa finansowanych przez podmioty rynkowe w ochronie podatników przed płatnościami ratunkowymi; uważa, że składki na rzecz sieci bezpieczeństwa finansowanych przez podmioty rynkowe należy zawsze obliczać proporcjonalnie do ryzyka, jakie dana instytucja reprezentuje; ubolewa, że mimo osiągniętego w listopadzie 2020 r. porozumienia politycznego w sprawie wczesnego wprowadzenia mechanizm ochronny dla jednolitego funduszu restrukturyzacji i uporządkowanej likwidacji, obejmujący linię kredytową z Europejskiego Mechanizmu Stabilności, nie został jeszcze wdrożony ze względu na opóźnienia w ratyfikacji umowy zmieniającej Porozumienie ustanawiające EMS; podkreśla, że jednolity fundusz restrukturyzacji i uporządkowanej likwidacji ma duże znaczenie dla zapewnienia solidnych i wiarygodnych ram zarządzania kryzysowego; </w:t>
      </w:r>
      <w:proofErr w:type="gramStart"/>
      <w:r w:rsidRPr="00027F49">
        <w:rPr>
          <w:color w:val="000000" w:themeColor="text1"/>
        </w:rPr>
        <w:t>apeluje</w:t>
      </w:r>
      <w:proofErr w:type="gramEnd"/>
      <w:r w:rsidRPr="00027F49">
        <w:rPr>
          <w:color w:val="000000" w:themeColor="text1"/>
        </w:rPr>
        <w:t xml:space="preserve"> o pełną ratyfikację przez wszystkie państwa członkowskie umowy zmieniającej Porozumienie ustanawiające EMS, w tym o ustanowienie wspólnego mechanizmu ochronnego dla jednolitego funduszu restrukturyzacji i uporządkowanej likwidacji;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40.</w:t>
      </w:r>
      <w:r w:rsidRPr="00027F49">
        <w:rPr>
          <w:color w:val="000000" w:themeColor="text1"/>
        </w:rPr>
        <w:tab/>
      </w:r>
      <w:proofErr w:type="gramStart"/>
      <w:r w:rsidRPr="00027F49">
        <w:rPr>
          <w:color w:val="000000" w:themeColor="text1"/>
        </w:rPr>
        <w:t>przypomina</w:t>
      </w:r>
      <w:proofErr w:type="gramEnd"/>
      <w:r w:rsidRPr="00027F49">
        <w:rPr>
          <w:color w:val="000000" w:themeColor="text1"/>
        </w:rPr>
        <w:t>, że po wdrożeniu decyzji o restrukturyzacji i uporządkowanej likwidacji banki muszą nadal wypełniać swoje zobowiązania i wykonywać swoje zasadnicze funkcje; wyraża obawę, że w związku z restrukturyzacją i uporządkowaną likwidacją banki mogą mieć problemy z płynnością bezpośrednio po odzyskaniu dostępu do rynku; wzywa instytucje UE, aby uzgodniły rozwiązanie, które zapewni zaufanie i zwiększy przewidywalność;</w:t>
      </w:r>
    </w:p>
    <w:p w:rsidR="00A54CD7" w:rsidRPr="00027F49" w:rsidRDefault="00A54CD7" w:rsidP="00A54CD7">
      <w:pPr>
        <w:pStyle w:val="NormalHanging12a"/>
        <w:rPr>
          <w:rStyle w:val="BoldItalic"/>
          <w:color w:val="000000" w:themeColor="text1"/>
        </w:rPr>
      </w:pPr>
      <w:r w:rsidRPr="00027F49">
        <w:rPr>
          <w:rStyle w:val="BoldItalic"/>
          <w:color w:val="000000" w:themeColor="text1"/>
        </w:rPr>
        <w:t>Gwarantowanie depozytów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41.</w:t>
      </w:r>
      <w:r w:rsidRPr="00027F49">
        <w:rPr>
          <w:color w:val="000000" w:themeColor="text1"/>
        </w:rPr>
        <w:tab/>
      </w:r>
      <w:proofErr w:type="gramStart"/>
      <w:r w:rsidRPr="00027F49">
        <w:rPr>
          <w:color w:val="000000" w:themeColor="text1"/>
        </w:rPr>
        <w:t>popiera</w:t>
      </w:r>
      <w:proofErr w:type="gramEnd"/>
      <w:r w:rsidRPr="00027F49">
        <w:rPr>
          <w:color w:val="000000" w:themeColor="text1"/>
        </w:rPr>
        <w:t xml:space="preserve"> apel wydany przez zespół negocjacyjny Parlamentu Europejskiego ds. EDIS wraz z koordynatorami i przewodniczącą komisji ECON w oświadczeniu z 7 grudnia 2022 r. o ambitny przegląd ram CMDI, który może pomóc pokonać przeszkody w utworzeniu EDIS oraz o wznowienie negocjacji w sprawie EDIS; zgadza się z apelem EBC o wznowienie prac nad EDIS;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42.</w:t>
      </w:r>
      <w:r w:rsidRPr="00027F49">
        <w:rPr>
          <w:color w:val="000000" w:themeColor="text1"/>
        </w:rPr>
        <w:tab/>
      </w:r>
      <w:proofErr w:type="gramStart"/>
      <w:r w:rsidRPr="00027F49">
        <w:rPr>
          <w:color w:val="000000" w:themeColor="text1"/>
        </w:rPr>
        <w:t>z</w:t>
      </w:r>
      <w:proofErr w:type="gramEnd"/>
      <w:r w:rsidRPr="00027F49">
        <w:rPr>
          <w:color w:val="000000" w:themeColor="text1"/>
        </w:rPr>
        <w:t xml:space="preserve"> zadowoleniem przyjmuje prace legislacyjne nad wnioskiem dotyczącym EDIS, które są prowadzone na szczeblu parlamentarnym od czasu oświadczenia zespołu negocjacyjnego Parlamentu ds. EDIS z grudnia 2022 r.; przypomina o zobowiązaniu Parlamentu, by dążyć do osiągnięcia porozumienia w sprawie EDIS; wzywa współprawodawców do pracy nad ustanowieniem EDIS, który będzie realistyczny, wiarygodny i solidny;</w:t>
      </w:r>
    </w:p>
    <w:p w:rsidR="00A54CD7" w:rsidRPr="00027F49" w:rsidRDefault="00A54CD7" w:rsidP="00A54CD7">
      <w:pPr>
        <w:widowControl/>
        <w:spacing w:after="240"/>
        <w:ind w:left="567" w:hanging="567"/>
        <w:rPr>
          <w:color w:val="000000" w:themeColor="text1"/>
        </w:rPr>
      </w:pPr>
      <w:r w:rsidRPr="00027F49">
        <w:rPr>
          <w:color w:val="000000" w:themeColor="text1"/>
        </w:rPr>
        <w:t>43.</w:t>
      </w:r>
      <w:r w:rsidRPr="00027F49">
        <w:rPr>
          <w:color w:val="000000" w:themeColor="text1"/>
        </w:rPr>
        <w:tab/>
      </w:r>
      <w:proofErr w:type="gramStart"/>
      <w:r w:rsidRPr="00027F49">
        <w:rPr>
          <w:color w:val="000000" w:themeColor="text1"/>
        </w:rPr>
        <w:t>z</w:t>
      </w:r>
      <w:proofErr w:type="gramEnd"/>
      <w:r w:rsidRPr="00027F49">
        <w:rPr>
          <w:color w:val="000000" w:themeColor="text1"/>
        </w:rPr>
        <w:t xml:space="preserve"> zadowoleniem przyjmuje wysiłki Komisji, by wyjaśnić zakres ochrony deponentów i zwiększyć konwergencję dzięki reformie dyrektywy 2014/49/UE w sprawie systemów gwarancji depozytów podczas przeglądu ram CMDI</w:t>
      </w:r>
      <w:r w:rsidRPr="00027F49">
        <w:rPr>
          <w:color w:val="000000" w:themeColor="text1"/>
          <w:vertAlign w:val="superscript"/>
        </w:rPr>
        <w:footnoteReference w:id="13"/>
      </w:r>
      <w:r w:rsidRPr="00027F49">
        <w:rPr>
          <w:color w:val="000000" w:themeColor="text1"/>
        </w:rPr>
        <w:t xml:space="preserve">; podkreśla, że chociaż przeglądu CMDI nie można uznać za substytut EDIS, bardziej zharmonizowane ramy mogą </w:t>
      </w:r>
      <w:r w:rsidRPr="00027F49">
        <w:rPr>
          <w:color w:val="000000" w:themeColor="text1"/>
        </w:rPr>
        <w:lastRenderedPageBreak/>
        <w:t>pomóc pokonać przeszkody w jego tworzeniu; podkreśla, że ważne jest, by składki na rzecz systemów gwarancji depozytów były proporcjonalne do ryzyka;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44.</w:t>
      </w:r>
      <w:r w:rsidRPr="00027F49">
        <w:rPr>
          <w:color w:val="000000" w:themeColor="text1"/>
        </w:rPr>
        <w:tab/>
      </w:r>
      <w:proofErr w:type="gramStart"/>
      <w:r w:rsidRPr="00027F49">
        <w:rPr>
          <w:color w:val="000000" w:themeColor="text1"/>
        </w:rPr>
        <w:t>podkreśla</w:t>
      </w:r>
      <w:proofErr w:type="gramEnd"/>
      <w:r w:rsidRPr="00027F49">
        <w:rPr>
          <w:color w:val="000000" w:themeColor="text1"/>
        </w:rPr>
        <w:t>, że należy stworzyć w pełni rozwinięty i umożliwiający podział strat EDIS ze składkami opartymi na analizie ryzyka; apeluje o ukierunkowaną ocenę jakości aktywów bankowych; zaleca, by zacząć od grupowania płynności i stopniowego tworzenia funduszu UE;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45</w:t>
      </w:r>
      <w:r w:rsidR="00F21148">
        <w:rPr>
          <w:color w:val="000000" w:themeColor="text1"/>
        </w:rPr>
        <w:t>.</w:t>
      </w:r>
      <w:r w:rsidRPr="00027F49">
        <w:rPr>
          <w:color w:val="000000" w:themeColor="text1"/>
        </w:rPr>
        <w:tab/>
      </w:r>
      <w:proofErr w:type="gramStart"/>
      <w:r w:rsidRPr="00027F49">
        <w:rPr>
          <w:color w:val="000000" w:themeColor="text1"/>
        </w:rPr>
        <w:t>wzywa</w:t>
      </w:r>
      <w:proofErr w:type="gramEnd"/>
      <w:r w:rsidRPr="00027F49">
        <w:rPr>
          <w:color w:val="000000" w:themeColor="text1"/>
        </w:rPr>
        <w:t>, by w EDIS uwzględnić instytucjonalne systemy ochrony, a zwłaszcza ich efekt łagodzenia ryzyka, a jednocześnie zachować równe warunki działania na jednolitym rynku;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46</w:t>
      </w:r>
      <w:r w:rsidR="00F21148">
        <w:rPr>
          <w:color w:val="000000" w:themeColor="text1"/>
        </w:rPr>
        <w:t>.</w:t>
      </w:r>
      <w:bookmarkStart w:id="7" w:name="_GoBack"/>
      <w:bookmarkEnd w:id="7"/>
      <w:r w:rsidRPr="00027F49">
        <w:rPr>
          <w:color w:val="000000" w:themeColor="text1"/>
        </w:rPr>
        <w:tab/>
      </w:r>
      <w:proofErr w:type="gramStart"/>
      <w:r w:rsidRPr="00027F49">
        <w:rPr>
          <w:color w:val="000000" w:themeColor="text1"/>
        </w:rPr>
        <w:t>przypomina</w:t>
      </w:r>
      <w:proofErr w:type="gramEnd"/>
      <w:r w:rsidRPr="00027F49">
        <w:rPr>
          <w:color w:val="000000" w:themeColor="text1"/>
        </w:rPr>
        <w:t>, że jednym z głównych celów unii bankowej jest przerwanie powiązań między ryzykiem bankowym i ryzykiem związanym z długiem państwowym; zauważa, że zaangażowanie banków w krajowy dług państwowy jest nadal wysokie w unii bankowej; podziela obawy EUNB, że zaangażowanie w dług państwowy istotnie wpływa na banki w UE i może stać się źródłem potencjalnej podatności na zagrożenia; podkreśla, że kwestia uregulowania zaangażowania w dług państwowy musi być zgodna z normami międzynarodowymi, i wzywa Komisję do uwzględniania tej kwestii we wszelkich przyszłych dotyczących jej wnioskach;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47.</w:t>
      </w:r>
      <w:r w:rsidRPr="00027F49">
        <w:rPr>
          <w:color w:val="000000" w:themeColor="text1"/>
        </w:rPr>
        <w:tab/>
      </w:r>
      <w:proofErr w:type="gramStart"/>
      <w:r w:rsidRPr="00027F49">
        <w:rPr>
          <w:color w:val="000000" w:themeColor="text1"/>
        </w:rPr>
        <w:t>z</w:t>
      </w:r>
      <w:proofErr w:type="gramEnd"/>
      <w:r w:rsidRPr="00027F49">
        <w:rPr>
          <w:color w:val="000000" w:themeColor="text1"/>
        </w:rPr>
        <w:t xml:space="preserve"> zadowoleniem przyjmuje, że od 2015 r. poczyniono znaczne postępy w ograniczaniu ryzyka; z drugiej strony zauważa ograniczone postępy w zakresie podziału ryzyka; odnotowuje jednak, że aby zapewnić sukces unii bankowej, należy odpowiednio i skutecznie ograniczać ryzyko.</w:t>
      </w:r>
    </w:p>
    <w:p w:rsidR="00A54CD7" w:rsidRPr="00027F49" w:rsidRDefault="00A54CD7" w:rsidP="00A54CD7">
      <w:pPr>
        <w:spacing w:after="240"/>
        <w:ind w:left="567" w:hanging="567"/>
        <w:jc w:val="center"/>
        <w:rPr>
          <w:color w:val="000000" w:themeColor="text1"/>
        </w:rPr>
      </w:pPr>
      <w:r w:rsidRPr="00027F49">
        <w:rPr>
          <w:color w:val="000000" w:themeColor="text1"/>
        </w:rPr>
        <w:t>°</w:t>
      </w:r>
    </w:p>
    <w:p w:rsidR="00A54CD7" w:rsidRPr="00027F49" w:rsidRDefault="00A54CD7" w:rsidP="00A54CD7">
      <w:pPr>
        <w:spacing w:after="240"/>
        <w:ind w:left="567" w:hanging="567"/>
        <w:jc w:val="center"/>
        <w:rPr>
          <w:color w:val="000000" w:themeColor="text1"/>
        </w:rPr>
      </w:pPr>
      <w:r w:rsidRPr="00027F49">
        <w:rPr>
          <w:color w:val="000000" w:themeColor="text1"/>
        </w:rPr>
        <w:t>°</w:t>
      </w:r>
      <w:r w:rsidRPr="00027F49">
        <w:rPr>
          <w:color w:val="000000" w:themeColor="text1"/>
        </w:rPr>
        <w:tab/>
        <w:t>°</w:t>
      </w:r>
    </w:p>
    <w:p w:rsidR="00A54CD7" w:rsidRPr="00027F49" w:rsidRDefault="00A54CD7" w:rsidP="00A54CD7">
      <w:pPr>
        <w:pStyle w:val="NormalHanging12a"/>
        <w:rPr>
          <w:color w:val="000000" w:themeColor="text1"/>
        </w:rPr>
      </w:pPr>
      <w:r w:rsidRPr="00027F49">
        <w:rPr>
          <w:color w:val="000000" w:themeColor="text1"/>
        </w:rPr>
        <w:t>48.</w:t>
      </w:r>
      <w:r w:rsidRPr="00027F49">
        <w:rPr>
          <w:color w:val="000000" w:themeColor="text1"/>
        </w:rPr>
        <w:tab/>
      </w:r>
      <w:proofErr w:type="gramStart"/>
      <w:r w:rsidRPr="00027F49">
        <w:rPr>
          <w:color w:val="000000" w:themeColor="text1"/>
        </w:rPr>
        <w:t>zobowiązuje</w:t>
      </w:r>
      <w:proofErr w:type="gramEnd"/>
      <w:r w:rsidRPr="00027F49">
        <w:rPr>
          <w:color w:val="000000" w:themeColor="text1"/>
        </w:rPr>
        <w:t xml:space="preserve"> swoją przewodniczącą do przekazania niniejszej rezolucji Radzie, Komisji, Europejskiemu Bankowi Centralnemu, Jednolitej Radzie ds. Restrukturyzacji i Uporządkowanej Likwidacji oraz Europejskiemu Urzędowi Nadzoru Bankowego.</w:t>
      </w:r>
    </w:p>
    <w:p w:rsidR="00A54CD7" w:rsidRPr="00027F49" w:rsidRDefault="00A54CD7" w:rsidP="00A54CD7">
      <w:pPr>
        <w:rPr>
          <w:color w:val="000000" w:themeColor="text1"/>
        </w:rPr>
      </w:pPr>
    </w:p>
    <w:p w:rsidR="00E365E1" w:rsidRPr="00027F49" w:rsidRDefault="00E365E1" w:rsidP="00E97FE3">
      <w:pPr>
        <w:rPr>
          <w:color w:val="000000" w:themeColor="text1"/>
        </w:rPr>
      </w:pPr>
      <w:bookmarkStart w:id="8" w:name="TextBodyEnd"/>
      <w:bookmarkEnd w:id="8"/>
    </w:p>
    <w:sectPr w:rsidR="00E365E1" w:rsidRPr="00027F49" w:rsidSect="003C668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7FE3" w:rsidRPr="003C6684" w:rsidRDefault="00E97FE3">
      <w:r w:rsidRPr="003C6684">
        <w:separator/>
      </w:r>
    </w:p>
  </w:endnote>
  <w:endnote w:type="continuationSeparator" w:id="0">
    <w:p w:rsidR="00E97FE3" w:rsidRPr="003C6684" w:rsidRDefault="00E97FE3">
      <w:r w:rsidRPr="003C668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C668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C668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C668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7FE3" w:rsidRPr="003C6684" w:rsidRDefault="00E97FE3">
      <w:r w:rsidRPr="003C6684">
        <w:separator/>
      </w:r>
    </w:p>
  </w:footnote>
  <w:footnote w:type="continuationSeparator" w:id="0">
    <w:p w:rsidR="00E97FE3" w:rsidRPr="003C6684" w:rsidRDefault="00E97FE3">
      <w:r w:rsidRPr="003C6684">
        <w:continuationSeparator/>
      </w:r>
    </w:p>
  </w:footnote>
  <w:footnote w:id="1">
    <w:p w:rsidR="00A54CD7" w:rsidRPr="00027F49" w:rsidRDefault="00A54CD7" w:rsidP="003C6684">
      <w:pPr>
        <w:pStyle w:val="FootnoteText"/>
        <w:ind w:left="567" w:hanging="567"/>
        <w:rPr>
          <w:color w:val="000000" w:themeColor="text1"/>
          <w:sz w:val="24"/>
          <w:lang w:val="pl-PL"/>
        </w:rPr>
      </w:pPr>
      <w:r w:rsidRPr="00027F49">
        <w:rPr>
          <w:rStyle w:val="FootnoteReference"/>
          <w:color w:val="000000" w:themeColor="text1"/>
          <w:sz w:val="24"/>
          <w:lang w:val="pl-PL"/>
        </w:rPr>
        <w:footnoteRef/>
      </w:r>
      <w:r w:rsidR="003C6684" w:rsidRPr="00027F49">
        <w:rPr>
          <w:color w:val="000000" w:themeColor="text1"/>
          <w:sz w:val="24"/>
          <w:lang w:val="pl-PL"/>
        </w:rPr>
        <w:t xml:space="preserve"> </w:t>
      </w:r>
      <w:r w:rsidR="003C6684" w:rsidRPr="00027F49">
        <w:rPr>
          <w:color w:val="000000" w:themeColor="text1"/>
          <w:sz w:val="24"/>
          <w:lang w:val="pl-PL"/>
        </w:rPr>
        <w:tab/>
      </w:r>
      <w:r w:rsidRPr="00027F49">
        <w:rPr>
          <w:color w:val="000000" w:themeColor="text1"/>
          <w:sz w:val="24"/>
          <w:lang w:val="pl-PL"/>
        </w:rPr>
        <w:t>Teksty przyjęte, P9_TA(2023)0270.</w:t>
      </w:r>
    </w:p>
  </w:footnote>
  <w:footnote w:id="2">
    <w:p w:rsidR="00A54CD7" w:rsidRPr="00027F49" w:rsidRDefault="00A54CD7" w:rsidP="003C6684">
      <w:pPr>
        <w:pStyle w:val="FootnoteText"/>
        <w:ind w:left="567" w:hanging="567"/>
        <w:rPr>
          <w:color w:val="000000" w:themeColor="text1"/>
          <w:sz w:val="24"/>
          <w:lang w:val="pl-PL"/>
        </w:rPr>
      </w:pPr>
      <w:r w:rsidRPr="00027F49">
        <w:rPr>
          <w:rStyle w:val="FootnoteReference"/>
          <w:color w:val="000000" w:themeColor="text1"/>
          <w:sz w:val="24"/>
          <w:lang w:val="pl-PL"/>
        </w:rPr>
        <w:footnoteRef/>
      </w:r>
      <w:r w:rsidR="003C6684" w:rsidRPr="00027F49">
        <w:rPr>
          <w:color w:val="000000" w:themeColor="text1"/>
          <w:sz w:val="24"/>
          <w:lang w:val="pl-PL"/>
        </w:rPr>
        <w:t xml:space="preserve"> </w:t>
      </w:r>
      <w:r w:rsidR="003C6684" w:rsidRPr="00027F49">
        <w:rPr>
          <w:color w:val="000000" w:themeColor="text1"/>
          <w:sz w:val="24"/>
          <w:lang w:val="pl-PL"/>
        </w:rPr>
        <w:tab/>
      </w:r>
      <w:hyperlink r:id="rId1" w:history="1">
        <w:r w:rsidRPr="00027F49">
          <w:rPr>
            <w:rStyle w:val="Hyperlink"/>
            <w:color w:val="000000" w:themeColor="text1"/>
            <w:sz w:val="24"/>
            <w:lang w:val="pl-PL"/>
          </w:rPr>
          <w:t xml:space="preserve">Dz.U. C 494 z 8.12.2021, </w:t>
        </w:r>
        <w:proofErr w:type="gramStart"/>
        <w:r w:rsidRPr="00027F49">
          <w:rPr>
            <w:rStyle w:val="Hyperlink"/>
            <w:color w:val="000000" w:themeColor="text1"/>
            <w:sz w:val="24"/>
            <w:lang w:val="pl-PL"/>
          </w:rPr>
          <w:t>s</w:t>
        </w:r>
        <w:proofErr w:type="gramEnd"/>
        <w:r w:rsidRPr="00027F49">
          <w:rPr>
            <w:rStyle w:val="Hyperlink"/>
            <w:color w:val="000000" w:themeColor="text1"/>
            <w:sz w:val="24"/>
            <w:lang w:val="pl-PL"/>
          </w:rPr>
          <w:t>. 118.</w:t>
        </w:r>
      </w:hyperlink>
    </w:p>
  </w:footnote>
  <w:footnote w:id="3">
    <w:p w:rsidR="00A54CD7" w:rsidRPr="00027F49" w:rsidRDefault="00A54CD7" w:rsidP="003C6684">
      <w:pPr>
        <w:pStyle w:val="FootnoteText"/>
        <w:ind w:left="567" w:hanging="567"/>
        <w:rPr>
          <w:color w:val="000000" w:themeColor="text1"/>
          <w:sz w:val="24"/>
          <w:lang w:val="pl-PL"/>
        </w:rPr>
      </w:pPr>
      <w:r w:rsidRPr="00027F49">
        <w:rPr>
          <w:rStyle w:val="FootnoteReference"/>
          <w:color w:val="000000" w:themeColor="text1"/>
          <w:sz w:val="24"/>
          <w:lang w:val="pl-PL"/>
        </w:rPr>
        <w:footnoteRef/>
      </w:r>
      <w:r w:rsidR="003C6684" w:rsidRPr="00027F49">
        <w:rPr>
          <w:color w:val="000000" w:themeColor="text1"/>
          <w:sz w:val="24"/>
          <w:lang w:val="pl-PL"/>
        </w:rPr>
        <w:t xml:space="preserve"> </w:t>
      </w:r>
      <w:r w:rsidR="003C6684" w:rsidRPr="00027F49">
        <w:rPr>
          <w:color w:val="000000" w:themeColor="text1"/>
          <w:sz w:val="24"/>
          <w:lang w:val="pl-PL"/>
        </w:rPr>
        <w:tab/>
      </w:r>
      <w:hyperlink r:id="rId2" w:history="1">
        <w:r w:rsidRPr="00027F49">
          <w:rPr>
            <w:rStyle w:val="Hyperlink"/>
            <w:color w:val="000000" w:themeColor="text1"/>
            <w:sz w:val="24"/>
            <w:lang w:val="pl-PL"/>
          </w:rPr>
          <w:t xml:space="preserve">Dz.U. C 23 z 21.1.2021, </w:t>
        </w:r>
        <w:proofErr w:type="gramStart"/>
        <w:r w:rsidRPr="00027F49">
          <w:rPr>
            <w:rStyle w:val="Hyperlink"/>
            <w:color w:val="000000" w:themeColor="text1"/>
            <w:sz w:val="24"/>
            <w:lang w:val="pl-PL"/>
          </w:rPr>
          <w:t>s</w:t>
        </w:r>
        <w:proofErr w:type="gramEnd"/>
        <w:r w:rsidRPr="00027F49">
          <w:rPr>
            <w:rStyle w:val="Hyperlink"/>
            <w:color w:val="000000" w:themeColor="text1"/>
            <w:sz w:val="24"/>
            <w:lang w:val="pl-PL"/>
          </w:rPr>
          <w:t>. 105.</w:t>
        </w:r>
      </w:hyperlink>
    </w:p>
  </w:footnote>
  <w:footnote w:id="4">
    <w:p w:rsidR="00A54CD7" w:rsidRPr="00027F49" w:rsidRDefault="00A54CD7" w:rsidP="003C6684">
      <w:pPr>
        <w:pStyle w:val="FootnoteText"/>
        <w:ind w:left="567" w:hanging="567"/>
        <w:rPr>
          <w:color w:val="000000" w:themeColor="text1"/>
          <w:sz w:val="24"/>
          <w:lang w:val="pl-PL"/>
        </w:rPr>
      </w:pPr>
      <w:r w:rsidRPr="00027F49">
        <w:rPr>
          <w:rStyle w:val="FootnoteReference"/>
          <w:color w:val="000000" w:themeColor="text1"/>
          <w:sz w:val="24"/>
          <w:lang w:val="pl-PL"/>
        </w:rPr>
        <w:footnoteRef/>
      </w:r>
      <w:r w:rsidR="003C6684" w:rsidRPr="00027F49">
        <w:rPr>
          <w:color w:val="000000" w:themeColor="text1"/>
          <w:sz w:val="24"/>
          <w:lang w:val="pl-PL"/>
        </w:rPr>
        <w:t xml:space="preserve"> </w:t>
      </w:r>
      <w:r w:rsidR="003C6684" w:rsidRPr="00027F49">
        <w:rPr>
          <w:color w:val="000000" w:themeColor="text1"/>
          <w:sz w:val="24"/>
          <w:lang w:val="pl-PL"/>
        </w:rPr>
        <w:tab/>
      </w:r>
      <w:r w:rsidRPr="00027F49">
        <w:rPr>
          <w:color w:val="000000" w:themeColor="text1"/>
          <w:sz w:val="24"/>
          <w:lang w:val="pl-PL"/>
        </w:rPr>
        <w:t xml:space="preserve">L. De Vito i in., </w:t>
      </w:r>
      <w:hyperlink r:id="rId3" w:history="1">
        <w:r w:rsidRPr="00027F49">
          <w:rPr>
            <w:rStyle w:val="Hyperlink"/>
            <w:i/>
            <w:color w:val="000000" w:themeColor="text1"/>
            <w:sz w:val="24"/>
            <w:lang w:val="pl-PL"/>
          </w:rPr>
          <w:t>Understanding the profitability gap between euro area and US global systemically important banks</w:t>
        </w:r>
      </w:hyperlink>
      <w:r w:rsidRPr="00027F49">
        <w:rPr>
          <w:color w:val="000000" w:themeColor="text1"/>
          <w:sz w:val="24"/>
          <w:lang w:val="pl-PL"/>
        </w:rPr>
        <w:t> [Zrozumienie luki rentowności między strefą euro a amerykańskimi bankami o znaczeniu systemowym], seria dokumentów okolicznościowych EBC nr 327, 2023 r.</w:t>
      </w:r>
    </w:p>
  </w:footnote>
  <w:footnote w:id="5">
    <w:p w:rsidR="00A54CD7" w:rsidRPr="00027F49" w:rsidRDefault="00A54CD7" w:rsidP="003C6684">
      <w:pPr>
        <w:pStyle w:val="FootnoteText"/>
        <w:ind w:left="567" w:hanging="567"/>
        <w:rPr>
          <w:color w:val="000000" w:themeColor="text1"/>
          <w:sz w:val="24"/>
          <w:lang w:val="pl-PL"/>
        </w:rPr>
      </w:pPr>
      <w:r w:rsidRPr="00027F49">
        <w:rPr>
          <w:rStyle w:val="FootnoteReference"/>
          <w:color w:val="000000" w:themeColor="text1"/>
          <w:sz w:val="24"/>
          <w:lang w:val="pl-PL"/>
        </w:rPr>
        <w:footnoteRef/>
      </w:r>
      <w:r w:rsidR="003C6684" w:rsidRPr="00B3506E">
        <w:rPr>
          <w:color w:val="000000" w:themeColor="text1"/>
          <w:sz w:val="24"/>
          <w:lang w:val="en-GB"/>
        </w:rPr>
        <w:t xml:space="preserve"> </w:t>
      </w:r>
      <w:r w:rsidR="003C6684" w:rsidRPr="00B3506E">
        <w:rPr>
          <w:color w:val="000000" w:themeColor="text1"/>
          <w:sz w:val="24"/>
          <w:lang w:val="en-GB"/>
        </w:rPr>
        <w:tab/>
      </w:r>
      <w:r w:rsidRPr="00B3506E">
        <w:rPr>
          <w:color w:val="000000" w:themeColor="text1"/>
          <w:sz w:val="24"/>
          <w:lang w:val="en-GB"/>
        </w:rPr>
        <w:t xml:space="preserve">EBC </w:t>
      </w:r>
      <w:hyperlink r:id="rId4" w:history="1">
        <w:r w:rsidRPr="00B3506E">
          <w:rPr>
            <w:rStyle w:val="Hyperlink"/>
            <w:i/>
            <w:color w:val="000000" w:themeColor="text1"/>
            <w:sz w:val="24"/>
            <w:lang w:val="en-GB"/>
          </w:rPr>
          <w:t xml:space="preserve">Supervisory Banking Statistics for significant institutions. </w:t>
        </w:r>
        <w:r w:rsidRPr="00027F49">
          <w:rPr>
            <w:rStyle w:val="Hyperlink"/>
            <w:i/>
            <w:color w:val="000000" w:themeColor="text1"/>
            <w:sz w:val="24"/>
            <w:lang w:val="pl-PL"/>
          </w:rPr>
          <w:t>Second quarter 2023</w:t>
        </w:r>
      </w:hyperlink>
      <w:r w:rsidRPr="00027F49">
        <w:rPr>
          <w:color w:val="000000" w:themeColor="text1"/>
          <w:sz w:val="24"/>
          <w:lang w:val="pl-PL"/>
        </w:rPr>
        <w:t> [Dane statystyczne dotyczące nadzoru bankowego nad istotnymi instytucjami. Drugi kwartał 2023 r.], październik 2023 r.</w:t>
      </w:r>
    </w:p>
  </w:footnote>
  <w:footnote w:id="6">
    <w:p w:rsidR="00A54CD7" w:rsidRPr="00027F49" w:rsidRDefault="00A54CD7" w:rsidP="003C6684">
      <w:pPr>
        <w:pStyle w:val="FootnoteText"/>
        <w:ind w:left="567" w:hanging="567"/>
        <w:rPr>
          <w:color w:val="000000" w:themeColor="text1"/>
          <w:sz w:val="24"/>
          <w:lang w:val="pl-PL"/>
        </w:rPr>
      </w:pPr>
      <w:r w:rsidRPr="00027F49">
        <w:rPr>
          <w:rStyle w:val="FootnoteReference"/>
          <w:color w:val="000000" w:themeColor="text1"/>
          <w:sz w:val="24"/>
          <w:lang w:val="pl-PL"/>
        </w:rPr>
        <w:footnoteRef/>
      </w:r>
      <w:r w:rsidR="003C6684" w:rsidRPr="00027F49">
        <w:rPr>
          <w:color w:val="000000" w:themeColor="text1"/>
          <w:sz w:val="24"/>
          <w:lang w:val="pl-PL"/>
        </w:rPr>
        <w:t xml:space="preserve"> </w:t>
      </w:r>
      <w:r w:rsidR="003C6684" w:rsidRPr="00027F49">
        <w:rPr>
          <w:color w:val="000000" w:themeColor="text1"/>
          <w:sz w:val="24"/>
          <w:lang w:val="pl-PL"/>
        </w:rPr>
        <w:tab/>
      </w:r>
      <w:r w:rsidRPr="00027F49">
        <w:rPr>
          <w:color w:val="000000" w:themeColor="text1"/>
          <w:sz w:val="24"/>
          <w:lang w:val="pl-PL"/>
        </w:rPr>
        <w:t xml:space="preserve">EBC, </w:t>
      </w:r>
      <w:hyperlink r:id="rId5" w:history="1">
        <w:r w:rsidRPr="00027F49">
          <w:rPr>
            <w:rStyle w:val="Hyperlink"/>
            <w:i/>
            <w:color w:val="000000" w:themeColor="text1"/>
            <w:sz w:val="24"/>
            <w:lang w:val="pl-PL"/>
          </w:rPr>
          <w:t>Euro area bank lending survey</w:t>
        </w:r>
      </w:hyperlink>
      <w:r w:rsidRPr="00027F49">
        <w:rPr>
          <w:color w:val="000000" w:themeColor="text1"/>
          <w:sz w:val="24"/>
          <w:lang w:val="pl-PL"/>
        </w:rPr>
        <w:t> [Badanie ankietowe akcji kredytowej banków].</w:t>
      </w:r>
    </w:p>
  </w:footnote>
  <w:footnote w:id="7">
    <w:p w:rsidR="00A54CD7" w:rsidRPr="00027F49" w:rsidRDefault="00A54CD7" w:rsidP="003C6684">
      <w:pPr>
        <w:pStyle w:val="FootnoteText"/>
        <w:ind w:left="567" w:hanging="567"/>
        <w:rPr>
          <w:color w:val="000000" w:themeColor="text1"/>
          <w:sz w:val="24"/>
          <w:lang w:val="pl-PL"/>
        </w:rPr>
      </w:pPr>
      <w:r w:rsidRPr="00027F49">
        <w:rPr>
          <w:rStyle w:val="FootnoteReference"/>
          <w:color w:val="000000" w:themeColor="text1"/>
          <w:sz w:val="24"/>
          <w:lang w:val="pl-PL"/>
        </w:rPr>
        <w:footnoteRef/>
      </w:r>
      <w:r w:rsidR="003C6684" w:rsidRPr="00027F49">
        <w:rPr>
          <w:color w:val="000000" w:themeColor="text1"/>
          <w:sz w:val="24"/>
          <w:lang w:val="pl-PL"/>
        </w:rPr>
        <w:t xml:space="preserve"> </w:t>
      </w:r>
      <w:r w:rsidR="003C6684" w:rsidRPr="00027F49">
        <w:rPr>
          <w:color w:val="000000" w:themeColor="text1"/>
          <w:sz w:val="24"/>
          <w:lang w:val="pl-PL"/>
        </w:rPr>
        <w:tab/>
      </w:r>
      <w:r w:rsidRPr="00027F49">
        <w:rPr>
          <w:color w:val="000000" w:themeColor="text1"/>
          <w:sz w:val="24"/>
          <w:lang w:val="pl-PL"/>
        </w:rPr>
        <w:t>Rozporządzenie (UE) 2021/1119 z dnia 30 czerwca 2021 r. w sprawie ustanowienia ram na potrzeby osiągnięcia neutralności klimatycznej i zmiany rozporządzeń (W</w:t>
      </w:r>
      <w:r w:rsidR="00027F49" w:rsidRPr="00027F49">
        <w:rPr>
          <w:color w:val="000000" w:themeColor="text1"/>
          <w:sz w:val="24"/>
          <w:lang w:val="pl-PL"/>
        </w:rPr>
        <w:t>E) nr 401/2009 i (UE) 2018/1999 (</w:t>
      </w:r>
      <w:hyperlink r:id="rId6" w:anchor=":~:text=This%20Regulation%20sets%20out%20a,Article%207%20of%20the%20Paris" w:history="1">
        <w:r w:rsidRPr="00027F49">
          <w:rPr>
            <w:rStyle w:val="Hyperlink"/>
            <w:color w:val="000000" w:themeColor="text1"/>
            <w:sz w:val="24"/>
            <w:lang w:val="pl-PL"/>
          </w:rPr>
          <w:t xml:space="preserve">Dz.U. L 243 z 9.7.2021, </w:t>
        </w:r>
        <w:proofErr w:type="gramStart"/>
        <w:r w:rsidRPr="00027F49">
          <w:rPr>
            <w:rStyle w:val="Hyperlink"/>
            <w:color w:val="000000" w:themeColor="text1"/>
            <w:sz w:val="24"/>
            <w:lang w:val="pl-PL"/>
          </w:rPr>
          <w:t>s</w:t>
        </w:r>
        <w:proofErr w:type="gramEnd"/>
        <w:r w:rsidRPr="00027F49">
          <w:rPr>
            <w:rStyle w:val="Hyperlink"/>
            <w:color w:val="000000" w:themeColor="text1"/>
            <w:sz w:val="24"/>
            <w:lang w:val="pl-PL"/>
          </w:rPr>
          <w:t>. 1</w:t>
        </w:r>
      </w:hyperlink>
      <w:r w:rsidR="00027F49" w:rsidRPr="00027F49">
        <w:rPr>
          <w:rStyle w:val="Hyperlink"/>
          <w:color w:val="000000" w:themeColor="text1"/>
          <w:sz w:val="24"/>
          <w:lang w:val="pl-PL"/>
        </w:rPr>
        <w:t>)</w:t>
      </w:r>
      <w:r w:rsidRPr="00027F49">
        <w:rPr>
          <w:color w:val="000000" w:themeColor="text1"/>
          <w:sz w:val="24"/>
          <w:lang w:val="pl-PL"/>
        </w:rPr>
        <w:t>.</w:t>
      </w:r>
    </w:p>
  </w:footnote>
  <w:footnote w:id="8">
    <w:p w:rsidR="00A54CD7" w:rsidRPr="00027F49" w:rsidRDefault="00A54CD7" w:rsidP="003C6684">
      <w:pPr>
        <w:pStyle w:val="FootnoteText"/>
        <w:ind w:left="567" w:hanging="567"/>
        <w:rPr>
          <w:color w:val="000000" w:themeColor="text1"/>
          <w:sz w:val="24"/>
          <w:lang w:val="pl-PL"/>
        </w:rPr>
      </w:pPr>
      <w:r w:rsidRPr="00027F49">
        <w:rPr>
          <w:rStyle w:val="FootnoteReference"/>
          <w:color w:val="000000" w:themeColor="text1"/>
          <w:sz w:val="24"/>
          <w:lang w:val="pl-PL"/>
        </w:rPr>
        <w:footnoteRef/>
      </w:r>
      <w:r w:rsidR="003C6684" w:rsidRPr="00027F49">
        <w:rPr>
          <w:color w:val="000000" w:themeColor="text1"/>
          <w:sz w:val="24"/>
          <w:lang w:val="pl-PL"/>
        </w:rPr>
        <w:t xml:space="preserve"> </w:t>
      </w:r>
      <w:r w:rsidR="003C6684" w:rsidRPr="00027F49">
        <w:rPr>
          <w:color w:val="000000" w:themeColor="text1"/>
          <w:sz w:val="24"/>
          <w:lang w:val="pl-PL"/>
        </w:rPr>
        <w:tab/>
      </w:r>
      <w:r w:rsidRPr="00027F49">
        <w:rPr>
          <w:color w:val="000000" w:themeColor="text1"/>
          <w:sz w:val="24"/>
          <w:lang w:val="pl-PL"/>
        </w:rPr>
        <w:t xml:space="preserve">EUNB, </w:t>
      </w:r>
      <w:hyperlink r:id="rId7" w:history="1">
        <w:r w:rsidRPr="00027F49">
          <w:rPr>
            <w:rStyle w:val="Hyperlink"/>
            <w:i/>
            <w:color w:val="000000" w:themeColor="text1"/>
            <w:sz w:val="24"/>
            <w:lang w:val="pl-PL"/>
          </w:rPr>
          <w:t>Risk Assessment of the European Banking System</w:t>
        </w:r>
      </w:hyperlink>
      <w:r w:rsidRPr="00027F49">
        <w:rPr>
          <w:color w:val="000000" w:themeColor="text1"/>
          <w:sz w:val="24"/>
          <w:lang w:val="pl-PL"/>
        </w:rPr>
        <w:t> [Ocena ryzyka dotycząca europejskiego systemu bankowego], grudzień 2022 r.</w:t>
      </w:r>
    </w:p>
  </w:footnote>
  <w:footnote w:id="9">
    <w:p w:rsidR="00A54CD7" w:rsidRPr="00027F49" w:rsidRDefault="00A54CD7" w:rsidP="003C6684">
      <w:pPr>
        <w:pStyle w:val="FootnoteText"/>
        <w:ind w:left="567" w:hanging="567"/>
        <w:rPr>
          <w:color w:val="000000" w:themeColor="text1"/>
          <w:sz w:val="24"/>
          <w:lang w:val="pl-PL"/>
        </w:rPr>
      </w:pPr>
      <w:r w:rsidRPr="00027F49">
        <w:rPr>
          <w:rStyle w:val="FootnoteReference"/>
          <w:color w:val="000000" w:themeColor="text1"/>
          <w:sz w:val="24"/>
          <w:lang w:val="pl-PL"/>
        </w:rPr>
        <w:footnoteRef/>
      </w:r>
      <w:r w:rsidR="003C6684" w:rsidRPr="00B3506E">
        <w:rPr>
          <w:color w:val="000000" w:themeColor="text1"/>
          <w:sz w:val="24"/>
          <w:lang w:val="en-GB"/>
        </w:rPr>
        <w:t xml:space="preserve"> </w:t>
      </w:r>
      <w:r w:rsidR="003C6684" w:rsidRPr="00B3506E">
        <w:rPr>
          <w:color w:val="000000" w:themeColor="text1"/>
          <w:sz w:val="24"/>
          <w:lang w:val="en-GB"/>
        </w:rPr>
        <w:tab/>
      </w:r>
      <w:r w:rsidRPr="00B3506E">
        <w:rPr>
          <w:color w:val="000000" w:themeColor="text1"/>
          <w:sz w:val="24"/>
          <w:lang w:val="en-GB"/>
        </w:rPr>
        <w:t xml:space="preserve">EBC </w:t>
      </w:r>
      <w:hyperlink r:id="rId8" w:history="1">
        <w:r w:rsidRPr="00B3506E">
          <w:rPr>
            <w:rStyle w:val="Hyperlink"/>
            <w:i/>
            <w:color w:val="000000" w:themeColor="text1"/>
            <w:sz w:val="24"/>
            <w:lang w:val="en-GB"/>
          </w:rPr>
          <w:t xml:space="preserve">Supervisory Banking Statistics for significant institutions. </w:t>
        </w:r>
        <w:r w:rsidRPr="00027F49">
          <w:rPr>
            <w:rStyle w:val="Hyperlink"/>
            <w:i/>
            <w:color w:val="000000" w:themeColor="text1"/>
            <w:sz w:val="24"/>
            <w:lang w:val="pl-PL"/>
          </w:rPr>
          <w:t>Second quarter 2023</w:t>
        </w:r>
      </w:hyperlink>
      <w:r w:rsidRPr="00027F49">
        <w:rPr>
          <w:color w:val="000000" w:themeColor="text1"/>
          <w:sz w:val="24"/>
          <w:lang w:val="pl-PL"/>
        </w:rPr>
        <w:t> [Dane statystyczne dotyczące nadzoru bankowego nad istotnymi instytucjami. Drugi kwartał 2023 r.], październik 2023 r.</w:t>
      </w:r>
    </w:p>
  </w:footnote>
  <w:footnote w:id="10">
    <w:p w:rsidR="00A54CD7" w:rsidRPr="00027F49" w:rsidRDefault="00A54CD7" w:rsidP="003C6684">
      <w:pPr>
        <w:pStyle w:val="title-bold"/>
        <w:shd w:val="clear" w:color="auto" w:fill="FFFFFF"/>
        <w:spacing w:before="0" w:beforeAutospacing="0" w:after="75" w:afterAutospacing="0"/>
        <w:ind w:left="567" w:hanging="567"/>
        <w:rPr>
          <w:color w:val="000000" w:themeColor="text1"/>
        </w:rPr>
      </w:pPr>
      <w:r w:rsidRPr="00027F49">
        <w:rPr>
          <w:rStyle w:val="FootnoteReference"/>
          <w:color w:val="000000" w:themeColor="text1"/>
        </w:rPr>
        <w:footnoteRef/>
      </w:r>
      <w:r w:rsidR="003C6684" w:rsidRPr="00027F49">
        <w:rPr>
          <w:color w:val="000000" w:themeColor="text1"/>
        </w:rPr>
        <w:t xml:space="preserve"> </w:t>
      </w:r>
      <w:r w:rsidR="003C6684" w:rsidRPr="00027F49">
        <w:rPr>
          <w:color w:val="000000" w:themeColor="text1"/>
        </w:rPr>
        <w:tab/>
      </w:r>
      <w:r w:rsidRPr="00027F49">
        <w:rPr>
          <w:color w:val="000000" w:themeColor="text1"/>
        </w:rPr>
        <w:t>Dyrektywa (UE) 2021/2167 z dnia 24 listopada 2021 r. w sprawie podmiotów obsługujących kredyty i nabywców kredytów oraz w sprawie zmiany d</w:t>
      </w:r>
      <w:r w:rsidR="00027F49" w:rsidRPr="00027F49">
        <w:rPr>
          <w:color w:val="000000" w:themeColor="text1"/>
        </w:rPr>
        <w:t>yrektyw 2008/48/WE i 2014/17/UE</w:t>
      </w:r>
      <w:r w:rsidRPr="00027F49">
        <w:rPr>
          <w:color w:val="000000" w:themeColor="text1"/>
        </w:rPr>
        <w:t xml:space="preserve"> </w:t>
      </w:r>
      <w:r w:rsidR="00027F49" w:rsidRPr="00027F49">
        <w:rPr>
          <w:color w:val="000000" w:themeColor="text1"/>
        </w:rPr>
        <w:t>(</w:t>
      </w:r>
      <w:hyperlink r:id="rId9" w:history="1">
        <w:r w:rsidRPr="00027F49">
          <w:rPr>
            <w:rStyle w:val="Hyperlink"/>
            <w:color w:val="000000" w:themeColor="text1"/>
          </w:rPr>
          <w:t xml:space="preserve">Dz.U. L 438 z 8.12.2021, </w:t>
        </w:r>
        <w:proofErr w:type="gramStart"/>
        <w:r w:rsidRPr="00027F49">
          <w:rPr>
            <w:rStyle w:val="Hyperlink"/>
            <w:color w:val="000000" w:themeColor="text1"/>
          </w:rPr>
          <w:t>s</w:t>
        </w:r>
        <w:proofErr w:type="gramEnd"/>
        <w:r w:rsidRPr="00027F49">
          <w:rPr>
            <w:rStyle w:val="Hyperlink"/>
            <w:color w:val="000000" w:themeColor="text1"/>
          </w:rPr>
          <w:t>. 1</w:t>
        </w:r>
      </w:hyperlink>
      <w:r w:rsidR="00027F49" w:rsidRPr="00027F49">
        <w:rPr>
          <w:rStyle w:val="Hyperlink"/>
          <w:color w:val="000000" w:themeColor="text1"/>
        </w:rPr>
        <w:t>)</w:t>
      </w:r>
      <w:r w:rsidRPr="00027F49">
        <w:rPr>
          <w:color w:val="000000" w:themeColor="text1"/>
        </w:rPr>
        <w:t>.</w:t>
      </w:r>
    </w:p>
  </w:footnote>
  <w:footnote w:id="11">
    <w:p w:rsidR="00A54CD7" w:rsidRPr="00027F49" w:rsidRDefault="00A54CD7" w:rsidP="003C6684">
      <w:pPr>
        <w:pStyle w:val="FootnoteText"/>
        <w:ind w:left="567" w:hanging="567"/>
        <w:rPr>
          <w:color w:val="000000" w:themeColor="text1"/>
          <w:sz w:val="24"/>
          <w:lang w:val="pl-PL"/>
        </w:rPr>
      </w:pPr>
      <w:r w:rsidRPr="00027F49">
        <w:rPr>
          <w:rStyle w:val="FootnoteReference"/>
          <w:color w:val="000000" w:themeColor="text1"/>
          <w:sz w:val="24"/>
          <w:lang w:val="pl-PL"/>
        </w:rPr>
        <w:footnoteRef/>
      </w:r>
      <w:r w:rsidR="003C6684" w:rsidRPr="00027F49">
        <w:rPr>
          <w:color w:val="000000" w:themeColor="text1"/>
          <w:sz w:val="24"/>
          <w:lang w:val="pl-PL"/>
        </w:rPr>
        <w:t xml:space="preserve"> </w:t>
      </w:r>
      <w:r w:rsidR="003C6684" w:rsidRPr="00027F49">
        <w:rPr>
          <w:color w:val="000000" w:themeColor="text1"/>
          <w:sz w:val="24"/>
          <w:lang w:val="pl-PL"/>
        </w:rPr>
        <w:tab/>
      </w:r>
      <w:r w:rsidRPr="00027F49">
        <w:rPr>
          <w:color w:val="000000" w:themeColor="text1"/>
          <w:sz w:val="24"/>
          <w:lang w:val="pl-PL"/>
        </w:rPr>
        <w:t xml:space="preserve">Rozporządzenie Parlamentu Europejskiego i Rady (UE) nr 575/2013 z dnia 26 czerwca 2013 r. w sprawie wymogów ostrożnościowych dla instytucji kredytowych i firm inwestycyjnych, zmieniające rozporządzenie (UE) nr 648/2012 </w:t>
      </w:r>
      <w:r w:rsidR="00027F49" w:rsidRPr="00027F49">
        <w:rPr>
          <w:color w:val="000000" w:themeColor="text1"/>
          <w:sz w:val="24"/>
          <w:lang w:val="pl-PL"/>
        </w:rPr>
        <w:t>(</w:t>
      </w:r>
      <w:hyperlink r:id="rId10" w:history="1">
        <w:r w:rsidRPr="00027F49">
          <w:rPr>
            <w:rStyle w:val="Hyperlink"/>
            <w:color w:val="000000" w:themeColor="text1"/>
            <w:sz w:val="24"/>
            <w:lang w:val="pl-PL"/>
          </w:rPr>
          <w:t xml:space="preserve">Dz.U. L 176 z 27.6.2013, </w:t>
        </w:r>
        <w:proofErr w:type="gramStart"/>
        <w:r w:rsidRPr="00027F49">
          <w:rPr>
            <w:rStyle w:val="Hyperlink"/>
            <w:color w:val="000000" w:themeColor="text1"/>
            <w:sz w:val="24"/>
            <w:lang w:val="pl-PL"/>
          </w:rPr>
          <w:t>s</w:t>
        </w:r>
        <w:proofErr w:type="gramEnd"/>
        <w:r w:rsidRPr="00027F49">
          <w:rPr>
            <w:rStyle w:val="Hyperlink"/>
            <w:color w:val="000000" w:themeColor="text1"/>
            <w:sz w:val="24"/>
            <w:lang w:val="pl-PL"/>
          </w:rPr>
          <w:t>. 1</w:t>
        </w:r>
      </w:hyperlink>
      <w:r w:rsidR="00027F49" w:rsidRPr="00027F49">
        <w:rPr>
          <w:rStyle w:val="Hyperlink"/>
          <w:color w:val="000000" w:themeColor="text1"/>
          <w:sz w:val="24"/>
          <w:lang w:val="pl-PL"/>
        </w:rPr>
        <w:t>)</w:t>
      </w:r>
      <w:r w:rsidRPr="00027F49">
        <w:rPr>
          <w:color w:val="000000" w:themeColor="text1"/>
          <w:sz w:val="24"/>
          <w:lang w:val="pl-PL"/>
        </w:rPr>
        <w:t>.</w:t>
      </w:r>
    </w:p>
  </w:footnote>
  <w:footnote w:id="12">
    <w:p w:rsidR="00A54CD7" w:rsidRPr="00027F49" w:rsidRDefault="00A54CD7" w:rsidP="003C6684">
      <w:pPr>
        <w:pStyle w:val="FootnoteText"/>
        <w:ind w:left="567" w:hanging="567"/>
        <w:rPr>
          <w:color w:val="000000" w:themeColor="text1"/>
          <w:sz w:val="24"/>
          <w:lang w:val="pl-PL"/>
        </w:rPr>
      </w:pPr>
      <w:r w:rsidRPr="00027F49">
        <w:rPr>
          <w:rStyle w:val="FootnoteReference"/>
          <w:color w:val="000000" w:themeColor="text1"/>
          <w:sz w:val="24"/>
          <w:lang w:val="pl-PL"/>
        </w:rPr>
        <w:footnoteRef/>
      </w:r>
      <w:r w:rsidR="003C6684" w:rsidRPr="00027F49">
        <w:rPr>
          <w:color w:val="000000" w:themeColor="text1"/>
          <w:sz w:val="24"/>
          <w:lang w:val="pl-PL"/>
        </w:rPr>
        <w:t xml:space="preserve"> </w:t>
      </w:r>
      <w:r w:rsidR="003C6684" w:rsidRPr="00027F49">
        <w:rPr>
          <w:color w:val="000000" w:themeColor="text1"/>
          <w:sz w:val="24"/>
          <w:lang w:val="pl-PL"/>
        </w:rPr>
        <w:tab/>
      </w:r>
      <w:r w:rsidRPr="00027F49">
        <w:rPr>
          <w:color w:val="000000" w:themeColor="text1"/>
          <w:sz w:val="24"/>
          <w:lang w:val="pl-PL"/>
        </w:rPr>
        <w:t>Dyrektywa 2013/36/UE z dnia 26 czerwca 2013 r. w sprawie warunków dopuszczenia instytucji kredytowych do działalności oraz nadzoru ostrożnościowego nad instytucjami kredytowymi i firmami inwestycyjnymi, zmieniająca dyrektywę 2002/87/WE i uchylająca dyrek</w:t>
      </w:r>
      <w:r w:rsidR="00027F49" w:rsidRPr="00027F49">
        <w:rPr>
          <w:color w:val="000000" w:themeColor="text1"/>
          <w:sz w:val="24"/>
          <w:lang w:val="pl-PL"/>
        </w:rPr>
        <w:t>tywy 2006/48/WE oraz 2006/49/WE</w:t>
      </w:r>
      <w:r w:rsidRPr="00027F49">
        <w:rPr>
          <w:color w:val="000000" w:themeColor="text1"/>
          <w:sz w:val="24"/>
          <w:lang w:val="pl-PL"/>
        </w:rPr>
        <w:t xml:space="preserve"> </w:t>
      </w:r>
      <w:r w:rsidR="00027F49" w:rsidRPr="00027F49">
        <w:rPr>
          <w:color w:val="000000" w:themeColor="text1"/>
          <w:sz w:val="24"/>
          <w:lang w:val="pl-PL"/>
        </w:rPr>
        <w:t>(</w:t>
      </w:r>
      <w:hyperlink r:id="rId11" w:history="1">
        <w:r w:rsidRPr="00027F49">
          <w:rPr>
            <w:rStyle w:val="Hyperlink"/>
            <w:color w:val="000000" w:themeColor="text1"/>
            <w:sz w:val="24"/>
            <w:lang w:val="pl-PL"/>
          </w:rPr>
          <w:t xml:space="preserve">Dz.U. L 176 z 27.6.2013, </w:t>
        </w:r>
        <w:proofErr w:type="gramStart"/>
        <w:r w:rsidRPr="00027F49">
          <w:rPr>
            <w:rStyle w:val="Hyperlink"/>
            <w:color w:val="000000" w:themeColor="text1"/>
            <w:sz w:val="24"/>
            <w:lang w:val="pl-PL"/>
          </w:rPr>
          <w:t>s</w:t>
        </w:r>
        <w:proofErr w:type="gramEnd"/>
        <w:r w:rsidRPr="00027F49">
          <w:rPr>
            <w:rStyle w:val="Hyperlink"/>
            <w:color w:val="000000" w:themeColor="text1"/>
            <w:sz w:val="24"/>
            <w:lang w:val="pl-PL"/>
          </w:rPr>
          <w:t>. 338</w:t>
        </w:r>
      </w:hyperlink>
      <w:r w:rsidR="00027F49" w:rsidRPr="00027F49">
        <w:rPr>
          <w:rStyle w:val="Hyperlink"/>
          <w:color w:val="000000" w:themeColor="text1"/>
          <w:sz w:val="24"/>
          <w:lang w:val="pl-PL"/>
        </w:rPr>
        <w:t>)</w:t>
      </w:r>
      <w:r w:rsidRPr="00027F49">
        <w:rPr>
          <w:color w:val="000000" w:themeColor="text1"/>
          <w:sz w:val="24"/>
          <w:lang w:val="pl-PL"/>
        </w:rPr>
        <w:t>.</w:t>
      </w:r>
    </w:p>
  </w:footnote>
  <w:footnote w:id="13">
    <w:p w:rsidR="00A54CD7" w:rsidRPr="00027F49" w:rsidRDefault="00A54CD7" w:rsidP="003C6684">
      <w:pPr>
        <w:keepLines/>
        <w:widowControl/>
        <w:ind w:left="567" w:hanging="567"/>
        <w:rPr>
          <w:color w:val="000000" w:themeColor="text1"/>
        </w:rPr>
      </w:pPr>
      <w:r w:rsidRPr="00027F49">
        <w:rPr>
          <w:rStyle w:val="FootnoteReference"/>
          <w:color w:val="000000" w:themeColor="text1"/>
        </w:rPr>
        <w:footnoteRef/>
      </w:r>
      <w:r w:rsidR="003C6684" w:rsidRPr="00027F49">
        <w:rPr>
          <w:color w:val="000000" w:themeColor="text1"/>
        </w:rPr>
        <w:t xml:space="preserve"> </w:t>
      </w:r>
      <w:r w:rsidR="003C6684" w:rsidRPr="00027F49">
        <w:rPr>
          <w:color w:val="000000" w:themeColor="text1"/>
        </w:rPr>
        <w:tab/>
      </w:r>
      <w:hyperlink r:id="rId12" w:history="1">
        <w:r w:rsidRPr="00027F49">
          <w:rPr>
            <w:rStyle w:val="Hyperlink"/>
            <w:color w:val="000000" w:themeColor="text1"/>
          </w:rPr>
          <w:t xml:space="preserve">Dz.U. L 173 z 12.6.2014, </w:t>
        </w:r>
        <w:proofErr w:type="gramStart"/>
        <w:r w:rsidRPr="00027F49">
          <w:rPr>
            <w:rStyle w:val="Hyperlink"/>
            <w:color w:val="000000" w:themeColor="text1"/>
          </w:rPr>
          <w:t>s</w:t>
        </w:r>
        <w:proofErr w:type="gramEnd"/>
        <w:r w:rsidRPr="00027F49">
          <w:rPr>
            <w:rStyle w:val="Hyperlink"/>
            <w:color w:val="000000" w:themeColor="text1"/>
          </w:rPr>
          <w:t>. 149.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C668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C668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C668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31/2023"/>
    <w:docVar w:name="dvlangue" w:val="PL"/>
    <w:docVar w:name="dvnumam" w:val="0"/>
    <w:docVar w:name="dvpe" w:val="752.739"/>
    <w:docVar w:name="dvrapporteur" w:val="Sprawozdawca: "/>
    <w:docVar w:name="dvstar" w:val="??"/>
    <w:docVar w:name="dvtitre" w:val="Rezolucja Parlamentu Europejskiego z dnia  2024 r. w sprawie unii bankowej – sprawozdanie za rok 2023(2023/2078(INI))"/>
  </w:docVars>
  <w:rsids>
    <w:rsidRoot w:val="00E97FE3"/>
    <w:rsid w:val="00002272"/>
    <w:rsid w:val="00027F49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C6684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4CD7"/>
    <w:rsid w:val="00A778C7"/>
    <w:rsid w:val="00AB441E"/>
    <w:rsid w:val="00AB6293"/>
    <w:rsid w:val="00AE0928"/>
    <w:rsid w:val="00AF3B82"/>
    <w:rsid w:val="00B12E95"/>
    <w:rsid w:val="00B22876"/>
    <w:rsid w:val="00B3506E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97FE3"/>
    <w:rsid w:val="00EB006A"/>
    <w:rsid w:val="00EB4772"/>
    <w:rsid w:val="00ED169E"/>
    <w:rsid w:val="00ED4235"/>
    <w:rsid w:val="00F04346"/>
    <w:rsid w:val="00F075DC"/>
    <w:rsid w:val="00F149E9"/>
    <w:rsid w:val="00F21148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0D40BB"/>
  <w15:chartTrackingRefBased/>
  <w15:docId w15:val="{BD767C2A-9554-4C7C-BDF3-9920BE95B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A54CD7"/>
    <w:pPr>
      <w:spacing w:after="240"/>
      <w:ind w:left="567" w:hanging="567"/>
    </w:pPr>
  </w:style>
  <w:style w:type="paragraph" w:customStyle="1" w:styleId="EPComma">
    <w:name w:val="EPComma"/>
    <w:basedOn w:val="Normal"/>
    <w:rsid w:val="00A54CD7"/>
    <w:pPr>
      <w:spacing w:before="480" w:after="240"/>
    </w:pPr>
  </w:style>
  <w:style w:type="character" w:customStyle="1" w:styleId="BoldItalic">
    <w:name w:val="BoldItalic"/>
    <w:basedOn w:val="DefaultParagraphFont"/>
    <w:uiPriority w:val="1"/>
    <w:qFormat/>
    <w:rsid w:val="00A54CD7"/>
    <w:rPr>
      <w:rFonts w:ascii="Times New Roman" w:hAnsi="Times New Roman" w:cs="Times New Roman" w:hint="default"/>
      <w:b/>
      <w:bCs w:val="0"/>
      <w:i/>
      <w:iCs w:val="0"/>
      <w:sz w:val="24"/>
    </w:rPr>
  </w:style>
  <w:style w:type="paragraph" w:customStyle="1" w:styleId="title-bold">
    <w:name w:val="title-bold"/>
    <w:basedOn w:val="Normal"/>
    <w:rsid w:val="00A54CD7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rsid w:val="00A54CD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ankingsupervision.europa.eu/ecb/pub/pdf/ssm.supervisorybankingstatistics_second_quarter_2023_202310~f41e7f2373.en.pdf" TargetMode="External"/><Relationship Id="rId3" Type="http://schemas.openxmlformats.org/officeDocument/2006/relationships/hyperlink" Target="https://www.ecb.europa.eu/pub/pdf/scpops/ecb.op327~0d50b9136f.en.pdf" TargetMode="External"/><Relationship Id="rId7" Type="http://schemas.openxmlformats.org/officeDocument/2006/relationships/hyperlink" Target="https://www.eba.europa.eu/sites/default/documents/files/document_library/Risk%20Analysis%20and%20Data/Risk%20Assessment%20Reports/2022/RAR/1045298/Risk%20Assessment%20Report%20December%202022.pdf" TargetMode="External"/><Relationship Id="rId12" Type="http://schemas.openxmlformats.org/officeDocument/2006/relationships/hyperlink" Target="https://eur-lex.europa.eu/legal-content/PL/TXT/PDF/?uri=CELEX:32014L0049" TargetMode="External"/><Relationship Id="rId2" Type="http://schemas.openxmlformats.org/officeDocument/2006/relationships/hyperlink" Target="https://eur-lex.europa.eu/legal-content/PL/TXT/PDF/?uri=CELEX:52019IP0211&amp;qid=1701792264730" TargetMode="External"/><Relationship Id="rId1" Type="http://schemas.openxmlformats.org/officeDocument/2006/relationships/hyperlink" Target="https://eur-lex.europa.eu/legal-content/PL/TXT/?uri=CELEX:52021IP0110" TargetMode="External"/><Relationship Id="rId6" Type="http://schemas.openxmlformats.org/officeDocument/2006/relationships/hyperlink" Target="https://eur-lex.europa.eu/legal-content/PL/TXT/PDF/?uri=CELEX:32021R1119&amp;from=PL" TargetMode="External"/><Relationship Id="rId11" Type="http://schemas.openxmlformats.org/officeDocument/2006/relationships/hyperlink" Target="https://eur-lex.europa.eu/legal-content/PL/TXT/?uri=CELEX:32013L0036" TargetMode="External"/><Relationship Id="rId5" Type="http://schemas.openxmlformats.org/officeDocument/2006/relationships/hyperlink" Target="https://www.ecb.europa.eu/stats/ecb_surveys/bank_lending_survey/html/index.en.html" TargetMode="External"/><Relationship Id="rId10" Type="http://schemas.openxmlformats.org/officeDocument/2006/relationships/hyperlink" Target="https://eur-lex.europa.eu/legal-content/PL/TXT/PDF/?uri=CELEX:32013R0575" TargetMode="External"/><Relationship Id="rId4" Type="http://schemas.openxmlformats.org/officeDocument/2006/relationships/hyperlink" Target="https://www.bankingsupervision.europa.eu/ecb/pub/pdf/ssm.supervisorybankingstatistics_second_quarter_2023_202310~f41e7f2373.en.pdf" TargetMode="External"/><Relationship Id="rId9" Type="http://schemas.openxmlformats.org/officeDocument/2006/relationships/hyperlink" Target="https://eur-lex.europa.eu/legal-content/PL/TXT/PDF/?uri=CELEX:32021L2167&amp;qid=170184896597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C1B8A2-6A15-46CC-80FC-0CC311FBA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</Pages>
  <Words>4908</Words>
  <Characters>32895</Characters>
  <Application>Microsoft Office Word</Application>
  <DocSecurity>0</DocSecurity>
  <Lines>274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WOJCIECHOWSKA Joanna</cp:lastModifiedBy>
  <cp:revision>2</cp:revision>
  <cp:lastPrinted>2004-11-19T15:42:00Z</cp:lastPrinted>
  <dcterms:created xsi:type="dcterms:W3CDTF">2024-02-01T08:18:00Z</dcterms:created>
  <dcterms:modified xsi:type="dcterms:W3CDTF">2024-02-01T08:18:00Z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A9-0431/2023</vt:lpwstr>
  </property>
  <property fmtid="{D5CDD505-2E9C-101B-9397-08002B2CF9AE}" pid="4" name="&lt;Type&gt;">
    <vt:lpwstr>RR</vt:lpwstr>
  </property>
</Properties>
</file>