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667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667F" w:rsidRDefault="00AA5389">
            <w:pPr>
              <w:pStyle w:val="EPName"/>
            </w:pPr>
            <w:r>
              <w:t>Európsky parlament</w:t>
            </w:r>
          </w:p>
          <w:p w:rsidR="00C9667F" w:rsidRDefault="00AA538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667F" w:rsidRDefault="00AA5389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67F" w:rsidRDefault="00C9667F">
      <w:pPr>
        <w:pStyle w:val="LineTop"/>
      </w:pPr>
    </w:p>
    <w:p w:rsidR="00C9667F" w:rsidRDefault="00AA5389">
      <w:pPr>
        <w:pStyle w:val="EPBodyTA1"/>
      </w:pPr>
      <w:r>
        <w:t>PRIJATÉ TEXTY</w:t>
      </w:r>
    </w:p>
    <w:p w:rsidR="00C9667F" w:rsidRDefault="00C9667F">
      <w:pPr>
        <w:pStyle w:val="LineBottom"/>
      </w:pPr>
    </w:p>
    <w:p w:rsidR="00C9667F" w:rsidRDefault="00AA5389">
      <w:pPr>
        <w:pStyle w:val="ATHeading1"/>
      </w:pPr>
      <w:bookmarkStart w:id="0" w:name="TANumber"/>
      <w:r>
        <w:t>P9_TA(2024)0</w:t>
      </w:r>
      <w:bookmarkEnd w:id="0"/>
      <w:r>
        <w:t>012</w:t>
      </w:r>
    </w:p>
    <w:p w:rsidR="00C9667F" w:rsidRDefault="00AA5389">
      <w:pPr>
        <w:pStyle w:val="ATHeading2"/>
      </w:pPr>
      <w:bookmarkStart w:id="1" w:name="title"/>
      <w:r>
        <w:t>Banková únia – výročná správa za rok 2023</w:t>
      </w:r>
      <w:bookmarkEnd w:id="1"/>
    </w:p>
    <w:p w:rsidR="00C9667F" w:rsidRDefault="00AA5389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A9-0431/2023</w:instrText>
      </w:r>
      <w:bookmarkEnd w:id="2"/>
      <w:r>
        <w:rPr>
          <w:i/>
        </w:rPr>
        <w:instrText xml:space="preserve"> - Spravodajca: Ivars Ijabs)"\l3 \n&gt; \* MERGEFORMAT </w:instrText>
      </w:r>
      <w:r>
        <w:rPr>
          <w:i/>
        </w:rPr>
        <w:fldChar w:fldCharType="end"/>
      </w:r>
    </w:p>
    <w:p w:rsidR="00C9667F" w:rsidRDefault="00AA5389">
      <w:pPr>
        <w:rPr>
          <w:vanish/>
        </w:rPr>
      </w:pPr>
      <w:bookmarkStart w:id="3" w:name="Commission"/>
      <w:r>
        <w:rPr>
          <w:vanish/>
        </w:rPr>
        <w:t>Výbor pre hospodárske a menové veci</w:t>
      </w:r>
      <w:bookmarkEnd w:id="3"/>
    </w:p>
    <w:p w:rsidR="00C9667F" w:rsidRDefault="00AA5389">
      <w:pPr>
        <w:rPr>
          <w:vanish/>
        </w:rPr>
      </w:pPr>
      <w:bookmarkStart w:id="4" w:name="PE"/>
      <w:r>
        <w:rPr>
          <w:vanish/>
        </w:rPr>
        <w:t>PE752.739</w:t>
      </w:r>
      <w:bookmarkEnd w:id="4"/>
    </w:p>
    <w:p w:rsidR="00C9667F" w:rsidRDefault="00AA5389">
      <w:pPr>
        <w:pStyle w:val="ATHeading3"/>
      </w:pPr>
      <w:bookmarkStart w:id="5" w:name="Sujet"/>
      <w:r>
        <w:t>Uznesenie Európskeho parlamentu</w:t>
      </w:r>
      <w:r>
        <w:t xml:space="preserve"> zo 16. januára 2024 o bankovej únii – výročná správa za rok 2023</w:t>
      </w:r>
      <w:bookmarkEnd w:id="5"/>
      <w:r>
        <w:t xml:space="preserve"> </w:t>
      </w:r>
      <w:bookmarkStart w:id="6" w:name="References"/>
      <w:r>
        <w:t>(2023/2078(INI))</w:t>
      </w:r>
      <w:bookmarkEnd w:id="6"/>
    </w:p>
    <w:p w:rsidR="00C9667F" w:rsidRDefault="00AA5389"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 w:rsidR="00C9667F" w:rsidRDefault="00AA5389">
      <w:pPr>
        <w:pStyle w:val="NormalHanging12a"/>
      </w:pPr>
      <w:r>
        <w:t>–</w:t>
      </w:r>
      <w:r>
        <w:tab/>
        <w:t>so zreteľom na svoje uznesenie z 11. júla 2023 o bankovej únii – výročná správa za rok 2022</w:t>
      </w:r>
      <w:r>
        <w:rPr>
          <w:rStyle w:val="FootnoteReference"/>
        </w:rPr>
        <w:footnoteReference w:id="1"/>
      </w:r>
      <w:r>
        <w:t>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opatrenia Komisie prijaté v nadväznosti </w:t>
      </w:r>
      <w:r>
        <w:t>na uznesenie Európskeho parlamentu z 11. júla 2023 o bankovej únii – výročná správa za rok 2022,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publikáciu Európskej centrálnej banky s názvom </w:t>
      </w:r>
      <w:r>
        <w:rPr>
          <w:i/>
          <w:iCs/>
        </w:rPr>
        <w:t xml:space="preserve">Feedback on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input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provided</w:t>
      </w:r>
      <w:proofErr w:type="spellEnd"/>
      <w:r>
        <w:rPr>
          <w:i/>
          <w:iCs/>
        </w:rPr>
        <w:t xml:space="preserve"> by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Parliament</w:t>
      </w:r>
      <w:proofErr w:type="spellEnd"/>
      <w:r>
        <w:rPr>
          <w:i/>
          <w:iCs/>
        </w:rPr>
        <w:t xml:space="preserve"> as part of </w:t>
      </w:r>
      <w:proofErr w:type="spellStart"/>
      <w:r>
        <w:rPr>
          <w:i/>
          <w:iCs/>
        </w:rPr>
        <w:t>its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resolution</w:t>
      </w:r>
      <w:proofErr w:type="spellEnd"/>
      <w:r>
        <w:rPr>
          <w:i/>
          <w:iCs/>
        </w:rPr>
        <w:t xml:space="preserve"> on Banking </w:t>
      </w:r>
      <w:proofErr w:type="spellStart"/>
      <w:r>
        <w:rPr>
          <w:i/>
          <w:iCs/>
        </w:rPr>
        <w:t>Union</w:t>
      </w:r>
      <w:proofErr w:type="spellEnd"/>
      <w:r>
        <w:rPr>
          <w:i/>
          <w:iCs/>
        </w:rPr>
        <w:t> 2022</w:t>
      </w:r>
      <w:r>
        <w:t xml:space="preserve"> (Spätná väzba k príspevku, ktorý poskytol Európsky parlament v rámci svojho uznesenia o bankovej únii 2022), uverejnenú 20. októbra 2023,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výročnú správu Európskej centrálnej banky (ďalej len „ECB“) o činnostiach dohľadu za rok </w:t>
      </w:r>
      <w:r>
        <w:t>2022 z 21. marca 2023,</w:t>
      </w:r>
    </w:p>
    <w:p w:rsidR="00C9667F" w:rsidRDefault="00AA5389">
      <w:pPr>
        <w:pStyle w:val="NormalHanging12a"/>
      </w:pPr>
      <w:r>
        <w:t>–</w:t>
      </w:r>
      <w:r>
        <w:tab/>
        <w:t>so zreteľom na výročnú správu Jednotnej rady pre riešenie krízových situácií (ďalej len „SRB“) za rok 2022 z 30. júna 2023,</w:t>
      </w:r>
    </w:p>
    <w:p w:rsidR="00C9667F" w:rsidRDefault="00AA5389">
      <w:pPr>
        <w:pStyle w:val="NormalHanging12a"/>
      </w:pPr>
      <w:r>
        <w:t>–</w:t>
      </w:r>
      <w:r>
        <w:tab/>
        <w:t>so zreteľom na návrh Komisie z 24. novembra 2015 na nariadenie Európskeho parlamentu a Rady, ktorým sa me</w:t>
      </w:r>
      <w:r>
        <w:t>ní nariadenie (EÚ) č. 806/2014 s cieľom zriadiť európsky systém ochrany vkladov (COM(2015)0586),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návrh Komisie zo 14. marca 2018 na smernicu Európskeho parlamentu a Rady o správcoch úverov, nákupcoch úverov a vymáhaní </w:t>
      </w:r>
      <w:proofErr w:type="spellStart"/>
      <w:r>
        <w:t>kolaterálu</w:t>
      </w:r>
      <w:proofErr w:type="spellEnd"/>
      <w:r>
        <w:t xml:space="preserve"> (COM(2018)0</w:t>
      </w:r>
      <w:r>
        <w:t>135),</w:t>
      </w:r>
    </w:p>
    <w:p w:rsidR="00C9667F" w:rsidRDefault="00AA5389">
      <w:pPr>
        <w:pStyle w:val="NormalHanging12a"/>
      </w:pPr>
      <w:r>
        <w:t>–</w:t>
      </w:r>
      <w:r>
        <w:tab/>
        <w:t>so zreteľom na tlačovú správu Rady zo 7. decembra 2022 s názvom Boj proti praniu špinavých peňazí: Rada sa dohodla na pozícii k posilnenému súboru pravidiel,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tlačovú správu Rady z 27. júna 2023 s názvom Bankový sektor: </w:t>
      </w:r>
      <w:r>
        <w:lastRenderedPageBreak/>
        <w:t>predbežná do</w:t>
      </w:r>
      <w:r>
        <w:t>hoda o vykonávaní reforiem Bazilej III,</w:t>
      </w:r>
    </w:p>
    <w:p w:rsidR="00C9667F" w:rsidRDefault="00AA5389">
      <w:pPr>
        <w:pStyle w:val="NormalHanging12a"/>
      </w:pPr>
      <w:r>
        <w:t>–</w:t>
      </w:r>
      <w:r>
        <w:tab/>
        <w:t>so zreteľom na návrh Komisie z 18. apríla 2023 na nariadenie Európskeho parlamentu a Rady, ktorým sa mení nariadenie (EÚ) č. 806/2014, pokiaľ ide o opatrenia včasnej intervencie, podmienky pre riešenie krízových si</w:t>
      </w:r>
      <w:r>
        <w:t>tuácií a financovanie opatrení na riešenie krízových situácií (COM(2023)0</w:t>
      </w:r>
      <w:r>
        <w:t>226),</w:t>
      </w:r>
    </w:p>
    <w:p w:rsidR="00C9667F" w:rsidRDefault="00AA5389">
      <w:pPr>
        <w:pStyle w:val="NormalHanging12a"/>
      </w:pPr>
      <w:r>
        <w:t>–</w:t>
      </w:r>
      <w:r>
        <w:tab/>
        <w:t>so zreteľom na návrh Komisie z 18. apríla 2023 na smernicu Európskeho parlamentu a Rady, ktorou sa mení smernica 59/2014/59/EÚ, pokiaľ ide o opatrenia včasnej intervencie, podm</w:t>
      </w:r>
      <w:r>
        <w:t>ienky riešenia krízových situácií a financovanie opatrení na riešenie krízových situácií (COM(2023)0</w:t>
      </w:r>
      <w:r>
        <w:t>227),</w:t>
      </w:r>
    </w:p>
    <w:p w:rsidR="00C9667F" w:rsidRDefault="00AA5389">
      <w:pPr>
        <w:pStyle w:val="NormalHanging12a"/>
      </w:pPr>
      <w:r>
        <w:t>–</w:t>
      </w:r>
      <w:r>
        <w:tab/>
        <w:t>so zreteľom na návrh Komisie z 18. apríla 2023 na smernicu Európskeho parlamentu a Rady, ktorou sa mení smernica 2014/49/EÚ, pokiaľ ide o rozsah ochr</w:t>
      </w:r>
      <w:r>
        <w:t>any vkladov, využívanie fondov systémov ochrany vkladov, cezhraničnú spoluprácu a transparentnosť (COM(2023)0228),</w:t>
      </w:r>
    </w:p>
    <w:p w:rsidR="00C9667F" w:rsidRDefault="00AA5389">
      <w:pPr>
        <w:pStyle w:val="NormalHanging12a"/>
      </w:pPr>
      <w:r>
        <w:t>–</w:t>
      </w:r>
      <w:r>
        <w:tab/>
        <w:t>so zreteľom na správu piatich predsedov z 22. júna 2015 s názvom Dobudovanie európskej hospodárskej a menovej únie,</w:t>
      </w:r>
    </w:p>
    <w:p w:rsidR="00C9667F" w:rsidRDefault="00AA5389">
      <w:pPr>
        <w:pStyle w:val="NormalHanging12a"/>
      </w:pPr>
      <w:r>
        <w:t>–</w:t>
      </w:r>
      <w:r>
        <w:tab/>
        <w:t>so zreteľom na vyhlás</w:t>
      </w:r>
      <w:r>
        <w:t xml:space="preserve">enie </w:t>
      </w:r>
      <w:proofErr w:type="spellStart"/>
      <w:r>
        <w:t>Euroskupiny</w:t>
      </w:r>
      <w:proofErr w:type="spellEnd"/>
      <w:r>
        <w:t xml:space="preserve"> zo 16. júna 2022 o budúcnosti bankovej únie,</w:t>
      </w:r>
    </w:p>
    <w:p w:rsidR="00C9667F" w:rsidRDefault="00AA5389">
      <w:pPr>
        <w:pStyle w:val="NormalHanging12a"/>
      </w:pPr>
      <w:r>
        <w:t>–</w:t>
      </w:r>
      <w:r>
        <w:tab/>
        <w:t>so zreteľom na normy Bazilejského výboru pre bankový dohľad o </w:t>
      </w:r>
      <w:proofErr w:type="spellStart"/>
      <w:r>
        <w:t>prudenciálnom</w:t>
      </w:r>
      <w:proofErr w:type="spellEnd"/>
      <w:r>
        <w:t xml:space="preserve"> zaobchádzaní s expozíciami voči </w:t>
      </w:r>
      <w:proofErr w:type="spellStart"/>
      <w:r>
        <w:t>kryptoaktívam</w:t>
      </w:r>
      <w:proofErr w:type="spellEnd"/>
      <w:r>
        <w:t xml:space="preserve"> uverejnené 16. decembra 2022,</w:t>
      </w:r>
    </w:p>
    <w:p w:rsidR="00C9667F" w:rsidRDefault="00AA5389">
      <w:pPr>
        <w:pStyle w:val="NormalHanging12a"/>
      </w:pPr>
      <w:r>
        <w:t>–</w:t>
      </w:r>
      <w:r>
        <w:tab/>
        <w:t>so zreteľom na oznámenie Komisie zo 16</w:t>
      </w:r>
      <w:r>
        <w:t>. decembra 2020 o riešení nesplácaných úverov v období po pandémii COVID-19 (COM(2020)0822),</w:t>
      </w:r>
    </w:p>
    <w:p w:rsidR="00C9667F" w:rsidRDefault="00AA5389">
      <w:pPr>
        <w:pStyle w:val="NormalHanging12a"/>
      </w:pPr>
      <w:r>
        <w:t>–</w:t>
      </w:r>
      <w:r>
        <w:tab/>
        <w:t>so zreteľom na odporúčanie ECB z 15. decembra 2020 o rozdeľovaní dividend počas pandémie ochorenia COVID-19,</w:t>
      </w:r>
    </w:p>
    <w:p w:rsidR="00C9667F" w:rsidRDefault="00AA5389">
      <w:pPr>
        <w:pStyle w:val="NormalHanging12a"/>
      </w:pPr>
      <w:r>
        <w:t>–</w:t>
      </w:r>
      <w:r>
        <w:tab/>
        <w:t>so zreteľom na sériu príležitostných správ ECB s n</w:t>
      </w:r>
      <w:r>
        <w:t>ázvom Cesta do Paríža: záťažové testovanie prechodu na emisne neutrálne hospodárstvo,</w:t>
      </w:r>
    </w:p>
    <w:p w:rsidR="00C9667F" w:rsidRDefault="00AA5389">
      <w:pPr>
        <w:pStyle w:val="NormalHanging12a"/>
      </w:pPr>
      <w:r>
        <w:t>–</w:t>
      </w:r>
      <w:r>
        <w:tab/>
        <w:t>so zreteľom na výsledok celoeurópskeho hodnotenia transparentnosti Európskeho orgánu pre bankovníctvo (ďalej len „EBA“) za rok 2023, ktoré bolo zverejnené 28. júla 2023</w:t>
      </w:r>
      <w:r>
        <w:t>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správu EBA o úlohe environmentálnych a sociálnych rizík v </w:t>
      </w:r>
      <w:proofErr w:type="spellStart"/>
      <w:r>
        <w:t>prudenciálnom</w:t>
      </w:r>
      <w:proofErr w:type="spellEnd"/>
      <w:r>
        <w:t xml:space="preserve"> rámci,</w:t>
      </w:r>
    </w:p>
    <w:p w:rsidR="00C9667F" w:rsidRDefault="00AA5389">
      <w:pPr>
        <w:pStyle w:val="NormalHanging12a"/>
      </w:pPr>
      <w:r>
        <w:t>–</w:t>
      </w:r>
      <w:r>
        <w:tab/>
        <w:t>so zreteľom na dokument ECB z mája 2023 o preskúmaní finančnej stability,</w:t>
      </w:r>
    </w:p>
    <w:p w:rsidR="00C9667F" w:rsidRDefault="00AA5389">
      <w:pPr>
        <w:pStyle w:val="NormalHanging12a"/>
      </w:pPr>
      <w:r>
        <w:t>–</w:t>
      </w:r>
      <w:r>
        <w:tab/>
        <w:t>so zreteľom na správu ECB z 12. decembra 2022 o jej prioritách v oblasti dohľadu</w:t>
      </w:r>
      <w:r>
        <w:t xml:space="preserve"> na obdobie 2023 – 2025,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správu Európskeho dvora audítorov z 12. mája 2023 s názvom Osobitná správa 12/2023: Dohľad EÚ nad úverovým rizikom bánk – ECB zintenzívnila svoje úsilie, ale na zvýšenie istoty, že úverové riziko je riadne riadené </w:t>
      </w:r>
      <w:r>
        <w:t>a kryté, treba viac,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vyhlásenia Andreu </w:t>
      </w:r>
      <w:proofErr w:type="spellStart"/>
      <w:r>
        <w:t>Enriu</w:t>
      </w:r>
      <w:proofErr w:type="spellEnd"/>
      <w:r>
        <w:t>, predsedu Rady pre dohľad ECB, na vypočutiach vo Výbore pre hospodárske a menové veci 21. marca 2023 a 28. júna 2023,</w:t>
      </w:r>
    </w:p>
    <w:p w:rsidR="00C9667F" w:rsidRDefault="00AA5389">
      <w:pPr>
        <w:pStyle w:val="NormalHanging12a"/>
      </w:pPr>
      <w:r>
        <w:lastRenderedPageBreak/>
        <w:t>–</w:t>
      </w:r>
      <w:r>
        <w:tab/>
        <w:t xml:space="preserve">so zreteľom na vyhlásenia z verejného vypočutia Výboru pre hospodárske </w:t>
      </w:r>
      <w:r>
        <w:t>a menové veci s kandidátom navrhnutým na funkciu predsedu Rady ECB pre dohľad 20. septembra 2023,</w:t>
      </w:r>
    </w:p>
    <w:p w:rsidR="00C9667F" w:rsidRDefault="00AA5389">
      <w:pPr>
        <w:pStyle w:val="NormalHanging12a"/>
      </w:pPr>
      <w:r>
        <w:t>–</w:t>
      </w:r>
      <w:r>
        <w:tab/>
        <w:t xml:space="preserve">so zreteľom na vyhlásenia </w:t>
      </w:r>
      <w:proofErr w:type="spellStart"/>
      <w:r>
        <w:t>Dominiqua</w:t>
      </w:r>
      <w:proofErr w:type="spellEnd"/>
      <w:r>
        <w:t xml:space="preserve"> </w:t>
      </w:r>
      <w:proofErr w:type="spellStart"/>
      <w:r>
        <w:t>Laboureixa</w:t>
      </w:r>
      <w:proofErr w:type="spellEnd"/>
      <w:r>
        <w:t>, predsedu SRB, na vypočutiach vo Výbore pre hospodárske a menové veci 1. marca 2023 a 18. júla 2023,</w:t>
      </w:r>
    </w:p>
    <w:p w:rsidR="00C9667F" w:rsidRDefault="00AA5389">
      <w:pPr>
        <w:pStyle w:val="NormalHanging12a"/>
      </w:pPr>
      <w:r>
        <w:t>–</w:t>
      </w:r>
      <w:r>
        <w:tab/>
        <w:t>so zre</w:t>
      </w:r>
      <w:r>
        <w:t xml:space="preserve">teľom na polročnú správu SRB pre </w:t>
      </w:r>
      <w:proofErr w:type="spellStart"/>
      <w:r>
        <w:t>Euroskupinu</w:t>
      </w:r>
      <w:proofErr w:type="spellEnd"/>
      <w:r>
        <w:t xml:space="preserve"> z 15. mája 2023,</w:t>
      </w:r>
    </w:p>
    <w:p w:rsidR="00C9667F" w:rsidRDefault="00AA5389">
      <w:pPr>
        <w:pStyle w:val="NormalHanging12a"/>
      </w:pPr>
      <w:r>
        <w:t>–</w:t>
      </w:r>
      <w:r>
        <w:tab/>
        <w:t>so zreteľom na spoločné vyhlásenie bankového dohľadu ECB, EBA a SRB z 20. marca 2023 k oznámeniu švajčiarskych orgánov z 19. marca 2023,</w:t>
      </w:r>
    </w:p>
    <w:p w:rsidR="00C9667F" w:rsidRDefault="00AA5389">
      <w:pPr>
        <w:pStyle w:val="NormalHanging12a"/>
      </w:pPr>
      <w:r>
        <w:t>–</w:t>
      </w:r>
      <w:r>
        <w:tab/>
        <w:t>so zreteľom na Memorandum o porozumení z 27. júna 202</w:t>
      </w:r>
      <w:r>
        <w:t>3, ktorým sa stanovuje rámec pre regulačnú spoluprácu v oblasti finančných služieb medzi Európskou úniou a Spojeným kráľovstvom Veľkej Británie a Severného Írska,</w:t>
      </w:r>
    </w:p>
    <w:p w:rsidR="00C9667F" w:rsidRDefault="00AA5389">
      <w:pPr>
        <w:pStyle w:val="NormalHanging12a"/>
      </w:pPr>
      <w:r>
        <w:t>–</w:t>
      </w:r>
      <w:r>
        <w:tab/>
        <w:t>so zreteľom na vyhlásenie o európskom systéme ochrany vkladov zo 7. decembra 2022 podpísané</w:t>
      </w:r>
      <w:r>
        <w:t xml:space="preserve"> predsedom Výboru Európskeho parlamentu pre hospodárske a menové veci a odsúhlasené koordinátormi šiestich politických skupín (Európskej ľudovej strany, Skupiny progresívnej aliancie socialistov a demokratov v Európskom parlamente, skupiny </w:t>
      </w:r>
      <w:proofErr w:type="spellStart"/>
      <w:r>
        <w:t>Renew</w:t>
      </w:r>
      <w:proofErr w:type="spellEnd"/>
      <w:r>
        <w:t xml:space="preserve"> </w:t>
      </w:r>
      <w:proofErr w:type="spellStart"/>
      <w:r>
        <w:t>Europe</w:t>
      </w:r>
      <w:proofErr w:type="spellEnd"/>
      <w:r>
        <w:t>, Sk</w:t>
      </w:r>
      <w:r>
        <w:t>upiny zelených/Európskej slobodnej aliancie, Európskych konzervatívcov a reformistov a Skupiny ľavice v Európskom parlamente – GUE/NG),</w:t>
      </w:r>
    </w:p>
    <w:p w:rsidR="00C9667F" w:rsidRDefault="00AA5389">
      <w:pPr>
        <w:pStyle w:val="NormalHanging12a"/>
      </w:pPr>
      <w:r>
        <w:t>–</w:t>
      </w:r>
      <w:r>
        <w:tab/>
        <w:t>so zreteľom na svoje uznesenie z 25. marca 2021 o posilnení medzinárodnej úlohy eura</w:t>
      </w:r>
      <w:r>
        <w:rPr>
          <w:rStyle w:val="FootnoteReference"/>
        </w:rPr>
        <w:footnoteReference w:id="2"/>
      </w:r>
      <w:r>
        <w:t>,</w:t>
      </w:r>
    </w:p>
    <w:p w:rsidR="00C9667F" w:rsidRDefault="00AA5389">
      <w:pPr>
        <w:pStyle w:val="NormalHanging12a"/>
      </w:pPr>
      <w:r>
        <w:t>–</w:t>
      </w:r>
      <w:r>
        <w:tab/>
        <w:t>so zreteľom na svoje uzneseni</w:t>
      </w:r>
      <w:r>
        <w:t>e zo 14. marca 2019 o rodovej rovnováhe pri navrhovaní kandidátov v oblasti hospodárskych a menových záležitostí EÚ</w:t>
      </w:r>
      <w:r>
        <w:rPr>
          <w:rStyle w:val="FootnoteReference"/>
        </w:rPr>
        <w:footnoteReference w:id="3"/>
      </w:r>
      <w:r>
        <w:t>,</w:t>
      </w:r>
    </w:p>
    <w:p w:rsidR="00C9667F" w:rsidRDefault="00AA5389">
      <w:pPr>
        <w:pStyle w:val="NormalHanging12a"/>
      </w:pPr>
      <w:r>
        <w:t>–</w:t>
      </w:r>
      <w:r>
        <w:tab/>
        <w:t>so zreteľom na článok 54 rokovacieho poriadku,</w:t>
      </w:r>
    </w:p>
    <w:p w:rsidR="00C9667F" w:rsidRDefault="00AA5389">
      <w:pPr>
        <w:pStyle w:val="NormalHanging12a"/>
      </w:pPr>
      <w:r>
        <w:t>–</w:t>
      </w:r>
      <w:r>
        <w:tab/>
        <w:t>so zreteľom na správu Výboru pre hospodárske a menové veci (A9-0431/2023),</w:t>
      </w:r>
    </w:p>
    <w:p w:rsidR="00C9667F" w:rsidRDefault="00AA5389">
      <w:pPr>
        <w:pStyle w:val="NormalHanging12a"/>
      </w:pPr>
      <w:r>
        <w:t>A.</w:t>
      </w:r>
      <w:r>
        <w:tab/>
        <w:t xml:space="preserve">keďže </w:t>
      </w:r>
      <w:r>
        <w:t>banková únia, ktorá v súčasnosti zahŕňa jednotný mechanizmus dohľadu, jednotný mechanizmus riešenia krízových situácií a jednotný súbor pravidiel ako jej základ, je neoddeliteľnou súčasťou finančnej stability Únie a v prípade neexistencie európskeho systém</w:t>
      </w:r>
      <w:r>
        <w:t>u ochrany vkladov (ďalej len „EDIS“) zaručuje vysoký minimálny štandard v oblasti ochrany vkladov;</w:t>
      </w:r>
    </w:p>
    <w:p w:rsidR="00C9667F" w:rsidRDefault="00AA5389">
      <w:pPr>
        <w:pStyle w:val="NormalHanging12a"/>
      </w:pPr>
      <w:r>
        <w:t>B.</w:t>
      </w:r>
      <w:r>
        <w:tab/>
        <w:t>keďže riešenie rizík vyplývajúcich z problému nadmernej koncentrácie prepojenia medzi štátom a bankou by poskytlo ďalšiu dôležitú stabilitu a bezpečnosť p</w:t>
      </w:r>
      <w:r>
        <w:t>re európsky bankový systém a klientov, ktorí ho využívajú;</w:t>
      </w:r>
    </w:p>
    <w:p w:rsidR="00C9667F" w:rsidRDefault="00AA5389">
      <w:pPr>
        <w:pStyle w:val="NormalHanging12a"/>
      </w:pPr>
      <w:r>
        <w:t>C.</w:t>
      </w:r>
      <w:r>
        <w:tab/>
        <w:t>keďže plne rozvinutá banková únia by bola pozitívnym vývojom pre občanov a hospodárstvo EÚ, pretože by poskytla základ pre stabilnejší bankový systém, zníženie systémového rizika, posilnenie hos</w:t>
      </w:r>
      <w:r>
        <w:t xml:space="preserve">podárskej súťaže, lepší výber pre spotrebiteľov a ich ochranu, väčšie možnosti cezhraničného bankovníctva a prístup k </w:t>
      </w:r>
      <w:proofErr w:type="spellStart"/>
      <w:r>
        <w:t>retailovým</w:t>
      </w:r>
      <w:proofErr w:type="spellEnd"/>
      <w:r>
        <w:t xml:space="preserve"> finančným službám, väčšie hospodárske investície, lepší prístup domácností a podnikov k financovaniu a nižšie náklady pre klien</w:t>
      </w:r>
      <w:r>
        <w:t xml:space="preserve">tov bánk, pričom by zabezpečila, že verejné </w:t>
      </w:r>
      <w:r>
        <w:lastRenderedPageBreak/>
        <w:t>prostriedky sa nebudú využívať na záchranu bankového sektora;</w:t>
      </w:r>
    </w:p>
    <w:p w:rsidR="00C9667F" w:rsidRDefault="00AA5389">
      <w:pPr>
        <w:pStyle w:val="NormalHanging12a"/>
      </w:pPr>
      <w:r>
        <w:t>D.</w:t>
      </w:r>
      <w:r>
        <w:tab/>
        <w:t>keďže banky EÚ odolávajú vplyvu ruskej agresie; keďže zohrávajú kľúčovú úlohu pri zabezpečovaní pokračujúceho vykonávania a dodržiavania sankcií, k</w:t>
      </w:r>
      <w:r>
        <w:t>toré uvalila EÚ voči Rusku v reakcii na inváziu; keďže na zamedzenie obchádzania sankcií je potrebná ďalšia koordinácia;</w:t>
      </w:r>
    </w:p>
    <w:p w:rsidR="00C9667F" w:rsidRDefault="00AA5389">
      <w:pPr>
        <w:pStyle w:val="NormalHanging12a"/>
      </w:pPr>
      <w:r>
        <w:t>E.</w:t>
      </w:r>
      <w:r>
        <w:tab/>
        <w:t xml:space="preserve">keďže zmena klímy, zhoršovanie životného prostredia a prechod na </w:t>
      </w:r>
      <w:proofErr w:type="spellStart"/>
      <w:r>
        <w:t>nízkouhlíkové</w:t>
      </w:r>
      <w:proofErr w:type="spellEnd"/>
      <w:r>
        <w:t xml:space="preserve"> hospodárstvo sú faktory, ktoré treba zohľadniť pri ho</w:t>
      </w:r>
      <w:r>
        <w:t>dnotení udržateľnosti súvah bánk ako zdroj rizika s potenciálnym dosahom na investície vo všetkých regiónoch a sektoroch;</w:t>
      </w:r>
    </w:p>
    <w:p w:rsidR="00C9667F" w:rsidRDefault="00AA5389">
      <w:pPr>
        <w:pStyle w:val="NormalHanging12a"/>
      </w:pPr>
      <w:r>
        <w:t>F.</w:t>
      </w:r>
      <w:r>
        <w:tab/>
        <w:t>keďže sa zatiaľ nepodarilo dosiahnuť dohodu o systéme EDIS; keďže na základe výziev Európskeho parlamentu navrhla Komisia reformu r</w:t>
      </w:r>
      <w:r>
        <w:t>ámca krízového riadenia a ochrany vkladov (ďalej len „CMDI“), pričom uznáva, že tento rámec by sa nemal považovať za náhradu systému EDIS;</w:t>
      </w:r>
    </w:p>
    <w:p w:rsidR="00C9667F" w:rsidRDefault="00AA5389">
      <w:pPr>
        <w:pStyle w:val="NormalHanging12a"/>
      </w:pPr>
      <w:r>
        <w:t>G.</w:t>
      </w:r>
      <w:r>
        <w:tab/>
        <w:t xml:space="preserve">keďže hoci v roku 2020 bola dosiahnutá politická dohoda o vytvorení zabezpečovacieho mechanizmu pre jednotný fond </w:t>
      </w:r>
      <w:r>
        <w:t>na riešenie krízových situácií, uvedený zabezpečovací mechanizmus stále chýba; keďže podľa najnovších dostupných údajov bolo 16 z 36 systémov ochrany vkladov v EÚ pod požadovanou (minimálnou) úrovňou financovania;</w:t>
      </w:r>
    </w:p>
    <w:p w:rsidR="00C9667F" w:rsidRDefault="00AA5389">
      <w:pPr>
        <w:pStyle w:val="NormalHanging12a"/>
      </w:pPr>
      <w:r>
        <w:t>H.</w:t>
      </w:r>
      <w:r>
        <w:tab/>
        <w:t>keďže nedostatočná cezhraničná konsolid</w:t>
      </w:r>
      <w:r>
        <w:t>ácia bankovníctva EÚ ovplyvňuje jeho svetovú konkurencieschopnosť a spotrebiteľskému bankovníctvu v niektorých členských štátoch stále dominuje malý počet bánk; keďže rozdiel v ziskovosti bánk EÚ a USA sa za posledné desaťročie prehĺbil a návratnosť vlastn</w:t>
      </w:r>
      <w:r>
        <w:t>ého kapitálu bánk v EÚ je o 5 bodov nižšia ako v prípade bánk v USA</w:t>
      </w:r>
      <w:r>
        <w:rPr>
          <w:rStyle w:val="FootnoteReference"/>
        </w:rPr>
        <w:footnoteReference w:id="4"/>
      </w:r>
      <w:r>
        <w:t>;</w:t>
      </w:r>
    </w:p>
    <w:p w:rsidR="00C9667F" w:rsidRDefault="00AA5389">
      <w:pPr>
        <w:pStyle w:val="NormalHanging12a"/>
      </w:pPr>
      <w:r>
        <w:t>I.</w:t>
      </w:r>
      <w:r>
        <w:tab/>
        <w:t>keďže bankový sektor EÚ vykazoval rastúcu ziskovosť, čiastočne v dôsledku vyšších úrokových sadzieb a v dôsledku vyšších vkladov ECB; keďže nárast úrokových sadzieb tiež viedol k zhor</w:t>
      </w:r>
      <w:r>
        <w:t>šeniu bilancie niektorých bánk v dôsledku nerealizovaných kapitálových strát;</w:t>
      </w:r>
    </w:p>
    <w:p w:rsidR="00C9667F" w:rsidRDefault="00AA5389">
      <w:pPr>
        <w:pStyle w:val="NormalHanging12a"/>
      </w:pPr>
      <w:r>
        <w:t>J.</w:t>
      </w:r>
      <w:r>
        <w:tab/>
        <w:t xml:space="preserve">keďže silné, stabilné, odolné, dynamické a konkurencieschopné bankovníctvo je nevyhnutné na hospodársky rast, financovanie malých a stredných podnikov (ďalej len „MSP“) a </w:t>
      </w:r>
      <w:proofErr w:type="spellStart"/>
      <w:r>
        <w:t>star</w:t>
      </w:r>
      <w:r>
        <w:t>tupov</w:t>
      </w:r>
      <w:proofErr w:type="spellEnd"/>
      <w:r>
        <w:t>, zvýšenie možnosti vlastníctva obytných nehnuteľností a naliehavý prechod na zelené a digitálne hospodárstvo;</w:t>
      </w:r>
    </w:p>
    <w:p w:rsidR="00C9667F" w:rsidRDefault="00AA5389">
      <w:pPr>
        <w:pStyle w:val="NormalHanging12a"/>
      </w:pPr>
      <w:r>
        <w:t>K.</w:t>
      </w:r>
      <w:r>
        <w:tab/>
        <w:t>keďže bankový sektor čelí rizikám v dôsledku pandémie a invázie, najmä v súvislosti so zhoršením kvality aktív; keďže hoci sa podiel nesp</w:t>
      </w:r>
      <w:r>
        <w:t>lácaných úverov (NPL) v prvom štvrťroku 2023 znížil na 2,24 % a od konca veľkej recesie neustále klesá, je potrebné ďalšie zníženie;</w:t>
      </w:r>
    </w:p>
    <w:p w:rsidR="00C9667F" w:rsidRDefault="00AA5389">
      <w:pPr>
        <w:pStyle w:val="NormalHanging12a"/>
      </w:pPr>
      <w:r>
        <w:t>L.</w:t>
      </w:r>
      <w:r>
        <w:tab/>
        <w:t xml:space="preserve">keďže zákonodarcovia EÚ rokovali o pravidlách vykonávania noriem Bazilej III tak, aby sa zachovala konkurencieschopnosť </w:t>
      </w:r>
      <w:r>
        <w:t>bánk a zohľadnili osobitosti bankovníctva EÚ;</w:t>
      </w:r>
    </w:p>
    <w:p w:rsidR="00C9667F" w:rsidRDefault="00AA5389">
      <w:pPr>
        <w:pStyle w:val="NormalHanging12a"/>
      </w:pPr>
      <w:r>
        <w:t>M.</w:t>
      </w:r>
      <w:r>
        <w:tab/>
        <w:t>keďže digitalizácia financií poskytuje bankovému sektoru významné príležitosti a priniesla významný technologický pokrok v bankovom sektore EÚ prostredníctvom vyššej efektívnosti pri poskytovaní bankových sl</w:t>
      </w:r>
      <w:r>
        <w:t xml:space="preserve">užieb a väčšieho záujmu o inovácie; </w:t>
      </w:r>
      <w:r>
        <w:lastRenderedPageBreak/>
        <w:t>keďže predstavuje aj výzvy, a to aj pokiaľ ide o ochranu údajov, riziká poškodenia dobrej povesti, boj proti praniu špinavých peňazí a obavy o ochranu spotrebiteľa;</w:t>
      </w:r>
    </w:p>
    <w:p w:rsidR="00C9667F" w:rsidRDefault="00AA5389">
      <w:pPr>
        <w:pStyle w:val="NormalHanging12a"/>
      </w:pPr>
      <w:r>
        <w:t>N.</w:t>
      </w:r>
      <w:r>
        <w:tab/>
        <w:t>keďže finančné inštitúcie sa čoraz viac spoliehajú n</w:t>
      </w:r>
      <w:r>
        <w:t>a využívanie informačných a komunikačných technológií (ďalej len „IKT“); keďže bankový sektor EÚ musí zvýšiť svoju kybernetickú odolnosť s cieľom zabezpečiť, aby systémy IKT dokázali odolávať rôznym druhom hrozieb v oblasti kybernetickej bezpečnosti;</w:t>
      </w:r>
    </w:p>
    <w:p w:rsidR="00C9667F" w:rsidRDefault="00AA5389">
      <w:pPr>
        <w:pStyle w:val="NormalHanging12a"/>
      </w:pPr>
      <w:r>
        <w:t>O.</w:t>
      </w:r>
      <w:r>
        <w:tab/>
        <w:t>ke</w:t>
      </w:r>
      <w:r>
        <w:t>ďže úroveň expozície voči štátnym dlhopisom vo viacerých bankách rástla; keďže riziká vyplývajúce z problému nadmernej koncentrácie prepojenia medzi bankami a štátmi treba riešiť;</w:t>
      </w:r>
    </w:p>
    <w:p w:rsidR="00C9667F" w:rsidRDefault="00AA5389">
      <w:pPr>
        <w:pStyle w:val="NormalHanging12a"/>
        <w:rPr>
          <w:b/>
          <w:i/>
        </w:rPr>
      </w:pPr>
      <w:r>
        <w:t>P.</w:t>
      </w:r>
      <w:r>
        <w:tab/>
        <w:t xml:space="preserve">keďže banková únia by mala pomôcť riešiť spojenie alebo prepojenie medzi </w:t>
      </w:r>
      <w:r>
        <w:t>bankami a štátom, ktoré naďalej pretrváva; keďže úroveň expozície voči štátnym dlhopisom vo viacerých bankách rástla; keďže obozretné zaobchádzanie so štátnym dlhom by malo byť v súlade s medzinárodnými normami;</w:t>
      </w:r>
    </w:p>
    <w:p w:rsidR="00C9667F" w:rsidRDefault="00AA5389">
      <w:pPr>
        <w:pStyle w:val="NormalHanging12a"/>
      </w:pPr>
      <w:r>
        <w:t>Q.</w:t>
      </w:r>
      <w:r>
        <w:tab/>
        <w:t>keďže zvýšenie úrokových sadzieb malo neg</w:t>
      </w:r>
      <w:r>
        <w:t>atívny vplyv na úverovú kapacitu domácností a schopnosť dlžníkov splácať dlh a spôsobuje zraniteľnosť bánk EÚ voči potenciálnym stratám v budúcnosti;</w:t>
      </w:r>
      <w:r>
        <w:rPr>
          <w:b/>
          <w:i/>
        </w:rPr>
        <w:t xml:space="preserve"> </w:t>
      </w:r>
      <w:r>
        <w:t>keďže riziká vyplývajúce zo zvýšenia úrokových sadzieb boli zatiaľ náležite riešené;</w:t>
      </w:r>
    </w:p>
    <w:p w:rsidR="00C9667F" w:rsidRDefault="00AA5389">
      <w:pPr>
        <w:pStyle w:val="NormalHanging12a"/>
      </w:pPr>
      <w:r>
        <w:t>R.</w:t>
      </w:r>
      <w:r>
        <w:tab/>
        <w:t>keďže dokončenie ún</w:t>
      </w:r>
      <w:r>
        <w:t>ie kapitálových trhov si vyžaduje vytvorenie spoločných pravidiel a účinných nástrojov na zníženie fragmentácie vnútorného trhu a uľahčenie prístupu k alternatívnemu financovaniu;</w:t>
      </w:r>
    </w:p>
    <w:p w:rsidR="00C9667F" w:rsidRDefault="00AA5389">
      <w:pPr>
        <w:pStyle w:val="NormalHanging12a"/>
      </w:pPr>
      <w:r>
        <w:t>S.</w:t>
      </w:r>
      <w:r>
        <w:tab/>
        <w:t>keďže EÚ a Spojené kráľovstvo podpísali memorandum o porozumení o spolupr</w:t>
      </w:r>
      <w:r>
        <w:t>áci v oblasti regulácie finančných služieb a tento kooperatívny prístup by mal byť základom dlhodobých vzťahov medzi EÚ a Spojeným kráľovstvom, najmä v oblasti bankovníctva; keďže Komisia znovu predĺžila dočasné povolenie, ktoré umožňuje bankám EÚ a správc</w:t>
      </w:r>
      <w:r>
        <w:t>om fondov využívať zúčtovacie strediská v Spojenom kráľovstve;</w:t>
      </w:r>
    </w:p>
    <w:p w:rsidR="00C9667F" w:rsidRDefault="00AA5389">
      <w:pPr>
        <w:spacing w:after="240"/>
        <w:ind w:left="567" w:hanging="567"/>
      </w:pPr>
      <w:r>
        <w:rPr>
          <w:rStyle w:val="BoldItalic"/>
        </w:rPr>
        <w:t>Všeobecné aspekty</w:t>
      </w:r>
    </w:p>
    <w:p w:rsidR="00C9667F" w:rsidRDefault="00AA5389">
      <w:pPr>
        <w:pStyle w:val="NormalHanging12a"/>
      </w:pPr>
      <w:r>
        <w:t>1.</w:t>
      </w:r>
      <w:r>
        <w:tab/>
        <w:t xml:space="preserve">odsudzuje agresiu Ruska proti Ukrajine a jej vplyv na ukrajinský ľud, na EÚ a ďalšie krajiny; vyzýva banky, aby naďalej prispôsobovali svoje strategické rozhodnutia novému </w:t>
      </w:r>
      <w:r>
        <w:t>európskemu a medzinárodnému kontextu vyplývajúcemu z tejto okolnosti, riešili systémové riziká a pokračovali vo vykonávaní a dodržiavaní finančných sankcií prijatých v reakcii na inváziu Ruska na Ukrajinu;</w:t>
      </w:r>
    </w:p>
    <w:p w:rsidR="00C9667F" w:rsidRDefault="00AA5389">
      <w:pPr>
        <w:pStyle w:val="NormalHanging12a"/>
      </w:pPr>
      <w:r>
        <w:t>2.</w:t>
      </w:r>
      <w:r>
        <w:tab/>
        <w:t>pripomína, že zatiaľ čo členské štáty sú zodpov</w:t>
      </w:r>
      <w:r>
        <w:t>edné za identifikáciu porušení sankcií EÚ, pri vykonávaní sankcií a monitorovaní ich dodržiavania má kľúčovú úlohu bankovníctvo; vyzýva Komisiu, aby na úrovni EÚ vytvorila databázu s cieľom podporiť koordináciu medzi bankami, odstrániť medzery vo vykonávan</w:t>
      </w:r>
      <w:r>
        <w:t>í sankcií členskými štátmi a posúdiť, ako vykonávajú sankcie banky EÚ; berie na vedomie pozíciu Európskeho parlamentu k návrhu nariadenia o Úrade pre boj proti praniu špinavých peňazí (AMLA), v ktorom sa nový úrad poveruje podporou konzistentného uplatňova</w:t>
      </w:r>
      <w:r>
        <w:t>nia cielených finančných sankcií EÚ;</w:t>
      </w:r>
    </w:p>
    <w:p w:rsidR="00C9667F" w:rsidRDefault="00AA5389">
      <w:pPr>
        <w:pStyle w:val="NormalHanging12a"/>
      </w:pPr>
      <w:r>
        <w:t>3.</w:t>
      </w:r>
      <w:r>
        <w:tab/>
        <w:t>konštatuje, že celkové priame expozície bankového sektora voči Rusku a Ukrajine sú obmedzené, keďže banky v súčasnosti svoje expozície znižujú, a vyzýva inštitúcie dohľadu a bankový dohľad ECB, aby pomohli ostatným b</w:t>
      </w:r>
      <w:r>
        <w:t xml:space="preserve">ankám EÚ pôsobiacim v </w:t>
      </w:r>
      <w:r>
        <w:lastRenderedPageBreak/>
        <w:t>Rusku riadne opustiť ruský trh;</w:t>
      </w:r>
    </w:p>
    <w:p w:rsidR="00C9667F" w:rsidRDefault="00AA5389">
      <w:pPr>
        <w:pStyle w:val="NormalHanging12a"/>
        <w:rPr>
          <w:b/>
          <w:i/>
        </w:rPr>
      </w:pPr>
      <w:r>
        <w:t>4.</w:t>
      </w:r>
      <w:r>
        <w:tab/>
        <w:t>zdôrazňuje, že banková únia je naďalej nevyhnutným doplnkom hospodárskej a menovej únie (HMÚ), a teda vnútorného trhu; pripomína, že kľúčovými cieľmi bankovej únie sú bezpečnosť bankového systému, oc</w:t>
      </w:r>
      <w:r>
        <w:t>hrana vkladateľov a predchádzanie zachraňovaniu bánk daňovníkmi; uznáva pokrok, ktorý sa dosiahol za posledných 15 rokov prostredníctvom vytvorenia jednotného mechanizmu dohľadu a jednotného mechanizmu riešenia krízových situácií, a to, že banky EÚ sú v sú</w:t>
      </w:r>
      <w:r>
        <w:t>časnosti schopné lepšie odolávať finančným otrasom; vyzýva na dokončenie bankovej únie a konštatuje, že jej tretí pilier, systém EDIS, je stále v štádiu riešenia;</w:t>
      </w:r>
    </w:p>
    <w:p w:rsidR="00C9667F" w:rsidRDefault="00AA5389">
      <w:pPr>
        <w:pStyle w:val="NormalHanging12a"/>
      </w:pPr>
      <w:r>
        <w:t>5.</w:t>
      </w:r>
      <w:r>
        <w:tab/>
        <w:t xml:space="preserve">žiada Komisiu, aby si pre zvyšok svojho súčasného mandátu a pre budúci mandát ako kľúčové </w:t>
      </w:r>
      <w:r>
        <w:t xml:space="preserve">priority ponechala dokončenie bankovej únie a únie kapitálových trhov; zdôrazňuje, že oba projekty: 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poskytujú domácnostiam a MSP, ktoré sú stále vo veľkej miere závislé od bankových úverov, širší prístup k financovaniu,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podporujú investície a tvorbu</w:t>
      </w:r>
      <w:r>
        <w:t xml:space="preserve"> pracovných miest,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podporujú európske hospodárstvo,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zvyšujú finančnú stabilitu,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znižujú vplyv hospodárskych poklesov,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 xml:space="preserve">financujú digitálnu transformáciu a prechod na udržateľné hospodárstvo a </w:t>
      </w:r>
    </w:p>
    <w:p w:rsidR="00C9667F" w:rsidRDefault="00AA5389">
      <w:pPr>
        <w:pStyle w:val="NormalHanging12a"/>
        <w:ind w:left="1134"/>
      </w:pPr>
      <w:r>
        <w:t xml:space="preserve">– </w:t>
      </w:r>
      <w:r>
        <w:tab/>
        <w:t>uvoľňujú potenciál rastu EÚ;</w:t>
      </w:r>
    </w:p>
    <w:p w:rsidR="00C9667F" w:rsidRDefault="00AA5389">
      <w:pPr>
        <w:pStyle w:val="NormalHanging12a"/>
      </w:pPr>
      <w:r>
        <w:t>6.</w:t>
      </w:r>
      <w:r>
        <w:tab/>
        <w:t xml:space="preserve">berie na vedomie </w:t>
      </w:r>
      <w:r>
        <w:t>vyhlásenie EBA z 13. júla 2023, v ktorom sa uvádza, že bankový sektor EÚ/EHP vykazuje rastúcu ziskovosť, ale hrozia riziká súvisiace s kvalitou aktív a ziskovosťou; berie na vedomie nedávne krátkodobé zvýšenie ziskovosti bánk EÚ (ročná návratnosť vlastného</w:t>
      </w:r>
      <w:r>
        <w:t xml:space="preserve"> kapitálu sa v druhom štvrťroku 2023 zvýšila na 10,04 %, zatiaľ čo v rovnakom období v roku 2022 dosahovala 7,59 %, čím dosiahla najvyššiu úroveň za 14 rokov</w:t>
      </w:r>
      <w:r>
        <w:rPr>
          <w:rStyle w:val="FootnoteReference"/>
        </w:rPr>
        <w:footnoteReference w:id="5"/>
      </w:r>
      <w:r>
        <w:t>), varuje však, že toto zvýšenie musí byť udržateľné, aby sa zabezpečila dlhodobá konkurencieschop</w:t>
      </w:r>
      <w:r>
        <w:t>nosť;</w:t>
      </w:r>
    </w:p>
    <w:p w:rsidR="00C9667F" w:rsidRDefault="00AA5389">
      <w:pPr>
        <w:pStyle w:val="NormalHanging12a"/>
      </w:pPr>
      <w:r>
        <w:t>7.</w:t>
      </w:r>
      <w:r>
        <w:tab/>
        <w:t xml:space="preserve">podporuje využívanie ziskov na vytváranie rezerv, čo chráni stabilitu finančného systému, a na financovanie európskeho hospodárstva; konštatuje, že dočasné pozastavenie vyplácania dividend a spätného výkupu akcií bolo účinné pri ochrane odolnosti </w:t>
      </w:r>
      <w:r>
        <w:t>bánk počas krízy spôsobenej ochorením COVID-19;</w:t>
      </w:r>
    </w:p>
    <w:p w:rsidR="00C9667F" w:rsidRDefault="00AA5389">
      <w:pPr>
        <w:pStyle w:val="NormalHanging12a"/>
      </w:pPr>
      <w:r>
        <w:t>8.</w:t>
      </w:r>
      <w:r>
        <w:tab/>
        <w:t>konštatuje, že prieskum bankových úverov v eurozóne za 2. štvrťrok 2023 ukázal, že banky ďalej sprísnili svoje úverové štandardy pre úvery firmám a domácnostiam na kúpy nehnuteľností z dôvodu vyššieho vním</w:t>
      </w:r>
      <w:r>
        <w:t>ania rizika, nižšej tolerancie voči riziku a zvýšených nákladov na financovanie a že banky tiež sprísnili podmienky poskytovania úverov v súvislosti s vyššou mierou obáv z nesplácaných úverov</w:t>
      </w:r>
      <w:r>
        <w:rPr>
          <w:vertAlign w:val="superscript"/>
        </w:rPr>
        <w:footnoteReference w:id="6"/>
      </w:r>
      <w:r>
        <w:t xml:space="preserve">; pripomína kľúčovú </w:t>
      </w:r>
      <w:r>
        <w:lastRenderedPageBreak/>
        <w:t>úlohu bankového sektora EÚ pri financovaní o</w:t>
      </w:r>
      <w:r>
        <w:t>živenia hospodárstva EÚ a domnieva sa, že oživenie bude závisieť aj od toho, či budú mať banky dostatok kapitálu na poskytovanie úverov, najmä po postupnom zrušení verejných podporných opatrení v členských štátoch;</w:t>
      </w:r>
    </w:p>
    <w:p w:rsidR="00C9667F" w:rsidRDefault="00AA5389">
      <w:pPr>
        <w:pStyle w:val="NormalHanging12a"/>
      </w:pPr>
      <w:r>
        <w:t>9.</w:t>
      </w:r>
      <w:r>
        <w:tab/>
        <w:t xml:space="preserve">vyzýva Komisiu, aby posúdila prekážky </w:t>
      </w:r>
      <w:r>
        <w:t xml:space="preserve">brániace cezhraničným zlúčeniam a splynutiam, ako aj možné stimuly pre oddelenie; berie na vedomie, že podľa verejného vyhlásenia predsedu Rady pre dohľad ECB Andreu </w:t>
      </w:r>
      <w:proofErr w:type="spellStart"/>
      <w:r>
        <w:t>Enriu</w:t>
      </w:r>
      <w:proofErr w:type="spellEnd"/>
      <w:r>
        <w:t xml:space="preserve"> je bankový sektor vo všeobecnosti stále súborom vnútroštátnych bankových sektorov; k</w:t>
      </w:r>
      <w:r>
        <w:t>onštatuje, že integrovanejší bankový sektor EÚ by mohol posilniť schopnosť bánk uskutočňovať strategické investície a podporiť rozvoj kapitálových trhov EÚ, pričom uznáva, že rozmanitosť bankových obchodných modelov v eurozóne zvyšuje odolnosť finančného s</w:t>
      </w:r>
      <w:r>
        <w:t>ystému; berie na vedomie riziká, ktoré by mohli predstavovať inštitúcie, ktoré sú „priveľké na to, aby zlyhali“, a konštatuje, že finančná stabilita by sa mohla zvýšiť reformou G-SIB EÚ, ktorou by sa riešili riziká morálneho hazardu; zdôrazňuje, že cezhran</w:t>
      </w:r>
      <w:r>
        <w:t>ičná konsolidácia bez nadmernej koncentrácie by mohla zvýšiť ziskovosť bankového sektora EÚ a potenciálne zlepšiť súčasnú situáciu, keď sa v mnohých členských štátoch obmedzuje ponuka služieb a zvyšujú sa náklady pre občanov;</w:t>
      </w:r>
    </w:p>
    <w:p w:rsidR="00C9667F" w:rsidRDefault="00AA5389">
      <w:pPr>
        <w:pStyle w:val="NormalHanging12a"/>
      </w:pPr>
      <w:r>
        <w:t>10.</w:t>
      </w:r>
      <w:r>
        <w:tab/>
        <w:t xml:space="preserve">berie na vedomie, že </w:t>
      </w:r>
      <w:proofErr w:type="spellStart"/>
      <w:r>
        <w:t>retai</w:t>
      </w:r>
      <w:r>
        <w:t>lovým</w:t>
      </w:r>
      <w:proofErr w:type="spellEnd"/>
      <w:r>
        <w:t xml:space="preserve"> bankovým službám v niektorých členských štátoch stále dominuje malý počet bánk, čo má za následok obmedzenie výberu pre spotrebiteľov </w:t>
      </w:r>
      <w:proofErr w:type="spellStart"/>
      <w:r>
        <w:t>retailových</w:t>
      </w:r>
      <w:proofErr w:type="spellEnd"/>
      <w:r>
        <w:t xml:space="preserve"> bankových služieb; domnieva sa, že integrovaná banková únia musí byť podmienená dobre fungujúcim jednotn</w:t>
      </w:r>
      <w:r>
        <w:t xml:space="preserve">ým trhom s </w:t>
      </w:r>
      <w:proofErr w:type="spellStart"/>
      <w:r>
        <w:t>retailovými</w:t>
      </w:r>
      <w:proofErr w:type="spellEnd"/>
      <w:r>
        <w:t xml:space="preserve"> finančnými službami; vyjadruje poľutovanie nad pretrvávajúcimi prekážkami cezhraničných </w:t>
      </w:r>
      <w:proofErr w:type="spellStart"/>
      <w:r>
        <w:t>retailových</w:t>
      </w:r>
      <w:proofErr w:type="spellEnd"/>
      <w:r>
        <w:t xml:space="preserve"> bankových služieb a vyzýva Komisiu, aby posúdila prekážky a bariéry, ktoré spotrebiteľom vznikajú pri využívaní produktov </w:t>
      </w:r>
      <w:proofErr w:type="spellStart"/>
      <w:r>
        <w:t>retailového</w:t>
      </w:r>
      <w:proofErr w:type="spellEnd"/>
      <w:r>
        <w:t xml:space="preserve"> bankovníctva; zdôrazňuje potenciál integrovanej bankovej únie zlepšiť hospodársku súťaž a výber pre spotrebiteľov v oblasti </w:t>
      </w:r>
      <w:proofErr w:type="spellStart"/>
      <w:r>
        <w:t>retailového</w:t>
      </w:r>
      <w:proofErr w:type="spellEnd"/>
      <w:r>
        <w:t xml:space="preserve"> bankovníctva, a to aj prostredníctvom lepších možností poskytovania cezhraničných </w:t>
      </w:r>
      <w:proofErr w:type="spellStart"/>
      <w:r>
        <w:t>retailových</w:t>
      </w:r>
      <w:proofErr w:type="spellEnd"/>
      <w:r>
        <w:t xml:space="preserve"> bankových služieb; zdôraz</w:t>
      </w:r>
      <w:r>
        <w:t>ňuje výhody diverzifikovaného a konkurencieschopného bankového sektora v EÚ;</w:t>
      </w:r>
    </w:p>
    <w:p w:rsidR="00C9667F" w:rsidRDefault="00AA5389">
      <w:pPr>
        <w:pStyle w:val="NormalHanging12a"/>
      </w:pPr>
      <w:r>
        <w:t>11.</w:t>
      </w:r>
      <w:r>
        <w:tab/>
        <w:t>zdôrazňuje, že úrokové sadzby ponúkané domácnostiam a MSP v členských štátoch sú veľmi rozdielne; naliehavo vyzýva inštitúcie a orgány EÚ, aby zvážili opatrenia na zlepšenie v</w:t>
      </w:r>
      <w:r>
        <w:t>ýberu pre spotrebiteľov a hospodárskej súťaže a zníženie zaťaženia držiteľov hypoték a MSP v členských štátoch s vyššími úverovými sadzbami s cieľom zabezpečiť, aby všetci občania a podniky mali prístup k veľmi potrebnému kapitálu za spravodlivé a konkuren</w:t>
      </w:r>
      <w:r>
        <w:t>cieschopné sadzby;</w:t>
      </w:r>
    </w:p>
    <w:p w:rsidR="00C9667F" w:rsidRDefault="00AA5389">
      <w:pPr>
        <w:pStyle w:val="NormalHanging12a"/>
      </w:pPr>
      <w:r>
        <w:t>12.</w:t>
      </w:r>
      <w:r>
        <w:tab/>
        <w:t>zdôrazňuje úlohu bankového sektora pri podpore prechodu na digitalizované a uhlíkovo neutrálne hospodárstvo, nasmerovaní finančných prostriedkov do obnoviteľných zdrojov energie a podpore dosiahnutia cieľov Európskej zelenej dohody a</w:t>
      </w:r>
      <w:r>
        <w:t xml:space="preserve"> európskeho právneho predpisu v oblasti klímy</w:t>
      </w:r>
      <w:r>
        <w:rPr>
          <w:rStyle w:val="FootnoteReference"/>
        </w:rPr>
        <w:footnoteReference w:id="7"/>
      </w:r>
      <w:r>
        <w:t>; berie na vedomie, že banky EÚ naďalej znižujú svoju expozíciu voči energeticky náročným podnikom a podnikom pôsobiacim v oblasti fosílnych palív, a berie na vedomie rôzne faktory, ktoré ovplyvňujú finančnú st</w:t>
      </w:r>
      <w:r>
        <w:t xml:space="preserve">abilitu, vrátane hodnoty aktív fosílnych palív; očakáva zverejnenie správ EBA o zásadných otázkach rizikovosti expozícií inštitúcií voči aktívam ESG a potenciálnych účinkoch upraveného </w:t>
      </w:r>
      <w:proofErr w:type="spellStart"/>
      <w:r>
        <w:t>prudenciálneho</w:t>
      </w:r>
      <w:proofErr w:type="spellEnd"/>
      <w:r>
        <w:t xml:space="preserve"> zaobchádzania s týmito expozíciami, ktoré majú byť </w:t>
      </w:r>
      <w:r>
        <w:lastRenderedPageBreak/>
        <w:t>zvere</w:t>
      </w:r>
      <w:r>
        <w:t>jnené do konca rokov 2024 a 2025;</w:t>
      </w:r>
    </w:p>
    <w:p w:rsidR="00C9667F" w:rsidRDefault="00AA5389">
      <w:pPr>
        <w:pStyle w:val="NormalHanging12a"/>
      </w:pPr>
      <w:r>
        <w:t>13.</w:t>
      </w:r>
      <w:r>
        <w:tab/>
        <w:t>vyjadruje poľutovanie nad tým, že finančné inštitúcie nezabezpečujú rodovú vyváženosť, najmä vo svojich riadiacich orgánoch; zdôrazňuje, že vyvážené zastúpenie mužov a žien vo vrcholových orgánoch a v pracovnej sile má</w:t>
      </w:r>
      <w:r>
        <w:t xml:space="preserve"> spoločenské aj hospodárske prínosy; vyzýva finančné inštitúcie, aby pravidelne aktualizovali svoje politiky rozmanitosti a začlenenia a pomáhali podporovať zdravé pracovné kultúry, ktoré uprednostňujú </w:t>
      </w:r>
      <w:proofErr w:type="spellStart"/>
      <w:r>
        <w:t>inkluzívnosť</w:t>
      </w:r>
      <w:proofErr w:type="spellEnd"/>
      <w:r>
        <w:t>; vyzýva orgány dohľadu, aby využili svoje</w:t>
      </w:r>
      <w:r>
        <w:t xml:space="preserve"> právomoci v oblasti dohľadu na riešenie nedostatočnej rozmanitosti a rodovej vyváženosti v riadiacich orgánoch finančných inštitúcií;</w:t>
      </w:r>
    </w:p>
    <w:p w:rsidR="00C9667F" w:rsidRDefault="00AA5389">
      <w:pPr>
        <w:pStyle w:val="NormalHanging12a"/>
      </w:pPr>
      <w:r>
        <w:t>14.</w:t>
      </w:r>
      <w:r>
        <w:tab/>
        <w:t>vyjadruje poľutovanie nad nedostatočnou rodovou rovnováhou v Rade guvernérov ECB, jej dozornej rade a rade SRB; vyzýv</w:t>
      </w:r>
      <w:r>
        <w:t xml:space="preserve">a subjekty, aby budúcimi menovaniami zabezpečili odstránenie tejto medzery; pripomína uznesenie Európskeho parlamentu zo 14. marca 2019, ktorého cieľom je zabezpečiť rodovú rovnováhu v nadchádzajúcom zozname kandidátov do funkcií v oblasti hospodárskych a </w:t>
      </w:r>
      <w:r>
        <w:t>menových záležitostí EÚ, a opakuje svoj záväzok nezohľadňovať zoznamy kandidátov, v prípade ktorých nebola dodržaná zásada rodovej vyváženosti;</w:t>
      </w:r>
    </w:p>
    <w:p w:rsidR="00C9667F" w:rsidRDefault="00AA5389">
      <w:pPr>
        <w:pStyle w:val="NormalHanging12a"/>
      </w:pPr>
      <w:r>
        <w:t>15.</w:t>
      </w:r>
      <w:r>
        <w:tab/>
        <w:t xml:space="preserve">vyjadruje poľutovanie nad tým, že ECB v rámci výberového konania na predsedu Rady pre dohľad ECB ignorovala </w:t>
      </w:r>
      <w:r>
        <w:t>pripomienky Európskeho parlamentu; vyzýva ECB, aby v nadchádzajúcich výberových konaniach náležite zohľadnila stanovisko Európskeho parlamentu;</w:t>
      </w:r>
    </w:p>
    <w:p w:rsidR="00C9667F" w:rsidRDefault="00AA5389">
      <w:pPr>
        <w:pStyle w:val="NormalHanging12a"/>
      </w:pPr>
      <w:r>
        <w:t>16.</w:t>
      </w:r>
      <w:r>
        <w:tab/>
        <w:t>konštatuje, že expozície bánk voči domácemu štátnemu dlhu sú v bankovej únii aj naďalej vysoké; pripomína, ž</w:t>
      </w:r>
      <w:r>
        <w:t>e jedným z hlavných cieľov bankovej únie je prerušiť prepojenie medzi bankovými a štátnymi rizikami; zdôrazňuje, že otázka regulačného zaobchádzania s vystaveniami voči štátnym dlhopisom si vyžaduje dôkladné preskúmanie v rámci medzinárodných fór a mala by</w:t>
      </w:r>
      <w:r>
        <w:t xml:space="preserve"> byť v súlade s medzinárodnými normami, a vyzýva Komisiu, aby to zohľadnila, keď sa bude touto otázkou zaoberať vo svojich budúcich návrhoch; zdieľa obavy EBA, že expozície voči štátnym dlhopisom sú pre banky EÚ významné a mohli by sa stať zdrojom potenciá</w:t>
      </w:r>
      <w:r>
        <w:t>lnej zraniteľnosti</w:t>
      </w:r>
      <w:r>
        <w:rPr>
          <w:vertAlign w:val="superscript"/>
        </w:rPr>
        <w:footnoteReference w:id="8"/>
      </w:r>
      <w:r>
        <w:t>;</w:t>
      </w:r>
    </w:p>
    <w:p w:rsidR="00C9667F" w:rsidRDefault="00AA5389">
      <w:pPr>
        <w:pStyle w:val="NormalHanging12a"/>
      </w:pPr>
      <w:r>
        <w:t>17.</w:t>
      </w:r>
      <w:r>
        <w:tab/>
        <w:t xml:space="preserve">zdôrazňuje, že vytvorenie bezpečných aktív EÚ by mohlo pomôcť zmierniť prepojenie medzi štátmi a domácimi bankovými sektormi; domnieva sa, že nástroj </w:t>
      </w:r>
      <w:proofErr w:type="spellStart"/>
      <w:r>
        <w:t>NextGenerationEU</w:t>
      </w:r>
      <w:proofErr w:type="spellEnd"/>
      <w:r>
        <w:t xml:space="preserve"> poskytuje vysokokvalitné európske aktíva s nízkym rizikom, ktoré</w:t>
      </w:r>
      <w:r>
        <w:t xml:space="preserve"> umožňujú obnoviť rovnováhu štátnych dlhopisov v súvahách bánk;</w:t>
      </w:r>
    </w:p>
    <w:p w:rsidR="00C9667F" w:rsidRDefault="00AA5389">
      <w:pPr>
        <w:pStyle w:val="NormalHanging12a"/>
        <w:spacing w:line="276" w:lineRule="auto"/>
        <w:ind w:left="0" w:firstLine="0"/>
        <w:rPr>
          <w:rStyle w:val="BoldItalic"/>
        </w:rPr>
      </w:pPr>
      <w:r>
        <w:rPr>
          <w:rStyle w:val="BoldItalic"/>
        </w:rPr>
        <w:t>Dohľad</w:t>
      </w:r>
    </w:p>
    <w:p w:rsidR="00C9667F" w:rsidRDefault="00AA5389">
      <w:pPr>
        <w:pStyle w:val="NormalHanging12a"/>
      </w:pPr>
      <w:r>
        <w:t>18.</w:t>
      </w:r>
      <w:r>
        <w:tab/>
        <w:t xml:space="preserve">konštatuje, že podiel vlastného kapitálu </w:t>
      </w:r>
      <w:proofErr w:type="spellStart"/>
      <w:r>
        <w:t>Tier</w:t>
      </w:r>
      <w:proofErr w:type="spellEnd"/>
      <w:r>
        <w:t xml:space="preserve"> 1 sa v druhom štvrťroku 2023 zvýšil na 15,72 % (zo 14,96 % v druhom štvrťroku 2022); vyjadruje poľutovanie nad poklesom ukazovateľa kry</w:t>
      </w:r>
      <w:r>
        <w:t>tia likvidity v druhom štvrťroku 2023 na 158,00 % (zo 164,36 % v druhom štvrťroku 2022)</w:t>
      </w:r>
      <w:r>
        <w:rPr>
          <w:rStyle w:val="FootnoteReference"/>
        </w:rPr>
        <w:footnoteReference w:id="9"/>
      </w:r>
      <w:r>
        <w:t>;</w:t>
      </w:r>
    </w:p>
    <w:p w:rsidR="00C9667F" w:rsidRDefault="00AA5389">
      <w:pPr>
        <w:pStyle w:val="NormalHanging12a"/>
      </w:pPr>
      <w:r>
        <w:t>19.</w:t>
      </w:r>
      <w:r>
        <w:tab/>
        <w:t>konštatuje, že podiel nesplácaných úverov sa ďalej znižoval, a vyzýva na ďalšie zníženie; pripomína, že zníženie rizika v bankovom sektore by prispelo k stabilnej</w:t>
      </w:r>
      <w:r>
        <w:t xml:space="preserve">šej, </w:t>
      </w:r>
      <w:r>
        <w:lastRenderedPageBreak/>
        <w:t>silnejšej a na hospodársky rast zameranej bankovej únii; vyzýva orgány dohľadu, aby monitorovali aj vývoj úverov v druhej fáze; konštatuje nedostatočný pokrok v súvislosti s návrhom smernice AECE, ktorej cieľom je poskytnúť bankám za určitých podmieno</w:t>
      </w:r>
      <w:r>
        <w:t>k mechanizmus na urýchlenie vymáhania hodnoty zabezpečených úverov prostredníctvom mimosúdneho vymáhania postupov s cieľom ďalej rozvíjať sekundárne trhy s nesplácanými úvermi; zdôrazňuje, že smernica o správcoch a nákupcoch úverov</w:t>
      </w:r>
      <w:r>
        <w:rPr>
          <w:rStyle w:val="FootnoteReference"/>
        </w:rPr>
        <w:footnoteReference w:id="10"/>
      </w:r>
      <w:r>
        <w:t xml:space="preserve"> zefektívnila sekundárny</w:t>
      </w:r>
      <w:r>
        <w:t xml:space="preserve"> trh s nesplácanými úvermi a zároveň zaviedla vysoké záruky pre dlžníkov; zdôrazňuje, že predaj nesplácaného úveru predstavuje druhé najlepšie riešenie v porovnaní s návratom úveru do stavu splácania;</w:t>
      </w:r>
    </w:p>
    <w:p w:rsidR="00C9667F" w:rsidRDefault="00AA5389">
      <w:pPr>
        <w:pStyle w:val="NormalHanging12a"/>
      </w:pPr>
      <w:r>
        <w:t>20.</w:t>
      </w:r>
      <w:r>
        <w:tab/>
        <w:t>berie na vedomie zhoršujúcu sa makroekonomickú situ</w:t>
      </w:r>
      <w:r>
        <w:t>áciu; upozorňuje, že banky EÚ by sa mali pripraviť na možné zhoršenie kvality aktív; zdôrazňuje preto význam obozretného riadenia rizík a primeranej tvorby rezerv; vyzýva Komisiu, ako aj vnútroštátne orgány dohľadu a orgány dohľadu EÚ, aby sa pripravili na</w:t>
      </w:r>
      <w:r>
        <w:t xml:space="preserve"> potenciálne zhoršenie kvality aktív;</w:t>
      </w:r>
    </w:p>
    <w:p w:rsidR="00C9667F" w:rsidRDefault="00AA5389">
      <w:pPr>
        <w:pStyle w:val="NormalHanging12a"/>
      </w:pPr>
      <w:r>
        <w:t>21.</w:t>
      </w:r>
      <w:r>
        <w:tab/>
        <w:t>konštatuje, že posledná séria zlyhaní bánk v USA a vo Švajčiarsku ukázala zraniteľnosť finančného systému najmä v týchto krajinách; zdôrazňuje, že na tomto pozadí zostáva kapitálová a likvidná situácia bánk EÚ naďa</w:t>
      </w:r>
      <w:r>
        <w:t>lej stabilná, čo dokazuje odolnosť bankovníctva EÚ; zdôrazňuje, že orgány dohľadu EÚ a vnútroštátne orgány dohľadu tieto riziká riešili, a víta výsledky záťažového testu v celej EÚ v roku 2023 a to, že banky EÚ by mohli odolať hospodárskemu poklesu;</w:t>
      </w:r>
    </w:p>
    <w:p w:rsidR="00C9667F" w:rsidRDefault="00AA5389">
      <w:pPr>
        <w:pStyle w:val="NormalHanging12a"/>
      </w:pPr>
      <w:r>
        <w:t>22.</w:t>
      </w:r>
      <w:r>
        <w:tab/>
        <w:t>vy</w:t>
      </w:r>
      <w:r>
        <w:t>zýva orgány dohľadu, aby naďalej posudzovali expozíciu bánk rizikám úrokových sadzieb vyplývajúcim z ďalších zmien výšky úrokových sadzieb; konštatuje, že vystavenie bánk úrokovému riziku závisí od ich štruktúry aktív a obchodného modelu, a očakáva posúden</w:t>
      </w:r>
      <w:r>
        <w:t>ie Komisie týkajúce sa regulačného rámca pre banky; je znepokojený značnou úrovňou štátneho dlhu v súvahách viacerých bánk v bankovej únii; zdôrazňuje, že otázka regulačného zaobchádzania s vystaveniami voči štátnym dlhopisom si vyžaduje dôkladné preskúman</w:t>
      </w:r>
      <w:r>
        <w:t>ie v rámci medzinárodných fór a mala by byť v súlade s medzinárodnými normami; pripomína, že jedným z hlavných cieľov bankovej únie je prerušiť prepojenie medzi bankovými a štátnymi rizikami;</w:t>
      </w:r>
    </w:p>
    <w:p w:rsidR="00C9667F" w:rsidRDefault="00AA5389">
      <w:pPr>
        <w:pStyle w:val="NormalHanging12a"/>
      </w:pPr>
      <w:r>
        <w:t>23.</w:t>
      </w:r>
      <w:r>
        <w:tab/>
        <w:t>pripomína, že v dokumente ECB o preskúmaní finančnej stabili</w:t>
      </w:r>
      <w:r>
        <w:t xml:space="preserve">ty na rok 2023 sa zdôrazňuje, že je dôležité zohľadniť zhoršenie bilancií bánk v súvislosti so zvyšovaním úrokových sadzieb, a zdôrazňuje, že </w:t>
      </w:r>
      <w:proofErr w:type="spellStart"/>
      <w:r>
        <w:t>makroprudenciálne</w:t>
      </w:r>
      <w:proofErr w:type="spellEnd"/>
      <w:r>
        <w:t xml:space="preserve"> orgány budú musieť postupne posilniť kapitálové opatrenia a/alebo opatrenia týkajúce sa dlžníkov</w:t>
      </w:r>
      <w:r>
        <w:t>;</w:t>
      </w:r>
    </w:p>
    <w:p w:rsidR="00C9667F" w:rsidRDefault="00AA5389">
      <w:pPr>
        <w:pStyle w:val="NormalHanging12a"/>
      </w:pPr>
      <w:r>
        <w:t>24.</w:t>
      </w:r>
      <w:r>
        <w:tab/>
        <w:t>vyzýva na ďalšiu harmonizáciu regulačného rámca EÚ tam, kde je to vhodné, podporu konvergencie medzi vnútroštátnymi orgánmi a využívanie dialógu o dohľade na posúdenie vývoja hrozieb pre bankovníctvo;</w:t>
      </w:r>
    </w:p>
    <w:p w:rsidR="00C9667F" w:rsidRDefault="00AA5389">
      <w:pPr>
        <w:pStyle w:val="NormalHanging12a"/>
      </w:pPr>
      <w:r>
        <w:t>25.</w:t>
      </w:r>
      <w:r>
        <w:tab/>
        <w:t xml:space="preserve">víta dohodu dosiahnutú na </w:t>
      </w:r>
      <w:proofErr w:type="spellStart"/>
      <w:r>
        <w:t>medziinštitucionálnej</w:t>
      </w:r>
      <w:proofErr w:type="spellEnd"/>
      <w:r>
        <w:t xml:space="preserve"> úrovni o vykonávaní noriem Bazilej III v EÚ; zdôrazňuje, že rámec prinesie rôzne úrovne zvýšenia </w:t>
      </w:r>
      <w:proofErr w:type="spellStart"/>
      <w:r>
        <w:t>prudenciálnych</w:t>
      </w:r>
      <w:proofErr w:type="spellEnd"/>
      <w:r>
        <w:t xml:space="preserve"> požiadaviek v závislosti od toho, do akej miery banky využívajú interné modely na výpočet svojich rizikových váh; zdôrazňu</w:t>
      </w:r>
      <w:r>
        <w:t xml:space="preserve">je, že nové pravidlá posilnili a lepšie špecifikovali proporcionalitu bankového dohľadu a budú ďalej zvyšovať finančnú stabilitu v EÚ; </w:t>
      </w:r>
      <w:r>
        <w:lastRenderedPageBreak/>
        <w:t>zdôrazňuje význam rovnakých podmienok pre všetky jurisdikcie;</w:t>
      </w:r>
    </w:p>
    <w:p w:rsidR="00C9667F" w:rsidRDefault="00AA5389">
      <w:pPr>
        <w:pStyle w:val="NormalHanging12a"/>
      </w:pPr>
      <w:r>
        <w:t>26.</w:t>
      </w:r>
      <w:r>
        <w:tab/>
        <w:t>berie na vedomie názory, ktoré vyjadrili EBA a ECB, pok</w:t>
      </w:r>
      <w:r>
        <w:t>iaľ ide o odchýlky od medzinárodnej dohody zavedené do nariadenia o kapitálových požiadavkách</w:t>
      </w:r>
      <w:r>
        <w:rPr>
          <w:rStyle w:val="FootnoteReference"/>
        </w:rPr>
        <w:footnoteReference w:id="11"/>
      </w:r>
      <w:r>
        <w:t>;</w:t>
      </w:r>
    </w:p>
    <w:p w:rsidR="00C9667F" w:rsidRDefault="00AA5389">
      <w:pPr>
        <w:pStyle w:val="NormalHanging12a"/>
      </w:pPr>
      <w:r>
        <w:t>27.</w:t>
      </w:r>
      <w:r>
        <w:tab/>
        <w:t xml:space="preserve">zdôrazňuje, že </w:t>
      </w:r>
      <w:proofErr w:type="spellStart"/>
      <w:r>
        <w:t>kryptoaktíva</w:t>
      </w:r>
      <w:proofErr w:type="spellEnd"/>
      <w:r>
        <w:t xml:space="preserve"> vytvárajú pre banky nové príležitosti a výzvy; konštatuje, že vykonávanie bazilejských noriem pre </w:t>
      </w:r>
      <w:proofErr w:type="spellStart"/>
      <w:r>
        <w:t>kryptoaktíva</w:t>
      </w:r>
      <w:proofErr w:type="spellEnd"/>
      <w:r>
        <w:t xml:space="preserve"> ešte stále nie je</w:t>
      </w:r>
      <w:r>
        <w:t xml:space="preserve"> vyriešené; víta prechodný režim, ktorý je už zahrnutý do súčasného preskúmania smernice o kapitálových požiadavkách</w:t>
      </w:r>
      <w:r>
        <w:rPr>
          <w:rStyle w:val="FootnoteReference"/>
        </w:rPr>
        <w:footnoteReference w:id="12"/>
      </w:r>
      <w:r>
        <w:t xml:space="preserve"> a nariadenia o kapitálových požiadavkách; očakáva legislatívny návrh Komisie do 30. júna 2025, ktorým sa zavedie osobitný </w:t>
      </w:r>
      <w:proofErr w:type="spellStart"/>
      <w:r>
        <w:t>prudenciálny</w:t>
      </w:r>
      <w:proofErr w:type="spellEnd"/>
      <w:r>
        <w:t xml:space="preserve"> rež</w:t>
      </w:r>
      <w:r>
        <w:t xml:space="preserve">im pre expozície voči </w:t>
      </w:r>
      <w:proofErr w:type="spellStart"/>
      <w:r>
        <w:t>kryptoaktívam</w:t>
      </w:r>
      <w:proofErr w:type="spellEnd"/>
      <w:r>
        <w:t xml:space="preserve"> so zohľadnením bazilejských noriem;</w:t>
      </w:r>
    </w:p>
    <w:p w:rsidR="00C9667F" w:rsidRDefault="00AA5389">
      <w:pPr>
        <w:pStyle w:val="NormalHanging12a"/>
      </w:pPr>
      <w:r>
        <w:t>28.</w:t>
      </w:r>
      <w:r>
        <w:tab/>
        <w:t>konštatuje, že sektor nebankových finančných sprostredkovateľov naďalej rastie; zdôrazňuje, že je potrebné zvýšiť odolnosť nebankových finančných sprostredkovateľov a stanoviť rovn</w:t>
      </w:r>
      <w:r>
        <w:t>aké podmienky s bankovým sektorom, a to aj navrhnutím osobitných regulačných nástrojov a nástrojov dohľadu na predchádzanie krízam likvidity; víta správu MMF o svetovej finančnej stabilite uverejnenú v apríli 2023, ktorá identifikuje možné zdroje rizík pre</w:t>
      </w:r>
      <w:r>
        <w:t xml:space="preserve"> finančný sektor; upozorňuje, že prepojenie nebankových finančných inštitúcií s bankami zvyšuje riziko prenosu ťažkostí z jednej z týchto dvoch inštitúcií na druhú;</w:t>
      </w:r>
    </w:p>
    <w:p w:rsidR="00C9667F" w:rsidRDefault="00AA5389">
      <w:pPr>
        <w:pStyle w:val="NormalHanging12a"/>
      </w:pPr>
      <w:r>
        <w:t>29.</w:t>
      </w:r>
      <w:r>
        <w:tab/>
        <w:t xml:space="preserve">zdôrazňuje, že je dôležité spojiť ďalšiu integráciu s primeranými zárukami na riešenie </w:t>
      </w:r>
      <w:r>
        <w:t>otázok domovského a hostiteľského štátu primeraným a dôveryhodným spôsobom;</w:t>
      </w:r>
    </w:p>
    <w:p w:rsidR="00C9667F" w:rsidRDefault="00AA5389">
      <w:pPr>
        <w:pStyle w:val="NormalHanging12a"/>
      </w:pPr>
      <w:r>
        <w:t>30.</w:t>
      </w:r>
      <w:r>
        <w:tab/>
        <w:t>berie na vedomie zahrnutie finančných rizík súvisiacich s klímou a prírodou do priorít dohľadu ECB na nadchádzajúce roky; okrem iného víta druhý klimatický záťažový test ECB, k</w:t>
      </w:r>
      <w:r>
        <w:t>torý sa uskutoční v septembri 2023; berie na vedomie závery série príležitostných správ ECB č. 328 s názvom Cesta do Paríža: záťažové testovanie prechodu na emisne neutrálne hospodárstvo, keďže podľa nich najlepším spôsobom, ako dosiahnuť nulovú čistú ekon</w:t>
      </w:r>
      <w:r>
        <w:t>omiku pre firmy, domácnosti a banky v eurozóne, je urýchliť zelenú transformáciu na rýchlejšie tempo ako pri súčasných politikách; konštatuje, že ECB vo svojich postupoch dohľadu zohľadňuje finančné riziká súvisiace s klímou a prírodou a pozorne sleduje ra</w:t>
      </w:r>
      <w:r>
        <w:t>stúce fyzické riziká a riziká súvisiace s transformáciou;</w:t>
      </w:r>
    </w:p>
    <w:p w:rsidR="00C9667F" w:rsidRDefault="00AA5389">
      <w:pPr>
        <w:pStyle w:val="NormalHanging12a"/>
      </w:pPr>
      <w:r>
        <w:t>31.</w:t>
      </w:r>
      <w:r>
        <w:tab/>
        <w:t>berie na vedomie návrh Komisie o transparentnosti, porovnateľnosti a kvalite ratingov ESG; poznamenáva, že EBA odporúča, aby externé hodnotenia úverov zahŕňali environmentálne a/alebo sociálne f</w:t>
      </w:r>
      <w:r>
        <w:t>aktory ako faktory úverového rizika vždy, keď je to relevantné;</w:t>
      </w:r>
    </w:p>
    <w:p w:rsidR="00C9667F" w:rsidRDefault="00AA5389">
      <w:pPr>
        <w:pStyle w:val="NormalHanging12a"/>
        <w:rPr>
          <w:rStyle w:val="BoldItalic"/>
        </w:rPr>
      </w:pPr>
      <w:r>
        <w:rPr>
          <w:rStyle w:val="BoldItalic"/>
        </w:rPr>
        <w:t>Posudzovanie riešení krízových situácií</w:t>
      </w:r>
    </w:p>
    <w:p w:rsidR="00C9667F" w:rsidRDefault="00AA5389">
      <w:pPr>
        <w:pStyle w:val="NormalHanging12a"/>
      </w:pPr>
      <w:r>
        <w:t>32.</w:t>
      </w:r>
      <w:r>
        <w:tab/>
        <w:t>víta prístupy SRB k prehĺbeniu posudzovania riešiteľnosti krízových situácií vypracovaním opatrení na kontrolu kvality plánov riešenia krízových sit</w:t>
      </w:r>
      <w:r>
        <w:t xml:space="preserve">uácií a </w:t>
      </w:r>
      <w:r>
        <w:lastRenderedPageBreak/>
        <w:t>posudzovaním možnosti realizovať tieto plány v krátkom čase; poukazuje na to, že aby plány na riešenie krízových situácií boli v plnom súlade s právnymi požiadavkami, musia zahŕňať komplexné posúdenie riešiteľnosti krízovej situácie každej banky vr</w:t>
      </w:r>
      <w:r>
        <w:t>átane posúdenia, či existujú významné prekážky riešiteľnosti krízovej situácie a spôsobov, ktorými možno takéto prekážky odstrániť, vrátane zmien v štruktúre a organizácii banky, ak je to potrebné;</w:t>
      </w:r>
    </w:p>
    <w:p w:rsidR="00C9667F" w:rsidRDefault="00AA5389">
      <w:pPr>
        <w:pStyle w:val="NormalHanging12a"/>
      </w:pPr>
      <w:r>
        <w:t>33.</w:t>
      </w:r>
      <w:r>
        <w:tab/>
        <w:t>víta, že banky v rámci pôsobnosti SRB celkovo dosiahli</w:t>
      </w:r>
      <w:r>
        <w:t xml:space="preserve"> dobrý pokrok smerom k riešiteľnosti krízových situácií a budovaniu kapacity na absorpciu strát; očakáva, že tento pozitívny trend bude pokračovať; pripomína, že dosiahnutie riešiteľnosti krízových situácií všetkých inštitúcií by nemalo byť „pohyblivým cie</w:t>
      </w:r>
      <w:r>
        <w:t>ľom“ a že všetky banky by mali byť plne riešiteľné do konca roka 2023; konštatuje, že všetky banky musia dosiahnuť ďalší pokrok;</w:t>
      </w:r>
    </w:p>
    <w:p w:rsidR="00C9667F" w:rsidRDefault="00AA5389">
      <w:pPr>
        <w:pStyle w:val="NormalHanging12a"/>
      </w:pPr>
      <w:r>
        <w:t>34.</w:t>
      </w:r>
      <w:r>
        <w:tab/>
        <w:t xml:space="preserve">víta rozhodnutie novej predsedníčky SRB vykonať komplexné strategické preskúmanie a predložiť nový akčný plán; vyzýva SRB, </w:t>
      </w:r>
      <w:r>
        <w:t>aby ďalej zlepšovala transparentnosť svojich rozhodnutí;</w:t>
      </w:r>
    </w:p>
    <w:p w:rsidR="00C9667F" w:rsidRDefault="00AA5389">
      <w:pPr>
        <w:pStyle w:val="NormalHanging12a"/>
      </w:pPr>
      <w:r>
        <w:t>35.</w:t>
      </w:r>
      <w:r>
        <w:tab/>
        <w:t xml:space="preserve">zdôrazňuje dôležitosť ochrany hierarchie veriteľov pri riešení krízových situácií bánk a </w:t>
      </w:r>
      <w:proofErr w:type="spellStart"/>
      <w:r>
        <w:t>insolvenčných</w:t>
      </w:r>
      <w:proofErr w:type="spellEnd"/>
      <w:r>
        <w:t xml:space="preserve"> konaní; víta vyhlásenie bankového dohľadu ECB, SRB a EBA, v ktorom sa zdôrazňuje, že nástroj</w:t>
      </w:r>
      <w:r>
        <w:t xml:space="preserve">e vlastného kapitálu v EÚ absorbujú straty a dodatočný kapitál </w:t>
      </w:r>
      <w:proofErr w:type="spellStart"/>
      <w:r>
        <w:t>Tier</w:t>
      </w:r>
      <w:proofErr w:type="spellEnd"/>
      <w:r>
        <w:t xml:space="preserve"> 1 sa môže odpísať len vtedy, ak bol plne využitý; pripomína, že je potrebné, ako to vyjadril predseda SRB, plne a úplne dodržiavať hierarchiu odpisov v prípade zlyhania banky;</w:t>
      </w:r>
    </w:p>
    <w:p w:rsidR="00C9667F" w:rsidRDefault="00AA5389">
      <w:pPr>
        <w:pStyle w:val="NormalHanging12a"/>
      </w:pPr>
      <w:r>
        <w:t>36.</w:t>
      </w:r>
      <w:r>
        <w:tab/>
        <w:t>konštatu</w:t>
      </w:r>
      <w:r>
        <w:t>je, že fosílne palivá sú hlavným prispievateľom k zrýchľovaniu zmeny klímy a že mnohé aktíva z fosílnych palív bude potrebné opustiť pred koncom ich ekonomickej životnosti, čím stratia celú svoju hodnotu a stanú sa uviaznutými aktívami;</w:t>
      </w:r>
    </w:p>
    <w:p w:rsidR="00C9667F" w:rsidRDefault="00AA5389">
      <w:pPr>
        <w:pStyle w:val="NormalHanging12a"/>
      </w:pPr>
      <w:r>
        <w:t>37.</w:t>
      </w:r>
      <w:r>
        <w:tab/>
        <w:t>berie na vedomi</w:t>
      </w:r>
      <w:r>
        <w:t xml:space="preserve">e návrh na reformu rámca CMDI na základe výziev Európskeho parlamentu; žiada, aby sa rozšíril rozsah pôsobnosti riešenia krízových situácií, objasnilo sa posúdenie verejného záujmu, chránili sa daňovníci pred nákladmi na zlyhanie bánk a obmedzil sa rozsah </w:t>
      </w:r>
      <w:r>
        <w:t>štátnej pomoci a zmiernili sa všetky opatrenia, ktoré by mohli spôsobiť nadmerný morálny hazard; vyzýva na rýchle a účinné prijatie preskúmania rámca CMDI;</w:t>
      </w:r>
    </w:p>
    <w:p w:rsidR="00C9667F" w:rsidRDefault="00AA5389">
      <w:pPr>
        <w:pStyle w:val="NormalHanging12a"/>
      </w:pPr>
      <w:r>
        <w:t>38.</w:t>
      </w:r>
      <w:r>
        <w:tab/>
        <w:t>poznamenáva, že banka v úpadku sa posiela do riešenia krízových situácií len vtedy, ak nemôže pr</w:t>
      </w:r>
      <w:r>
        <w:t>ejsť bežným konkurzným konaním bez toho, aby poškodila verejný záujem alebo spôsobila finančnú nestabilitu; konštatuje tiež, že návrhy na budúcu reformu zahŕňajú poskytnutie prístupu malým a stredným bankám s pozitívnym posúdením verejného záujmu k rámcu n</w:t>
      </w:r>
      <w:r>
        <w:t>a riešenie krízových situácií na úrovni EÚ za predpokladu, že spĺňajú podmienky na prístup k jednotnému fondu na riešenie krízových situácií;</w:t>
      </w:r>
    </w:p>
    <w:p w:rsidR="00C9667F" w:rsidRDefault="00AA5389">
      <w:pPr>
        <w:pStyle w:val="NormalHanging12a"/>
      </w:pPr>
      <w:r>
        <w:t>39.</w:t>
      </w:r>
      <w:r>
        <w:tab/>
        <w:t xml:space="preserve">zdôrazňuje úlohu SRB a záchranných sietí financovaných priemyslom pri ochrane daňovníkov, aby nemuseli platiť </w:t>
      </w:r>
      <w:r>
        <w:t>za záchranu pomocou vonkajších zdrojov; domnieva sa, že príspevky do záchranných sietí financovaných odvetvím sa musia vždy vypočítať úmerne riziku, ktoré inštitúcia predstavuje; vyjadruje poľutovanie nad tým, že napriek politickej dohode z novembra 2020 o</w:t>
      </w:r>
      <w:r>
        <w:t xml:space="preserve"> skoršom zavedení sa zatiaľ nezačal uplatňovať zabezpečovací mechanizmus jednotného fondu na riešenie krízových situácií (SRF), ktorý pozostáva z úverovej linky z Európskeho mechanizmu pre stabilitu, z dôvodu oneskorenia ratifikačného procesu dohody o zmen</w:t>
      </w:r>
      <w:r>
        <w:t xml:space="preserve">e Zmluvy, ktorou sa zriaďuje EMS; </w:t>
      </w:r>
      <w:r>
        <w:lastRenderedPageBreak/>
        <w:t>zdôrazňuje význam jednotného fondu na riešenie krízových situácií pre zabezpečenie spoľahlivého a dôveryhodného rámca krízového riadenia; žiada, aby všetky členské štáty v plnom rozsahu ratifikovali dohodu o zmene Zmluvy o</w:t>
      </w:r>
      <w:r>
        <w:t> EMS vrátane zriadenia spoločného zabezpečovacieho mechanizmu pre jednotný fond na riešenie krízových situácií;</w:t>
      </w:r>
    </w:p>
    <w:p w:rsidR="00C9667F" w:rsidRDefault="00AA5389">
      <w:pPr>
        <w:pStyle w:val="NormalHanging12a"/>
      </w:pPr>
      <w:r>
        <w:t>40.</w:t>
      </w:r>
      <w:r>
        <w:tab/>
        <w:t>pripomína, že banky musia po vykonaní rozhodnutia o riešení krízovej situácie naďalej plniť svoje záväzky a vykonávať svoje kľúčové funkcie;</w:t>
      </w:r>
      <w:r>
        <w:t xml:space="preserve"> vyjadruje znepokojenie, že banky by mohli čeliť nedostatku likvidity pri riešení krízových situácií bezprostredne po obnovení prístupu na trh; vyzýva inštitúcie EÚ, aby sa dohodli na riešení, ktoré by zabezpečilo dôveru a zvýšilo predvídateľnosť;</w:t>
      </w:r>
    </w:p>
    <w:p w:rsidR="00C9667F" w:rsidRDefault="00AA5389">
      <w:pPr>
        <w:pStyle w:val="NormalHanging12a"/>
        <w:rPr>
          <w:rStyle w:val="BoldItalic"/>
        </w:rPr>
      </w:pPr>
      <w:r>
        <w:rPr>
          <w:rStyle w:val="BoldItalic"/>
        </w:rPr>
        <w:t>Poisteni</w:t>
      </w:r>
      <w:r>
        <w:rPr>
          <w:rStyle w:val="BoldItalic"/>
        </w:rPr>
        <w:t>e vkladov</w:t>
      </w:r>
    </w:p>
    <w:p w:rsidR="00C9667F" w:rsidRDefault="00AA5389">
      <w:pPr>
        <w:pStyle w:val="NormalHanging12a"/>
      </w:pPr>
      <w:r>
        <w:t>41.</w:t>
      </w:r>
      <w:r>
        <w:tab/>
        <w:t xml:space="preserve">podporuje výzvy rokovacieho tímu Európskeho parlamentu pre systém EDIS a koordinátorov a predsedníčky výboru ECON uvedené vo vyhlásení zo 7. decembra 2022 na ambiciózne preskúmanie rámca CMDI, ktoré môže pomôcť prekonať prekážky brániace </w:t>
      </w:r>
      <w:r>
        <w:t>zavedeniu systému EDIS, a na obnovenie rokovaní o systéme EDIS; súhlasí s výzvou ECB na obnovenie prác na zavedení systému EDIS;</w:t>
      </w:r>
    </w:p>
    <w:p w:rsidR="00C9667F" w:rsidRDefault="00AA5389">
      <w:pPr>
        <w:pStyle w:val="NormalHanging12a"/>
      </w:pPr>
      <w:r>
        <w:t>42.</w:t>
      </w:r>
      <w:r>
        <w:tab/>
        <w:t xml:space="preserve">víta legislatívnu prácu na parlamentnej úrovni na návrhu systému EDIS, ktorá sa uskutočnila od vyhlásenia rokovacieho tímu </w:t>
      </w:r>
      <w:r>
        <w:t xml:space="preserve">Európskeho parlamentu pre systém EDIS z decembra 2022; pripomína záväzok Európskeho parlamentu pracovať na dosiahnutí dohody o systéme EDIS; vyzýva </w:t>
      </w:r>
      <w:proofErr w:type="spellStart"/>
      <w:r>
        <w:t>spoluzákonodarcov</w:t>
      </w:r>
      <w:proofErr w:type="spellEnd"/>
      <w:r>
        <w:t>, aby sa usilovali o vytvorenie realistického, dôveryhodného a spoľahlivého EDIS;</w:t>
      </w:r>
    </w:p>
    <w:p w:rsidR="00C9667F" w:rsidRDefault="00AA5389">
      <w:pPr>
        <w:widowControl/>
        <w:spacing w:after="240"/>
        <w:ind w:left="567" w:hanging="567"/>
      </w:pPr>
      <w:r>
        <w:t>43.</w:t>
      </w:r>
      <w:r>
        <w:tab/>
        <w:t xml:space="preserve">víta </w:t>
      </w:r>
      <w:r>
        <w:t>úsilie Komisie o objasnenie rozsahu ochrany vkladateľov a zvýšenie konvergencie reformou smernice 2014/49/EÚ o systémoch ochrany vkladov v rámci preskúmania rámca CMDI</w:t>
      </w:r>
      <w:r>
        <w:rPr>
          <w:vertAlign w:val="superscript"/>
        </w:rPr>
        <w:footnoteReference w:id="13"/>
      </w:r>
      <w:r>
        <w:t xml:space="preserve">; zdôrazňuje, že hoci preskúmanie rámca CMDI nemožno považovať za náhradu systému EDIS, </w:t>
      </w:r>
      <w:r>
        <w:t>harmonizovanejší rámec môže pomôcť prekonať prekážky brániace zavedeniu systému EDIS; zdôrazňuje význam rizikovej primeranosti príspevkov do systémov ochrany vkladov;</w:t>
      </w:r>
    </w:p>
    <w:p w:rsidR="00C9667F" w:rsidRDefault="00AA5389">
      <w:pPr>
        <w:pStyle w:val="NormalHanging12a"/>
      </w:pPr>
      <w:r>
        <w:t>44.</w:t>
      </w:r>
      <w:r>
        <w:tab/>
        <w:t>zdôrazňuje potrebu plnohodnotného systému EDIS s príspevkami založenými na riziku, kt</w:t>
      </w:r>
      <w:r>
        <w:t>orý umožní vzájomné znášanie strát; vyzýva na cielené posudzovanie kvality aktív bánk; odporúča začať združovaním likvidity a postupným vytvorením fondu EÚ;</w:t>
      </w:r>
    </w:p>
    <w:p w:rsidR="00C9667F" w:rsidRDefault="00AA5389">
      <w:pPr>
        <w:pStyle w:val="NormalHanging12a"/>
      </w:pPr>
      <w:r>
        <w:t>45.</w:t>
      </w:r>
      <w:r>
        <w:tab/>
        <w:t>požaduje, aby sa v rámci každého systému EDIS zohľadňovali systémy inštitucionálnej ochrany, a n</w:t>
      </w:r>
      <w:r>
        <w:t>ajmä ich účinok zmierňovania rizika, a zároveň sa zachovali rovnaké podmienky na jednotnom trhu;</w:t>
      </w:r>
    </w:p>
    <w:p w:rsidR="00C9667F" w:rsidRDefault="00AA5389">
      <w:pPr>
        <w:pStyle w:val="NormalHanging12a"/>
      </w:pPr>
      <w:r>
        <w:t>46.</w:t>
      </w:r>
      <w:bookmarkStart w:id="8" w:name="_GoBack"/>
      <w:bookmarkEnd w:id="8"/>
      <w:r>
        <w:tab/>
        <w:t>pripomína, že jedným z hlavných cieľov bankovej únie je prerušiť prepojenie medzi bankovými a štátnymi rizikami; konštatuje, že expozície bánk voči domácemu</w:t>
      </w:r>
      <w:r>
        <w:t xml:space="preserve"> štátnemu dlhu sú v bankovej únii aj naďalej vysoké; zdieľa obavy EBA, že expozície voči štátnym dlhopisom sú pre banky EÚ významné a mohli by sa stať zdrojom potenciálnej zraniteľnosti; zdôrazňuje, že otázka regulačného zaobchádzania s vystaveniami voči š</w:t>
      </w:r>
      <w:r>
        <w:t>tátnym dlhopisom musí byť v súlade s medzinárodnými normami, a vyzýva Komisiu, aby to zohľadnila, keď sa bude touto otázkou zaoberať vo svojich budúcich návrhoch;</w:t>
      </w:r>
    </w:p>
    <w:p w:rsidR="00C9667F" w:rsidRDefault="00AA5389">
      <w:pPr>
        <w:pStyle w:val="NormalHanging12a"/>
      </w:pPr>
      <w:r>
        <w:lastRenderedPageBreak/>
        <w:t>47.</w:t>
      </w:r>
      <w:r>
        <w:tab/>
        <w:t>víta významný pokrok v znižovaní rizika, ktorý sa dosiahol od roku 2015; na druhej strane</w:t>
      </w:r>
      <w:r>
        <w:t xml:space="preserve"> berie na vedomie obmedzený pokrok v oblasti rozdelenia rizika; zdôrazňuje však, že pre úspech bankovej únie je potrebné vhodné a efektívne znižovanie rizík;</w:t>
      </w:r>
    </w:p>
    <w:p w:rsidR="00C9667F" w:rsidRDefault="00AA5389">
      <w:pPr>
        <w:widowControl/>
        <w:spacing w:after="240"/>
        <w:jc w:val="center"/>
      </w:pPr>
      <w:r>
        <w:t>°</w:t>
      </w:r>
    </w:p>
    <w:p w:rsidR="00C9667F" w:rsidRDefault="00AA5389">
      <w:pPr>
        <w:widowControl/>
        <w:spacing w:after="240"/>
        <w:jc w:val="center"/>
      </w:pPr>
      <w:r>
        <w:t>°     °</w:t>
      </w:r>
    </w:p>
    <w:p w:rsidR="00C9667F" w:rsidRDefault="00AA5389">
      <w:pPr>
        <w:pStyle w:val="NormalHanging12a"/>
      </w:pPr>
      <w:r>
        <w:t>48.</w:t>
      </w:r>
      <w:r>
        <w:tab/>
        <w:t xml:space="preserve">poveruje svoju predsedníčku, aby postúpila toto uznesenie Rade, Komisii, Európskej </w:t>
      </w:r>
      <w:r>
        <w:t>centrálnej banke, Jednotnej rade pre riešenie krízových situácií a Európskemu orgánu pre bankovníctvo.</w:t>
      </w:r>
    </w:p>
    <w:p w:rsidR="00C9667F" w:rsidRDefault="00C9667F"/>
    <w:p w:rsidR="00C9667F" w:rsidRDefault="00C9667F">
      <w:bookmarkStart w:id="9" w:name="TextBodyEnd"/>
      <w:bookmarkEnd w:id="9"/>
    </w:p>
    <w:sectPr w:rsidR="00C966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67F" w:rsidRDefault="00AA5389">
      <w:r>
        <w:separator/>
      </w:r>
    </w:p>
  </w:endnote>
  <w:endnote w:type="continuationSeparator" w:id="0">
    <w:p w:rsidR="00C9667F" w:rsidRDefault="00AA5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67F" w:rsidRDefault="00AA5389">
      <w:r>
        <w:separator/>
      </w:r>
    </w:p>
  </w:footnote>
  <w:footnote w:type="continuationSeparator" w:id="0">
    <w:p w:rsidR="00C9667F" w:rsidRDefault="00AA5389">
      <w:r>
        <w:continuationSeparator/>
      </w:r>
    </w:p>
  </w:footnote>
  <w:footnote w:id="1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P9_TA(2023)0270.</w:t>
      </w:r>
    </w:p>
  </w:footnote>
  <w:footnote w:id="2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lang w:val="es-ES"/>
        </w:rPr>
        <w:t>Ú. v. EÚ C 494, 8.12.2021, s. 118</w:t>
      </w:r>
      <w:r>
        <w:rPr>
          <w:lang w:val="es-ES"/>
        </w:rPr>
        <w:t>.</w:t>
      </w:r>
    </w:p>
  </w:footnote>
  <w:footnote w:id="3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lang w:val="es-ES"/>
        </w:rPr>
        <w:t>Ú. v. EÚ C 23, 21.1.2021, s. 105.</w:t>
      </w:r>
    </w:p>
  </w:footnote>
  <w:footnote w:id="4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De Vito, L. et al., </w:t>
      </w:r>
      <w:hyperlink r:id="rId1" w:history="1">
        <w:proofErr w:type="spellStart"/>
        <w:r>
          <w:rPr>
            <w:rStyle w:val="Hyperlink"/>
            <w:i/>
            <w:sz w:val="24"/>
            <w:lang w:val="sk-SK"/>
          </w:rPr>
          <w:t>Understanding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the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profitability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gap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between</w:t>
        </w:r>
        <w:proofErr w:type="spellEnd"/>
        <w:r>
          <w:rPr>
            <w:rStyle w:val="Hyperlink"/>
            <w:i/>
            <w:sz w:val="24"/>
            <w:lang w:val="sk-SK"/>
          </w:rPr>
          <w:t xml:space="preserve"> euro </w:t>
        </w:r>
        <w:proofErr w:type="spellStart"/>
        <w:r>
          <w:rPr>
            <w:rStyle w:val="Hyperlink"/>
            <w:i/>
            <w:sz w:val="24"/>
            <w:lang w:val="sk-SK"/>
          </w:rPr>
          <w:t>area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US </w:t>
        </w:r>
        <w:proofErr w:type="spellStart"/>
        <w:r>
          <w:rPr>
            <w:rStyle w:val="Hyperlink"/>
            <w:i/>
            <w:sz w:val="24"/>
            <w:lang w:val="sk-SK"/>
          </w:rPr>
          <w:t>global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systemically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important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banks</w:t>
        </w:r>
        <w:proofErr w:type="spellEnd"/>
      </w:hyperlink>
      <w:r>
        <w:rPr>
          <w:sz w:val="24"/>
          <w:lang w:val="sk-SK"/>
        </w:rPr>
        <w:t xml:space="preserve">, ECB </w:t>
      </w:r>
      <w:proofErr w:type="spellStart"/>
      <w:r>
        <w:rPr>
          <w:sz w:val="24"/>
          <w:lang w:val="sk-SK"/>
        </w:rPr>
        <w:t>Occasio</w:t>
      </w:r>
      <w:r>
        <w:rPr>
          <w:sz w:val="24"/>
          <w:lang w:val="sk-SK"/>
        </w:rPr>
        <w:t>nal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Paper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Series</w:t>
      </w:r>
      <w:proofErr w:type="spellEnd"/>
      <w:r>
        <w:rPr>
          <w:sz w:val="24"/>
          <w:lang w:val="sk-SK"/>
        </w:rPr>
        <w:t xml:space="preserve"> 327, 2023.</w:t>
      </w:r>
    </w:p>
  </w:footnote>
  <w:footnote w:id="5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ECB, </w:t>
      </w:r>
      <w:hyperlink r:id="rId2" w:history="1">
        <w:proofErr w:type="spellStart"/>
        <w:r>
          <w:rPr>
            <w:rStyle w:val="Hyperlink"/>
            <w:i/>
            <w:sz w:val="24"/>
            <w:lang w:val="sk-SK"/>
          </w:rPr>
          <w:t>Supervisory</w:t>
        </w:r>
        <w:proofErr w:type="spellEnd"/>
        <w:r>
          <w:rPr>
            <w:rStyle w:val="Hyperlink"/>
            <w:i/>
            <w:sz w:val="24"/>
            <w:lang w:val="sk-SK"/>
          </w:rPr>
          <w:t xml:space="preserve"> Banking </w:t>
        </w:r>
        <w:proofErr w:type="spellStart"/>
        <w:r>
          <w:rPr>
            <w:rStyle w:val="Hyperlink"/>
            <w:i/>
            <w:sz w:val="24"/>
            <w:lang w:val="sk-SK"/>
          </w:rPr>
          <w:t>Statistics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for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significant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institutions</w:t>
        </w:r>
        <w:proofErr w:type="spellEnd"/>
        <w:r>
          <w:rPr>
            <w:rStyle w:val="Hyperlink"/>
            <w:i/>
            <w:sz w:val="24"/>
            <w:lang w:val="sk-SK"/>
          </w:rPr>
          <w:t>.</w:t>
        </w:r>
      </w:hyperlink>
      <w:hyperlink r:id="rId3" w:history="1"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Second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quarter</w:t>
        </w:r>
        <w:proofErr w:type="spellEnd"/>
        <w:r>
          <w:rPr>
            <w:rStyle w:val="Hyperlink"/>
            <w:i/>
            <w:sz w:val="24"/>
            <w:lang w:val="sk-SK"/>
          </w:rPr>
          <w:t xml:space="preserve"> 2023</w:t>
        </w:r>
      </w:hyperlink>
      <w:r>
        <w:rPr>
          <w:sz w:val="24"/>
          <w:lang w:val="sk-SK"/>
        </w:rPr>
        <w:t xml:space="preserve">. </w:t>
      </w:r>
      <w:proofErr w:type="spellStart"/>
      <w:r>
        <w:rPr>
          <w:sz w:val="24"/>
          <w:lang w:val="sk-SK"/>
        </w:rPr>
        <w:t>October</w:t>
      </w:r>
      <w:proofErr w:type="spellEnd"/>
      <w:r>
        <w:rPr>
          <w:sz w:val="24"/>
          <w:lang w:val="sk-SK"/>
        </w:rPr>
        <w:t xml:space="preserve"> 2023.</w:t>
      </w:r>
    </w:p>
  </w:footnote>
  <w:footnote w:id="6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ECB, </w:t>
      </w:r>
      <w:hyperlink r:id="rId4" w:history="1">
        <w:r>
          <w:rPr>
            <w:rStyle w:val="Hyperlink"/>
            <w:i/>
            <w:sz w:val="24"/>
            <w:lang w:val="sk-SK"/>
          </w:rPr>
          <w:t xml:space="preserve">Euro </w:t>
        </w:r>
        <w:proofErr w:type="spellStart"/>
        <w:r>
          <w:rPr>
            <w:rStyle w:val="Hyperlink"/>
            <w:i/>
            <w:sz w:val="24"/>
            <w:lang w:val="sk-SK"/>
          </w:rPr>
          <w:t>area</w:t>
        </w:r>
        <w:proofErr w:type="spellEnd"/>
        <w:r>
          <w:rPr>
            <w:rStyle w:val="Hyperlink"/>
            <w:i/>
            <w:sz w:val="24"/>
            <w:lang w:val="sk-SK"/>
          </w:rPr>
          <w:t xml:space="preserve"> bank </w:t>
        </w:r>
        <w:proofErr w:type="spellStart"/>
        <w:r>
          <w:rPr>
            <w:rStyle w:val="Hyperlink"/>
            <w:i/>
            <w:sz w:val="24"/>
            <w:lang w:val="sk-SK"/>
          </w:rPr>
          <w:t>lending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survey</w:t>
        </w:r>
        <w:proofErr w:type="spellEnd"/>
      </w:hyperlink>
      <w:r>
        <w:rPr>
          <w:sz w:val="24"/>
          <w:lang w:val="sk-SK"/>
        </w:rPr>
        <w:t>.</w:t>
      </w:r>
    </w:p>
  </w:footnote>
  <w:footnote w:id="7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(EÚ) 2021/1119 z 30. júna 2021, ktorým sa stanovuje rámec na dosiahnutie klimatickej neutrality a menia nariadenia (ES) č. 401/2009 a (EÚ) 2018/1999 </w:t>
      </w:r>
      <w:r>
        <w:rPr>
          <w:rStyle w:val="Hyperlink"/>
          <w:color w:val="auto"/>
          <w:sz w:val="24"/>
          <w:u w:val="none"/>
          <w:lang w:val="sk-SK"/>
        </w:rPr>
        <w:t>(</w:t>
      </w:r>
      <w:r>
        <w:rPr>
          <w:lang w:val="sk-SK"/>
        </w:rPr>
        <w:t>Ú. v. EÚ L 243, 9.7.2021, s. 1</w:t>
      </w:r>
      <w:r>
        <w:rPr>
          <w:sz w:val="24"/>
          <w:lang w:val="sk-SK"/>
        </w:rPr>
        <w:t>).</w:t>
      </w:r>
    </w:p>
  </w:footnote>
  <w:footnote w:id="8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EBA, </w:t>
      </w:r>
      <w:hyperlink r:id="rId5" w:history="1">
        <w:r>
          <w:rPr>
            <w:rStyle w:val="Hyperlink"/>
            <w:i/>
            <w:sz w:val="24"/>
            <w:lang w:val="sk-SK"/>
          </w:rPr>
          <w:t xml:space="preserve">Risk </w:t>
        </w:r>
        <w:proofErr w:type="spellStart"/>
        <w:r>
          <w:rPr>
            <w:rStyle w:val="Hyperlink"/>
            <w:i/>
            <w:sz w:val="24"/>
            <w:lang w:val="sk-SK"/>
          </w:rPr>
          <w:t>Assessment</w:t>
        </w:r>
        <w:proofErr w:type="spellEnd"/>
        <w:r>
          <w:rPr>
            <w:rStyle w:val="Hyperlink"/>
            <w:i/>
            <w:sz w:val="24"/>
            <w:lang w:val="sk-SK"/>
          </w:rPr>
          <w:t xml:space="preserve"> of </w:t>
        </w:r>
        <w:proofErr w:type="spellStart"/>
        <w:r>
          <w:rPr>
            <w:rStyle w:val="Hyperlink"/>
            <w:i/>
            <w:sz w:val="24"/>
            <w:lang w:val="sk-SK"/>
          </w:rPr>
          <w:t>the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European</w:t>
        </w:r>
        <w:proofErr w:type="spellEnd"/>
        <w:r>
          <w:rPr>
            <w:rStyle w:val="Hyperlink"/>
            <w:i/>
            <w:sz w:val="24"/>
            <w:lang w:val="sk-SK"/>
          </w:rPr>
          <w:t xml:space="preserve"> Banking </w:t>
        </w:r>
        <w:proofErr w:type="spellStart"/>
        <w:r>
          <w:rPr>
            <w:rStyle w:val="Hyperlink"/>
            <w:i/>
            <w:sz w:val="24"/>
            <w:lang w:val="sk-SK"/>
          </w:rPr>
          <w:t>Sy</w:t>
        </w:r>
        <w:r>
          <w:rPr>
            <w:rStyle w:val="Hyperlink"/>
            <w:i/>
            <w:sz w:val="24"/>
            <w:lang w:val="sk-SK"/>
          </w:rPr>
          <w:t>stem</w:t>
        </w:r>
        <w:proofErr w:type="spellEnd"/>
      </w:hyperlink>
      <w:r>
        <w:rPr>
          <w:sz w:val="24"/>
          <w:lang w:val="sk-SK"/>
        </w:rPr>
        <w:t>, december 2022.</w:t>
      </w:r>
    </w:p>
  </w:footnote>
  <w:footnote w:id="9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ECB, </w:t>
      </w:r>
      <w:hyperlink r:id="rId6" w:history="1">
        <w:proofErr w:type="spellStart"/>
        <w:r>
          <w:rPr>
            <w:rStyle w:val="Hyperlink"/>
            <w:i/>
            <w:sz w:val="24"/>
            <w:lang w:val="sk-SK"/>
          </w:rPr>
          <w:t>Supervisory</w:t>
        </w:r>
        <w:proofErr w:type="spellEnd"/>
        <w:r>
          <w:rPr>
            <w:rStyle w:val="Hyperlink"/>
            <w:i/>
            <w:sz w:val="24"/>
            <w:lang w:val="sk-SK"/>
          </w:rPr>
          <w:t xml:space="preserve"> Banking </w:t>
        </w:r>
        <w:proofErr w:type="spellStart"/>
        <w:r>
          <w:rPr>
            <w:rStyle w:val="Hyperlink"/>
            <w:i/>
            <w:sz w:val="24"/>
            <w:lang w:val="sk-SK"/>
          </w:rPr>
          <w:t>Statistics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for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significant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institutions</w:t>
        </w:r>
        <w:proofErr w:type="spellEnd"/>
        <w:r>
          <w:rPr>
            <w:rStyle w:val="Hyperlink"/>
            <w:i/>
            <w:sz w:val="24"/>
            <w:lang w:val="sk-SK"/>
          </w:rPr>
          <w:t>.</w:t>
        </w:r>
      </w:hyperlink>
      <w:hyperlink r:id="rId7" w:history="1"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Second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quarter</w:t>
        </w:r>
        <w:proofErr w:type="spellEnd"/>
        <w:r>
          <w:rPr>
            <w:rStyle w:val="Hyperlink"/>
            <w:i/>
            <w:sz w:val="24"/>
            <w:lang w:val="sk-SK"/>
          </w:rPr>
          <w:t xml:space="preserve"> 2023</w:t>
        </w:r>
      </w:hyperlink>
      <w:r>
        <w:rPr>
          <w:sz w:val="24"/>
          <w:lang w:val="sk-SK"/>
        </w:rPr>
        <w:t xml:space="preserve">. </w:t>
      </w:r>
      <w:proofErr w:type="spellStart"/>
      <w:r>
        <w:rPr>
          <w:sz w:val="24"/>
          <w:lang w:val="sk-SK"/>
        </w:rPr>
        <w:t>October</w:t>
      </w:r>
      <w:proofErr w:type="spellEnd"/>
      <w:r>
        <w:rPr>
          <w:sz w:val="24"/>
          <w:lang w:val="sk-SK"/>
        </w:rPr>
        <w:t xml:space="preserve"> 2023.</w:t>
      </w:r>
    </w:p>
  </w:footnote>
  <w:footnote w:id="10">
    <w:p w:rsidR="00C9667F" w:rsidRDefault="00AA5389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 xml:space="preserve">Smernica (EÚ) 2021/2167 z 24. novembra 2021 o správcoch úverov a nákupcoch úverov a o zmene smerníc 2008/48/ES a 2014/17/EÚ </w:t>
      </w:r>
      <w:r>
        <w:rPr>
          <w:rStyle w:val="Hyperlink"/>
          <w:color w:val="auto"/>
          <w:u w:val="none"/>
        </w:rPr>
        <w:t>(</w:t>
      </w:r>
      <w:r>
        <w:t>Ú. v. EÚ L 438, 8.12.2021, s. 1).</w:t>
      </w:r>
    </w:p>
  </w:footnote>
  <w:footnote w:id="11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(EÚ) č. 575/2013 z 26. júna 2013 o </w:t>
      </w:r>
      <w:proofErr w:type="spellStart"/>
      <w:r>
        <w:rPr>
          <w:sz w:val="24"/>
          <w:lang w:val="sk-SK"/>
        </w:rPr>
        <w:t>prudenciálnych</w:t>
      </w:r>
      <w:proofErr w:type="spellEnd"/>
      <w:r>
        <w:rPr>
          <w:sz w:val="24"/>
          <w:lang w:val="sk-SK"/>
        </w:rPr>
        <w:t xml:space="preserve"> požiadavkách na úverové inštitúci</w:t>
      </w:r>
      <w:r>
        <w:rPr>
          <w:sz w:val="24"/>
          <w:lang w:val="sk-SK"/>
        </w:rPr>
        <w:t xml:space="preserve">e a investičné spoločnosti a o zmene nariadenia (EÚ) č. 648/2012 </w:t>
      </w:r>
      <w:r>
        <w:rPr>
          <w:rStyle w:val="Hyperlink"/>
          <w:color w:val="auto"/>
          <w:sz w:val="24"/>
          <w:u w:val="none"/>
          <w:lang w:val="sk-SK"/>
        </w:rPr>
        <w:t>(</w:t>
      </w:r>
      <w:r>
        <w:rPr>
          <w:lang w:val="sk-SK"/>
        </w:rPr>
        <w:t>Ú. v. EÚ L 176, 27.6.2013, s. 1</w:t>
      </w:r>
      <w:r>
        <w:rPr>
          <w:sz w:val="24"/>
          <w:lang w:val="sk-SK"/>
        </w:rPr>
        <w:t>).</w:t>
      </w:r>
    </w:p>
  </w:footnote>
  <w:footnote w:id="12">
    <w:p w:rsidR="00C9667F" w:rsidRDefault="00AA538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2013/36/EÚ z 26. júna 2013 o prístupe k činnosti úverových inštitúcií a </w:t>
      </w:r>
      <w:proofErr w:type="spellStart"/>
      <w:r>
        <w:rPr>
          <w:sz w:val="24"/>
          <w:lang w:val="sk-SK"/>
        </w:rPr>
        <w:t>prudenciálnom</w:t>
      </w:r>
      <w:proofErr w:type="spellEnd"/>
      <w:r>
        <w:rPr>
          <w:sz w:val="24"/>
          <w:lang w:val="sk-SK"/>
        </w:rPr>
        <w:t xml:space="preserve"> dohľade nad úverovými inštitúciami a investičnými spoločno</w:t>
      </w:r>
      <w:r>
        <w:rPr>
          <w:sz w:val="24"/>
          <w:lang w:val="sk-SK"/>
        </w:rPr>
        <w:t xml:space="preserve">sťami, o zmene smernice 2002/87/ES a o zrušení smerníc 2006/48/ES a 2006/49/ES </w:t>
      </w:r>
      <w:r>
        <w:rPr>
          <w:rStyle w:val="Hyperlink"/>
          <w:color w:val="auto"/>
          <w:sz w:val="24"/>
          <w:u w:val="none"/>
          <w:lang w:val="sk-SK"/>
        </w:rPr>
        <w:t>(</w:t>
      </w:r>
      <w:r>
        <w:rPr>
          <w:lang w:val="sk-SK"/>
        </w:rPr>
        <w:t>Ú. v. EÚ L 176, 27.6.2013, s. 338</w:t>
      </w:r>
      <w:r>
        <w:rPr>
          <w:sz w:val="24"/>
          <w:lang w:val="sk-SK"/>
        </w:rPr>
        <w:t>).</w:t>
      </w:r>
    </w:p>
  </w:footnote>
  <w:footnote w:id="13">
    <w:p w:rsidR="00C9667F" w:rsidRDefault="00AA5389">
      <w:pPr>
        <w:keepLines/>
        <w:widowControl/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  <w:t>Ú. v. EÚ L 173, 12.6.2014, s. 149.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67F" w:rsidRDefault="00C966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1/2023"/>
    <w:docVar w:name="dvlangue" w:val="SK"/>
    <w:docVar w:name="dvnumam" w:val="0"/>
    <w:docVar w:name="dvpe" w:val="752.739"/>
    <w:docVar w:name="dvrapporteur" w:val="Spravodajca: "/>
    <w:docVar w:name="dvtitre" w:val="Uznesenie Európskeho parlamentu zo 16. januára 2024 o bankovej únii – výročná správa za rok 2023(2023/2078(INI))"/>
  </w:docVars>
  <w:rsids>
    <w:rsidRoot w:val="00C9667F"/>
    <w:rsid w:val="00AA5389"/>
    <w:rsid w:val="00C9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BA54E"/>
  <w15:chartTrackingRefBased/>
  <w15:docId w15:val="{7EA67317-BA6A-4832-90B1-367288D3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BoldItalic">
    <w:name w:val="BoldItalic"/>
    <w:basedOn w:val="DefaultParagraphFont"/>
    <w:uiPriority w:val="1"/>
    <w:qFormat/>
    <w:rPr>
      <w:rFonts w:ascii="Times New Roman" w:hAnsi="Times New Roman" w:cs="Times New Roman" w:hint="default"/>
      <w:b/>
      <w:bCs w:val="0"/>
      <w:i/>
      <w:iCs w:val="0"/>
      <w:sz w:val="24"/>
    </w:rPr>
  </w:style>
  <w:style w:type="paragraph" w:customStyle="1" w:styleId="title-bold">
    <w:name w:val="title-bold"/>
    <w:basedOn w:val="Normal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ankingsupervision.europa.eu/ecb/pub/pdf/ssm.supervisorybankingstatistics_second_quarter_2023_202310~f41e7f2373.en.pdf" TargetMode="External"/><Relationship Id="rId7" Type="http://schemas.openxmlformats.org/officeDocument/2006/relationships/hyperlink" Target="https://www.bankingsupervision.europa.eu/ecb/pub/pdf/ssm.supervisorybankingstatistics_second_quarter_2023_202310~f41e7f2373.en.pdf" TargetMode="External"/><Relationship Id="rId2" Type="http://schemas.openxmlformats.org/officeDocument/2006/relationships/hyperlink" Target="https://www.bankingsupervision.europa.eu/ecb/pub/pdf/ssm.supervisorybankingstatistics_second_quarter_2023_202310~f41e7f2373.en.pdf" TargetMode="External"/><Relationship Id="rId1" Type="http://schemas.openxmlformats.org/officeDocument/2006/relationships/hyperlink" Target="https://www.ecb.europa.eu/pub/pdf/scpops/ecb.op327~0d50b9136f.en.pdf" TargetMode="External"/><Relationship Id="rId6" Type="http://schemas.openxmlformats.org/officeDocument/2006/relationships/hyperlink" Target="https://www.bankingsupervision.europa.eu/ecb/pub/pdf/ssm.supervisorybankingstatistics_second_quarter_2023_202310~f41e7f2373.en.pdf" TargetMode="External"/><Relationship Id="rId5" Type="http://schemas.openxmlformats.org/officeDocument/2006/relationships/hyperlink" Target="https://www.eba.europa.eu/sites/default/documents/files/document_library/Risk%20Analysis%20and%20Data/Risk%20Assessment%20Reports/2022/RAR/1045298/Risk%20Assessment%20Report%20December%202022.pdf" TargetMode="External"/><Relationship Id="rId4" Type="http://schemas.openxmlformats.org/officeDocument/2006/relationships/hyperlink" Target="https://www.ecb.europa.eu/stats/ecb_surveys/bank_lending_survey/html/index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E875C-438E-4B84-9951-5943B23C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4761</Words>
  <Characters>29366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2024-02-22T10:55:00Z</dcterms:created>
  <dcterms:modified xsi:type="dcterms:W3CDTF">2024-02-22T10:55:00Z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A9-0431/2023</vt:lpwstr>
  </property>
  <property fmtid="{D5CDD505-2E9C-101B-9397-08002B2CF9AE}" pid="4" name="&lt;Type&gt;">
    <vt:lpwstr>RR</vt:lpwstr>
  </property>
</Properties>
</file>