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484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34841" w:rsidRDefault="007F0D20" w:rsidP="0010095E">
            <w:pPr>
              <w:pStyle w:val="EPName"/>
            </w:pPr>
            <w:r w:rsidRPr="00634841">
              <w:t>Европейски</w:t>
            </w:r>
            <w:r w:rsidR="00F51BF8" w:rsidRPr="00634841">
              <w:t xml:space="preserve"> парламент</w:t>
            </w:r>
          </w:p>
          <w:p w:rsidR="00751A4A" w:rsidRPr="00634841" w:rsidRDefault="007F0D20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63484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34841" w:rsidRDefault="00187494" w:rsidP="0010095E">
            <w:pPr>
              <w:pStyle w:val="EPLogo"/>
            </w:pPr>
            <w:r w:rsidRPr="0063484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34841" w:rsidRDefault="00D058B8" w:rsidP="004C5D52">
      <w:pPr>
        <w:pStyle w:val="LineTop"/>
      </w:pPr>
    </w:p>
    <w:p w:rsidR="00680577" w:rsidRPr="00634841" w:rsidRDefault="00F51BF8" w:rsidP="00680577">
      <w:pPr>
        <w:pStyle w:val="EPBodyTA1"/>
      </w:pPr>
      <w:r w:rsidRPr="00634841">
        <w:t>ПРИЕТИ ТЕКСТОВЕ</w:t>
      </w:r>
    </w:p>
    <w:p w:rsidR="00D058B8" w:rsidRPr="00634841" w:rsidRDefault="00D058B8" w:rsidP="00D058B8">
      <w:pPr>
        <w:pStyle w:val="LineBottom"/>
      </w:pPr>
    </w:p>
    <w:p w:rsidR="00F51BF8" w:rsidRPr="00634841" w:rsidRDefault="00F51BF8" w:rsidP="00F51BF8">
      <w:pPr>
        <w:pStyle w:val="ATHeading1"/>
      </w:pPr>
      <w:bookmarkStart w:id="0" w:name="TANumber"/>
      <w:r w:rsidRPr="00634841">
        <w:t>P9_TA(2024)00</w:t>
      </w:r>
      <w:r w:rsidR="00371B1D">
        <w:rPr>
          <w:lang w:val="en-GB"/>
        </w:rPr>
        <w:t>13</w:t>
      </w:r>
      <w:bookmarkEnd w:id="0"/>
    </w:p>
    <w:p w:rsidR="00F51BF8" w:rsidRPr="00634841" w:rsidRDefault="00F51BF8" w:rsidP="00F51BF8">
      <w:pPr>
        <w:pStyle w:val="ATHeading2"/>
      </w:pPr>
      <w:bookmarkStart w:id="1" w:name="title"/>
      <w:r w:rsidRPr="00634841">
        <w:t>Ролята на Европейския парламент и неговата парламентарна дипломация във външната политика и политиката за сигурност на ЕС</w:t>
      </w:r>
      <w:bookmarkEnd w:id="1"/>
    </w:p>
    <w:p w:rsidR="00F51BF8" w:rsidRPr="00634841" w:rsidRDefault="00F51BF8" w:rsidP="00F51BF8">
      <w:pPr>
        <w:rPr>
          <w:i/>
          <w:vanish/>
        </w:rPr>
      </w:pPr>
      <w:r w:rsidRPr="00634841">
        <w:rPr>
          <w:i/>
        </w:rPr>
        <w:fldChar w:fldCharType="begin"/>
      </w:r>
      <w:r w:rsidRPr="00634841">
        <w:rPr>
          <w:i/>
        </w:rPr>
        <w:instrText xml:space="preserve"> TC"(</w:instrText>
      </w:r>
      <w:bookmarkStart w:id="2" w:name="DocNumber"/>
      <w:r w:rsidRPr="00634841">
        <w:rPr>
          <w:i/>
        </w:rPr>
        <w:instrText>A9-0405/2023</w:instrText>
      </w:r>
      <w:bookmarkEnd w:id="2"/>
      <w:r w:rsidRPr="00634841">
        <w:rPr>
          <w:i/>
        </w:rPr>
        <w:instrText xml:space="preserve"> - Докладчик: </w:instrText>
      </w:r>
      <w:proofErr w:type="spellStart"/>
      <w:r w:rsidRPr="00634841">
        <w:rPr>
          <w:i/>
        </w:rPr>
        <w:instrText>Жорди</w:instrText>
      </w:r>
      <w:proofErr w:type="spellEnd"/>
      <w:r w:rsidRPr="00634841">
        <w:rPr>
          <w:i/>
        </w:rPr>
        <w:instrText xml:space="preserve"> </w:instrText>
      </w:r>
      <w:proofErr w:type="spellStart"/>
      <w:r w:rsidRPr="00634841">
        <w:rPr>
          <w:i/>
        </w:rPr>
        <w:instrText>Соле</w:instrText>
      </w:r>
      <w:proofErr w:type="spellEnd"/>
      <w:r w:rsidRPr="00634841">
        <w:rPr>
          <w:i/>
        </w:rPr>
        <w:instrText xml:space="preserve">)"\l3 \n&gt; \* MERGEFORMAT </w:instrText>
      </w:r>
      <w:r w:rsidRPr="00634841">
        <w:rPr>
          <w:i/>
        </w:rPr>
        <w:fldChar w:fldCharType="end"/>
      </w:r>
    </w:p>
    <w:p w:rsidR="00F51BF8" w:rsidRPr="00634841" w:rsidRDefault="00F51BF8" w:rsidP="00F51BF8">
      <w:pPr>
        <w:rPr>
          <w:vanish/>
        </w:rPr>
      </w:pPr>
      <w:bookmarkStart w:id="3" w:name="Commission"/>
      <w:r w:rsidRPr="00634841">
        <w:rPr>
          <w:vanish/>
        </w:rPr>
        <w:t>Комисия по външни работи</w:t>
      </w:r>
      <w:bookmarkEnd w:id="3"/>
    </w:p>
    <w:p w:rsidR="00F51BF8" w:rsidRPr="00634841" w:rsidRDefault="00F51BF8" w:rsidP="00F51BF8">
      <w:pPr>
        <w:rPr>
          <w:vanish/>
        </w:rPr>
      </w:pPr>
      <w:bookmarkStart w:id="4" w:name="PE"/>
      <w:r w:rsidRPr="00634841">
        <w:rPr>
          <w:vanish/>
        </w:rPr>
        <w:t>PE753.617</w:t>
      </w:r>
      <w:bookmarkEnd w:id="4"/>
    </w:p>
    <w:p w:rsidR="00F51BF8" w:rsidRPr="00634841" w:rsidRDefault="00F51BF8" w:rsidP="007F0D20">
      <w:pPr>
        <w:pStyle w:val="ATHeading3"/>
      </w:pPr>
      <w:bookmarkStart w:id="5" w:name="Sujet"/>
      <w:r w:rsidRPr="00634841">
        <w:t xml:space="preserve">Резолюция на Европейския парламент от </w:t>
      </w:r>
      <w:r w:rsidR="00371B1D">
        <w:rPr>
          <w:lang w:val="en-GB"/>
        </w:rPr>
        <w:t>16</w:t>
      </w:r>
      <w:bookmarkStart w:id="6" w:name="_GoBack"/>
      <w:bookmarkEnd w:id="6"/>
      <w:r w:rsidR="00802B4B">
        <w:t xml:space="preserve"> януари</w:t>
      </w:r>
      <w:r w:rsidR="00802B4B" w:rsidRPr="00634841">
        <w:t xml:space="preserve"> </w:t>
      </w:r>
      <w:r w:rsidRPr="00634841">
        <w:t>2024 г. относно ролята на Европейския парламент и неговата парламентарна дипломация във външната политика и политика на сигурност на ЕС</w:t>
      </w:r>
      <w:bookmarkEnd w:id="5"/>
      <w:r w:rsidRPr="00634841">
        <w:t xml:space="preserve"> </w:t>
      </w:r>
      <w:bookmarkStart w:id="7" w:name="References"/>
      <w:r w:rsidRPr="00634841">
        <w:t>(2023/2105(INI))</w:t>
      </w:r>
      <w:bookmarkEnd w:id="7"/>
    </w:p>
    <w:p w:rsidR="00870686" w:rsidRPr="00634841" w:rsidRDefault="00870686" w:rsidP="00870686">
      <w:pPr>
        <w:pStyle w:val="EPComma"/>
      </w:pPr>
      <w:bookmarkStart w:id="8" w:name="TextBodyBegin"/>
      <w:bookmarkEnd w:id="8"/>
      <w:r w:rsidRPr="00634841">
        <w:rPr>
          <w:rStyle w:val="Italic"/>
        </w:rPr>
        <w:t>Европейският парламент</w:t>
      </w:r>
      <w:r w:rsidRPr="00634841">
        <w:t>,</w:t>
      </w:r>
    </w:p>
    <w:p w:rsidR="00870686" w:rsidRPr="00634841" w:rsidRDefault="00870686" w:rsidP="00870686">
      <w:pPr>
        <w:pStyle w:val="NormalHanging12a"/>
      </w:pPr>
      <w:r w:rsidRPr="00634841">
        <w:t>–</w:t>
      </w:r>
      <w:r w:rsidRPr="00634841">
        <w:tab/>
        <w:t>като взе предвид член 14, параграф 1, и членове 21 и 36 от Договора за Европейския съюз (ДЕС),</w:t>
      </w:r>
    </w:p>
    <w:p w:rsidR="00870686" w:rsidRPr="00634841" w:rsidRDefault="00870686" w:rsidP="00870686">
      <w:pPr>
        <w:pStyle w:val="NormalHanging12a"/>
      </w:pPr>
      <w:r w:rsidRPr="00634841">
        <w:t>–</w:t>
      </w:r>
      <w:r w:rsidRPr="00634841">
        <w:tab/>
        <w:t>като взе предвид Декларацията относно политическата отчетност от 20 юли 2010 г. на заместник-председателя на Комисията/върховен представител на Съюза по въпросите на външните работи и политиката на сигурност (ЗП/ВП),</w:t>
      </w:r>
    </w:p>
    <w:p w:rsidR="00870686" w:rsidRPr="00634841" w:rsidRDefault="00870686" w:rsidP="00870686">
      <w:pPr>
        <w:pStyle w:val="NormalHanging12a"/>
      </w:pPr>
      <w:r w:rsidRPr="00634841">
        <w:t>–</w:t>
      </w:r>
      <w:r w:rsidRPr="00634841">
        <w:tab/>
        <w:t>като взе предвид заключенията на Съвета от 28 юни 2016 г. за приемане на доклада, озаглавен „Обща визия, общи действия: по-силна Европа – глобална стратегия за външната политика и политика на сигурност на Европейския съюз“,</w:t>
      </w:r>
    </w:p>
    <w:p w:rsidR="00870686" w:rsidRPr="00634841" w:rsidRDefault="00870686" w:rsidP="00870686">
      <w:pPr>
        <w:pStyle w:val="NormalHanging12a"/>
      </w:pPr>
      <w:r w:rsidRPr="00634841">
        <w:t>–</w:t>
      </w:r>
      <w:r w:rsidRPr="00634841">
        <w:tab/>
        <w:t>като взе предвид съвместното съобщение на Комисията и върховния представител на Европейския съюз по въпросите на външните работи и политиката на сигурност от 25 март 2020 г., озаглавено „План за действие на ЕС относно правата на човека и демокрацията за периода 2020 – 2024 г.“ (JOIN(2020)0005),</w:t>
      </w:r>
    </w:p>
    <w:p w:rsidR="00870686" w:rsidRPr="00634841" w:rsidRDefault="00870686" w:rsidP="00870686">
      <w:pPr>
        <w:pStyle w:val="NormalHanging12a"/>
      </w:pPr>
      <w:r w:rsidRPr="00634841">
        <w:t>–</w:t>
      </w:r>
      <w:r w:rsidRPr="00634841">
        <w:tab/>
        <w:t>като взе предвид „Стратегически компас на ЕС за сигурност и отбрана – за Европейски съюз, който защитава своите граждани, ценности и интереси и допринася за международния мир и сигурност“, приет на 21 март 2022 г.,</w:t>
      </w:r>
    </w:p>
    <w:p w:rsidR="00870686" w:rsidRPr="00634841" w:rsidRDefault="00870686" w:rsidP="00870686">
      <w:pPr>
        <w:pStyle w:val="NormalHanging12a"/>
      </w:pPr>
      <w:r w:rsidRPr="00634841">
        <w:t>–</w:t>
      </w:r>
      <w:r w:rsidRPr="00634841">
        <w:tab/>
        <w:t>като взе предвид съвместното съобщение на Комисията и върховния представител на Съюза по въпросите на външните работи и политиката на сигурност от 25 ноември 2020 г., озаглавено „План за действие на ЕС относно равенството между половете (GAP) III – амбициозна програма за равенство между половете и за овластяване на жените във външните дейности на ЕС“ (JOIN(2020)0017),</w:t>
      </w:r>
    </w:p>
    <w:p w:rsidR="00870686" w:rsidRPr="00634841" w:rsidRDefault="00870686" w:rsidP="00870686">
      <w:pPr>
        <w:pStyle w:val="NormalHanging12a"/>
      </w:pPr>
      <w:r w:rsidRPr="00634841">
        <w:lastRenderedPageBreak/>
        <w:t>–</w:t>
      </w:r>
      <w:r w:rsidRPr="00634841">
        <w:tab/>
        <w:t>като взе предвид Решение 2010/427/ЕС на Съвета от 26 юли 2010 г. за определяне на организацията и функционирането на Европейската служба за външна дейност</w:t>
      </w:r>
      <w:r w:rsidRPr="00634841">
        <w:rPr>
          <w:rStyle w:val="FootnoteReference"/>
        </w:rPr>
        <w:footnoteReference w:id="1"/>
      </w:r>
      <w:r w:rsidRPr="00634841">
        <w:t>,</w:t>
      </w:r>
    </w:p>
    <w:p w:rsidR="00870686" w:rsidRPr="00634841" w:rsidRDefault="00870686" w:rsidP="00870686">
      <w:pPr>
        <w:pStyle w:val="NormalHanging12a"/>
      </w:pPr>
      <w:r w:rsidRPr="00634841">
        <w:t>–</w:t>
      </w:r>
      <w:r w:rsidRPr="00634841">
        <w:tab/>
        <w:t>като взе предвид параграф 34 от Декларацията от 18 юли 2023 г. от срещата на върха през 2023 г. между ЕС и Общността на латиноамериканските и карибските държави, в която се признава, че парламентарната дипломация представлява важно измерение на отношенията между страните;</w:t>
      </w:r>
    </w:p>
    <w:p w:rsidR="00870686" w:rsidRPr="00634841" w:rsidRDefault="00870686" w:rsidP="00870686">
      <w:pPr>
        <w:pStyle w:val="NormalHanging12a"/>
      </w:pPr>
      <w:r w:rsidRPr="00634841">
        <w:t>–</w:t>
      </w:r>
      <w:r w:rsidRPr="00634841">
        <w:tab/>
        <w:t>като взе предвид своята препоръка от 15 март 2023 г. към Съвета и заместник-председателя на Комисията/върховен представител на Съюза по въпросите на външните работи и политиката на сигурност относно преглед на функционирането на ЕСВД и за по-силен ЕС в световен мащаб</w:t>
      </w:r>
      <w:r w:rsidRPr="00634841">
        <w:rPr>
          <w:rStyle w:val="FootnoteReference"/>
        </w:rPr>
        <w:footnoteReference w:id="2"/>
      </w:r>
      <w:r w:rsidRPr="00634841">
        <w:t>,</w:t>
      </w:r>
    </w:p>
    <w:p w:rsidR="00870686" w:rsidRPr="00634841" w:rsidRDefault="00870686" w:rsidP="00870686">
      <w:pPr>
        <w:pStyle w:val="NormalHanging12a"/>
      </w:pPr>
      <w:r w:rsidRPr="00634841">
        <w:t>–</w:t>
      </w:r>
      <w:r w:rsidRPr="00634841">
        <w:tab/>
        <w:t>като взе предвид своята резолюция от 18 януари 2023 г. относно изпълнението на общата външна политика и политика на сигурност – годишен доклад за 2022 г.</w:t>
      </w:r>
      <w:r w:rsidRPr="00634841">
        <w:rPr>
          <w:rStyle w:val="FootnoteReference"/>
        </w:rPr>
        <w:footnoteReference w:id="3"/>
      </w:r>
      <w:r w:rsidRPr="00634841">
        <w:t>,</w:t>
      </w:r>
    </w:p>
    <w:p w:rsidR="00870686" w:rsidRPr="00634841" w:rsidRDefault="00870686" w:rsidP="00870686">
      <w:pPr>
        <w:pStyle w:val="NormalHanging12a"/>
      </w:pPr>
      <w:r w:rsidRPr="00634841">
        <w:t>–</w:t>
      </w:r>
      <w:r w:rsidRPr="00634841">
        <w:tab/>
        <w:t>като взе предвид своята резолюция от 18 януари 2023 г. относно изпълнението на общата политика за сигурност и отбрана – годишен доклад за 2022 г.</w:t>
      </w:r>
      <w:r w:rsidRPr="00634841">
        <w:rPr>
          <w:rStyle w:val="FootnoteReference"/>
        </w:rPr>
        <w:footnoteReference w:id="4"/>
      </w:r>
      <w:r w:rsidRPr="00634841">
        <w:t>,</w:t>
      </w:r>
    </w:p>
    <w:p w:rsidR="00870686" w:rsidRPr="00634841" w:rsidRDefault="00870686" w:rsidP="00870686">
      <w:pPr>
        <w:pStyle w:val="NormalHanging12a"/>
      </w:pPr>
      <w:r w:rsidRPr="00634841">
        <w:t>–</w:t>
      </w:r>
      <w:r w:rsidRPr="00634841">
        <w:tab/>
        <w:t>като взе предвид своята резолюция от 12 март 2019 г. относно изграждане на капацитет на ЕС за предотвратяване на конфликти и посредничество</w:t>
      </w:r>
      <w:r w:rsidRPr="00634841">
        <w:rPr>
          <w:rStyle w:val="FootnoteReference"/>
        </w:rPr>
        <w:footnoteReference w:id="5"/>
      </w:r>
      <w:r w:rsidRPr="00634841">
        <w:t>,</w:t>
      </w:r>
    </w:p>
    <w:p w:rsidR="00870686" w:rsidRPr="00634841" w:rsidRDefault="00870686" w:rsidP="00870686">
      <w:pPr>
        <w:pStyle w:val="NormalHanging12a"/>
      </w:pPr>
      <w:r w:rsidRPr="00634841">
        <w:t>–</w:t>
      </w:r>
      <w:r w:rsidRPr="00634841">
        <w:tab/>
        <w:t>като взе предвид своето решение от 13 септември 2023 г. относно измененията на Правилника за дейността на Европейския парламент с цел укрепване на почтеността, независимостта и отчетността</w:t>
      </w:r>
      <w:r w:rsidRPr="00634841">
        <w:rPr>
          <w:rStyle w:val="FootnoteReference"/>
        </w:rPr>
        <w:footnoteReference w:id="6"/>
      </w:r>
      <w:r w:rsidRPr="00634841">
        <w:t>,</w:t>
      </w:r>
    </w:p>
    <w:p w:rsidR="00870686" w:rsidRPr="00634841" w:rsidRDefault="00870686" w:rsidP="00870686">
      <w:pPr>
        <w:pStyle w:val="NormalHanging12a"/>
      </w:pPr>
      <w:r w:rsidRPr="00634841">
        <w:t>–</w:t>
      </w:r>
      <w:r w:rsidRPr="00634841">
        <w:tab/>
        <w:t>като взе предвид член 54 от своя Правилник за дейността,</w:t>
      </w:r>
    </w:p>
    <w:p w:rsidR="00870686" w:rsidRPr="00634841" w:rsidRDefault="00870686" w:rsidP="00870686">
      <w:pPr>
        <w:pStyle w:val="NormalHanging12a"/>
      </w:pPr>
      <w:r w:rsidRPr="00634841">
        <w:t>–</w:t>
      </w:r>
      <w:r w:rsidRPr="00634841">
        <w:tab/>
        <w:t>като взе предвид доклада на комисията по външни работи (A9-0405/2023),</w:t>
      </w:r>
    </w:p>
    <w:p w:rsidR="00870686" w:rsidRPr="00634841" w:rsidRDefault="00870686" w:rsidP="00870686">
      <w:pPr>
        <w:pStyle w:val="NormalHanging12a"/>
      </w:pPr>
      <w:r w:rsidRPr="00634841">
        <w:t>А.</w:t>
      </w:r>
      <w:r w:rsidRPr="00634841">
        <w:tab/>
        <w:t xml:space="preserve">като има предвид, че ролята на Парламента като </w:t>
      </w:r>
      <w:proofErr w:type="spellStart"/>
      <w:r w:rsidRPr="00634841">
        <w:t>съзаконодател</w:t>
      </w:r>
      <w:proofErr w:type="spellEnd"/>
      <w:r w:rsidRPr="00634841">
        <w:t xml:space="preserve"> и едно от направленията на бюджетния орган обхваща не само вътрешните политики на ЕС, но и до голяма степен външната дейност на ЕС;</w:t>
      </w:r>
    </w:p>
    <w:p w:rsidR="00870686" w:rsidRPr="00634841" w:rsidRDefault="00870686" w:rsidP="00870686">
      <w:pPr>
        <w:pStyle w:val="NormalHanging12a"/>
      </w:pPr>
      <w:r w:rsidRPr="00634841">
        <w:t>Б.</w:t>
      </w:r>
      <w:r w:rsidRPr="00634841">
        <w:tab/>
        <w:t>като има предвид, че член 36 от ДЕС изисква ЗП/ВП да се консултира редовно с Парламента по главните аспекти на общата външна политика и политика на сигурност (ОВППС) и вземаните решения в тази област, както и да информира Парламента за развитието на тези политики;</w:t>
      </w:r>
    </w:p>
    <w:p w:rsidR="00870686" w:rsidRPr="00634841" w:rsidRDefault="00870686" w:rsidP="00870686">
      <w:pPr>
        <w:pStyle w:val="NormalHanging12a"/>
      </w:pPr>
      <w:r w:rsidRPr="00634841">
        <w:t>В.</w:t>
      </w:r>
      <w:r w:rsidRPr="00634841">
        <w:tab/>
        <w:t xml:space="preserve">като има предвид, че за влизането в сила на повечето международни споразумения се изисква одобрението на Парламента; като има предвид, че член 218, параграф 10 от Договора за функционирането на Европейския съюз предвижда, че Европейският парламент „получава незабавно изчерпателна </w:t>
      </w:r>
      <w:r w:rsidRPr="00634841">
        <w:lastRenderedPageBreak/>
        <w:t>информация на всички етапи на процедурата“ по договаряне на такива споразумения;</w:t>
      </w:r>
    </w:p>
    <w:p w:rsidR="00870686" w:rsidRPr="00634841" w:rsidRDefault="00870686" w:rsidP="00870686">
      <w:pPr>
        <w:pStyle w:val="NormalHanging12a"/>
      </w:pPr>
      <w:r w:rsidRPr="00634841">
        <w:t>Г.</w:t>
      </w:r>
      <w:r w:rsidRPr="00634841">
        <w:tab/>
        <w:t>като има предвид, че Парламентът контролира и обсъжда дейността в сферата на външните работи на ЕС, по-специално чрез работата на своята комисия по външни работи и двете си подкомисии по правата на човека и по сигурност и отбрана, както и чрез комисиите си по международна търговия и по развитие; като има предвид, че тази контролна роля включва въпроси, свързани с приемането, изпълнението и прегледа на тематичните, регионалните и националните стратегии на ЕС и други политически документи, като Плана за действие на ЕС относно равенството между половете, както и финансовата помощ и назначенията на висши длъжности във външното представителство на ЕС;</w:t>
      </w:r>
    </w:p>
    <w:p w:rsidR="00870686" w:rsidRPr="00634841" w:rsidRDefault="00870686" w:rsidP="00870686">
      <w:pPr>
        <w:pStyle w:val="NormalHanging12a"/>
      </w:pPr>
      <w:r w:rsidRPr="00634841">
        <w:t>Д.</w:t>
      </w:r>
      <w:r w:rsidRPr="00634841">
        <w:tab/>
        <w:t>като има предвид, че Парламентът, бидейки единствената институция на ЕС, избирана пряко от гражданите на ЕС, провежда публични дебати в пленарна зала и в комисиите и приема доклади и резолюции, свързани с външната политика и политика на сигурност на ЕС и с положението в държави извън ЕС, по-специално по отношение на правата на човека, и по този начин допринася за повишаване на обществената осведоменост и стимулиране на обсъжданията както в рамките на ЕС, така и в съответните държави; като има предвид, че тези доклади и резолюции допринасят за развитието на нормативната уредба в световен мащаб и се наблюдават отблизо от участници от държави извън ЕС, включително правителства, парламенти и представители на гражданското общество, както и от медиите, и че могат да доведат до реакции и последици в тези държави;</w:t>
      </w:r>
    </w:p>
    <w:p w:rsidR="00870686" w:rsidRPr="00634841" w:rsidRDefault="00870686" w:rsidP="00870686">
      <w:pPr>
        <w:pStyle w:val="NormalHanging12a"/>
      </w:pPr>
      <w:r w:rsidRPr="00634841">
        <w:t>Е.</w:t>
      </w:r>
      <w:r w:rsidRPr="00634841">
        <w:tab/>
        <w:t>като има предвид, че Парламентът разполага с уникална мрежа от 45 постоянни делегации, които поддържат и задълбочават отношенията с други парламенти от държави, региони и организации извън ЕС; като има предвид, че тези органи често съставляват парламентарното измерение на двустранните споразумения на ЕС със съответните държави;</w:t>
      </w:r>
    </w:p>
    <w:p w:rsidR="00870686" w:rsidRPr="00634841" w:rsidRDefault="00870686" w:rsidP="00870686">
      <w:pPr>
        <w:pStyle w:val="NormalHanging12a"/>
      </w:pPr>
      <w:r w:rsidRPr="00634841">
        <w:t>Ж.</w:t>
      </w:r>
      <w:r w:rsidRPr="00634841">
        <w:tab/>
        <w:t>като има предвид, че ролята на Парламента при определянето на годишния бюджет на Съюза е от основно значение за подкрепа на държавите, които най-много се нуждаят от преодоляване на дългосрочните предизвикателства пред развитието чрез Инструмента за съседство, сътрудничество за развитие и международно сътрудничество — Глобална Европа, както и за справяне с мащабни хуманитарни бедствия и извънредни ситуации, по-специално чрез увеличаване на хуманитарната помощ;</w:t>
      </w:r>
    </w:p>
    <w:p w:rsidR="00870686" w:rsidRPr="00634841" w:rsidRDefault="00870686" w:rsidP="00870686">
      <w:pPr>
        <w:pStyle w:val="NormalHanging12a"/>
      </w:pPr>
      <w:r w:rsidRPr="00634841">
        <w:t>З.</w:t>
      </w:r>
      <w:r w:rsidRPr="00634841">
        <w:tab/>
        <w:t>като има предвид, че насърчаването на равенството между половете е цел на външната политика на ЕС; като има предвид, че всички държави – членки на ЕС, и Европейският парламент са поели ангажимент за изпълнение на Резолюция 1325 (2000) на Съвета за сигурност на ООН относно жените, мира и сигурността;</w:t>
      </w:r>
    </w:p>
    <w:p w:rsidR="00870686" w:rsidRPr="00634841" w:rsidRDefault="00870686" w:rsidP="00870686">
      <w:pPr>
        <w:pStyle w:val="NormalHanging12a"/>
      </w:pPr>
      <w:r w:rsidRPr="00634841">
        <w:t>И.</w:t>
      </w:r>
      <w:r w:rsidRPr="00634841">
        <w:tab/>
        <w:t xml:space="preserve">като има предвид, че Европейският парламент се превърна в един от най-активните парламенти от гледна точка на своята парламентарна дипломатическа дейност и ресурсите, посветени на нея; като има предвид, че парламентарната дипломация допринася за постигането на целите на ЕС и за насърчаването на ценностите, интересите и политиките на ЕС, включително на многостранно равнище, като по този начин осигурява добавена стойност чрез насърчаване на по-последователна и приобщаваща външна дейност на ЕС; като има предвид, че парламентарната дипломация може да подобри стратегическата комуникация и </w:t>
      </w:r>
      <w:r w:rsidRPr="00634841">
        <w:lastRenderedPageBreak/>
        <w:t>видимостта и ефективността на решенията и мерките за изпълнение в областта както на общата външна политика и политика на сигурност (ОВППС), така и на общата политика за сигурност и отбрана (ОПСО) на ЕС;</w:t>
      </w:r>
    </w:p>
    <w:p w:rsidR="00870686" w:rsidRPr="00634841" w:rsidRDefault="00870686" w:rsidP="00870686">
      <w:pPr>
        <w:pStyle w:val="NormalHanging12a"/>
      </w:pPr>
      <w:r w:rsidRPr="00634841">
        <w:t>Й.</w:t>
      </w:r>
      <w:r w:rsidRPr="00634841">
        <w:tab/>
        <w:t>като има предвид, че посредством своята парламентарна дипломация Парламентът участва непрекъснато в диалози със световни лидери, служители на изборни длъжности, представители на правителства и дипломати, публични институции, организации на гражданското общество и техни представители, включително такива, които принадлежат към уязвими и изложени на риск групи от населението, както и с други заинтересовани лица от държави извън ЕС и с многостранни институции, по-специално чрез работата на своите делегации и комисии, включително чрез провеждане на изслушвания, приемане на доклади и резолюции и посещения на държави;</w:t>
      </w:r>
    </w:p>
    <w:p w:rsidR="00870686" w:rsidRPr="00634841" w:rsidRDefault="00870686" w:rsidP="00870686">
      <w:pPr>
        <w:pStyle w:val="NormalHanging12a"/>
      </w:pPr>
      <w:r w:rsidRPr="00634841">
        <w:t>К.</w:t>
      </w:r>
      <w:r w:rsidRPr="00634841">
        <w:tab/>
        <w:t>като има предвид, че член 36 от ДЕС възлага на ЗП/ВП да се явява пред Парламента поне два пъти годишно, за да докладва относно текущото състояние на ОВППС/ОПСО и да отговаря на въпроси; като има предвид, че Междуинституционалното споразумение от 20 ноември 2002 г. между Европейския парламент и Съвета относно достъпа на Европейския парламент до чувствителна информация на Съвета в областта на политиката за сигурност и отбрана</w:t>
      </w:r>
      <w:r w:rsidRPr="00634841">
        <w:rPr>
          <w:rStyle w:val="FootnoteReference"/>
        </w:rPr>
        <w:footnoteReference w:id="7"/>
      </w:r>
      <w:r w:rsidRPr="00634841">
        <w:t xml:space="preserve"> се нуждае от обновяване;</w:t>
      </w:r>
    </w:p>
    <w:p w:rsidR="00870686" w:rsidRPr="00634841" w:rsidRDefault="00870686" w:rsidP="00870686">
      <w:pPr>
        <w:pStyle w:val="NormalHanging12a"/>
      </w:pPr>
      <w:r w:rsidRPr="00634841">
        <w:t>Л.</w:t>
      </w:r>
      <w:r w:rsidRPr="00634841">
        <w:tab/>
        <w:t xml:space="preserve">като има предвид, че Групата за подкрепа на демокрацията и координация на избори на Парламента, която се оглавява от председателите на комисията по външни работи и комисията по развитие и включва членове на ЕП от целия политически спектър, наблюдава усилията на Парламента за подкрепа на демокрацията извън ЕС, включително по отношение на наблюдението на избори, посредничеството и диалога; като има предвид, че чрез диалога „Жан Моне“ за мир и демокрация Парламентът обединява политически лидери извън ЕС с цел насърчаване на междупартийната комуникация и изграждането на консенсус; като има предвид, че членовете на ЕП могат да действат като специални пратеници и посредници за предотвратяване на конфликти в определени ситуации с висока степен на напрежение по света; </w:t>
      </w:r>
    </w:p>
    <w:p w:rsidR="00870686" w:rsidRPr="00634841" w:rsidRDefault="00870686" w:rsidP="00870686">
      <w:pPr>
        <w:pStyle w:val="NormalHanging12a"/>
      </w:pPr>
      <w:r w:rsidRPr="00634841">
        <w:t>М.</w:t>
      </w:r>
      <w:r w:rsidRPr="00634841">
        <w:tab/>
        <w:t xml:space="preserve">като има предвид, че Европейският парламент подпомага националните парламенти и международните регионални асамблеи извън границите на ЕС с цел подобряване на техния институционален капацитет; като има предвид, че той е установил постоянен диалог с тези законодателни органи и редовно обменя най-добри практики с тях; </w:t>
      </w:r>
    </w:p>
    <w:p w:rsidR="00870686" w:rsidRPr="00634841" w:rsidRDefault="00870686" w:rsidP="00870686">
      <w:pPr>
        <w:pStyle w:val="NormalHanging12a"/>
      </w:pPr>
      <w:r w:rsidRPr="00634841">
        <w:t>Н.</w:t>
      </w:r>
      <w:r w:rsidRPr="00634841">
        <w:tab/>
        <w:t>като има предвид, че Парламентът е международно признат наблюдател на избори; като има предвид, че делегациите на Парламента за наблюдение на избори са включени или в мисии на ЕС за наблюдение на избори, или в международни мисии за наблюдение на избори;</w:t>
      </w:r>
    </w:p>
    <w:p w:rsidR="00870686" w:rsidRPr="00634841" w:rsidRDefault="00870686" w:rsidP="00870686">
      <w:pPr>
        <w:pStyle w:val="NormalHanging12a"/>
      </w:pPr>
      <w:r w:rsidRPr="00634841">
        <w:t>О.</w:t>
      </w:r>
      <w:r w:rsidRPr="00634841">
        <w:tab/>
        <w:t xml:space="preserve">като има предвид, че политическите групи и отделните членове на Парламента разполагат с гъста и широкообхватна мрежа от контакти с политически партии, парламентаристи, правителствени служители, както и със заинтересовани лица от </w:t>
      </w:r>
      <w:r w:rsidRPr="00634841">
        <w:lastRenderedPageBreak/>
        <w:t>частния сектор и гражданското общество в държави извън ЕС, по-специално в присъединяващите се към ЕС държави и съседните на ЕС държави;</w:t>
      </w:r>
    </w:p>
    <w:p w:rsidR="00870686" w:rsidRPr="00634841" w:rsidRDefault="00870686" w:rsidP="00870686">
      <w:pPr>
        <w:pStyle w:val="NormalHanging12a"/>
      </w:pPr>
      <w:r w:rsidRPr="00634841">
        <w:t>П.</w:t>
      </w:r>
      <w:r w:rsidRPr="00634841">
        <w:tab/>
        <w:t>като има предвид, че освен бюрата за връзка на Европейския парламент извън ЕС в Лондон и Вашингтон, Парламентът разполага с местни офиси към Организацията на обединените нации в Ню Йорк, към Африканския съюз в Адис Абеба и към Асоциацията на народите от Югоизточна Азия в Джакарта, които имат за цел засилване на парламентарното сътрудничество с тези многостранни организации;</w:t>
      </w:r>
    </w:p>
    <w:p w:rsidR="00870686" w:rsidRPr="00634841" w:rsidRDefault="00870686" w:rsidP="00870686">
      <w:pPr>
        <w:pStyle w:val="NormalHanging12a"/>
      </w:pPr>
      <w:r w:rsidRPr="00634841">
        <w:t>Р.</w:t>
      </w:r>
      <w:r w:rsidRPr="00634841">
        <w:tab/>
        <w:t>като има предвид, че в член 5, параграф 7 от Решение 2010/427/ЕС на Съвета се посочва, че „в контактите си с международните организации или третите държави, към които са акредитирани, делегациите на Съюза разполагат с капацитет да отговорят на нуждите на други институции на Съюза, по-специално Европейския парламент“;</w:t>
      </w:r>
    </w:p>
    <w:p w:rsidR="00870686" w:rsidRPr="00634841" w:rsidRDefault="00870686" w:rsidP="00870686">
      <w:pPr>
        <w:pStyle w:val="Normal12a24b"/>
      </w:pPr>
      <w:r w:rsidRPr="00634841">
        <w:rPr>
          <w:rStyle w:val="BoldItalic"/>
        </w:rPr>
        <w:t>Укрепване на парламентарната дипломация</w:t>
      </w:r>
    </w:p>
    <w:p w:rsidR="00870686" w:rsidRPr="00634841" w:rsidRDefault="00870686" w:rsidP="00870686">
      <w:pPr>
        <w:pStyle w:val="NormalHanging12a"/>
      </w:pPr>
      <w:r w:rsidRPr="00634841">
        <w:t>1.</w:t>
      </w:r>
      <w:r w:rsidRPr="00634841">
        <w:tab/>
        <w:t>приветства нарастващата роля на Парламента във външната дейност на ЕС – роля, която постепенно става все по-значима и която съчетава неговите законодателни, бюджетни и контролни правомощия с множество форми на публични и негласни взаимодействия с международни организации, държави, общества и отделни граждани извън ЕС;</w:t>
      </w:r>
    </w:p>
    <w:p w:rsidR="00870686" w:rsidRPr="00634841" w:rsidRDefault="00870686" w:rsidP="00870686">
      <w:pPr>
        <w:pStyle w:val="NormalHanging12a"/>
      </w:pPr>
      <w:r w:rsidRPr="00634841">
        <w:t>2.</w:t>
      </w:r>
      <w:r w:rsidRPr="00634841">
        <w:tab/>
        <w:t>изтъква ясно определената роля и стойност на парламентарната дипломация на ЕС за допълването и укрепването на видимостта и въздействието на външната политика и политиката на сигурност на ЕС, наред с Европейската служба за външна дейност (ЕСВД), Комисията и дипломатическите служби и парламентите на държавите членки, а същевременно и за запазването на собствената автономност на Парламента;</w:t>
      </w:r>
    </w:p>
    <w:p w:rsidR="00870686" w:rsidRPr="00634841" w:rsidRDefault="00870686" w:rsidP="00870686">
      <w:pPr>
        <w:pStyle w:val="NormalHanging12a"/>
      </w:pPr>
      <w:r w:rsidRPr="00634841">
        <w:t>3.</w:t>
      </w:r>
      <w:r w:rsidRPr="00634841">
        <w:tab/>
        <w:t xml:space="preserve">подчертава значението на парламентарната дипломация като средство за достигане до по-разнообразни заинтересовани страни в държавите партньори и държавите извън ЕС с цел повишаване на осведомеността относно законодателството и позициите на ЕС, по-добро разбиране на възприятията, въздействието и последиците от това законодателство и тези позиции в съответните държави и изграждане на съюзи между партньори и стабилни партньорства във все по-сложен и </w:t>
      </w:r>
      <w:proofErr w:type="spellStart"/>
      <w:r w:rsidRPr="00634841">
        <w:t>многополюсен</w:t>
      </w:r>
      <w:proofErr w:type="spellEnd"/>
      <w:r w:rsidRPr="00634841">
        <w:t xml:space="preserve"> международен контекст;</w:t>
      </w:r>
    </w:p>
    <w:p w:rsidR="00870686" w:rsidRPr="00634841" w:rsidRDefault="00870686" w:rsidP="00870686">
      <w:pPr>
        <w:pStyle w:val="NormalHanging12a"/>
      </w:pPr>
      <w:r w:rsidRPr="00634841">
        <w:t>4.</w:t>
      </w:r>
      <w:r w:rsidRPr="00634841">
        <w:tab/>
        <w:t>изразява съжаление във връзка с факта, че въпреки определения си принос за постигането на целите на външната политика и политика на сигурност на ЕС, както и добавената стойност и взаимното допълване, които осигурява парламентарната дипломация, Парламентът все още не е напълно признат от Комисията, Съвета и ЕСВД като неразделен участник в рамките на подхода „Екип Европа“;</w:t>
      </w:r>
    </w:p>
    <w:p w:rsidR="00870686" w:rsidRPr="00634841" w:rsidRDefault="00870686" w:rsidP="00870686">
      <w:pPr>
        <w:pStyle w:val="NormalHanging12a"/>
      </w:pPr>
      <w:r w:rsidRPr="00634841">
        <w:t>5.</w:t>
      </w:r>
      <w:r w:rsidRPr="00634841">
        <w:tab/>
        <w:t>счита, че Парламентът разполага с огромен неоползотворен потенциал за по-нататъшното развитие на дипломатическата си роля и на приноса си за постигането на целите на външната политика и политика на сигурност на ЕС;</w:t>
      </w:r>
    </w:p>
    <w:p w:rsidR="00870686" w:rsidRPr="00634841" w:rsidRDefault="00870686" w:rsidP="00870686">
      <w:pPr>
        <w:pStyle w:val="Normal12a24b"/>
      </w:pPr>
      <w:r w:rsidRPr="00634841">
        <w:rPr>
          <w:rStyle w:val="BoldItalic"/>
        </w:rPr>
        <w:t>Инструменти, средства и ценности на парламентарната дипломация</w:t>
      </w:r>
    </w:p>
    <w:p w:rsidR="00870686" w:rsidRPr="00634841" w:rsidRDefault="00870686" w:rsidP="00870686">
      <w:pPr>
        <w:pStyle w:val="NormalHanging12a"/>
      </w:pPr>
      <w:r w:rsidRPr="00634841">
        <w:lastRenderedPageBreak/>
        <w:t>6.</w:t>
      </w:r>
      <w:r w:rsidRPr="00634841">
        <w:tab/>
        <w:t>изтъква конкретния, динамичен и видим за обществото принос на Парламента към външната политика и политика на сигурност на ЕС и към справянето с глобалните предизвикателства чрез дейността на неговите комисии, работещи в областта на външните работи, включително подкомисиите по правата на човека и по сигурност и отбрана, които допринасят за отношенията с държави извън ЕС, международни организации и гражданското общество по света;</w:t>
      </w:r>
    </w:p>
    <w:p w:rsidR="00870686" w:rsidRPr="00634841" w:rsidRDefault="00870686" w:rsidP="00870686">
      <w:pPr>
        <w:pStyle w:val="NormalHanging12a"/>
      </w:pPr>
      <w:r w:rsidRPr="00634841">
        <w:t>7.</w:t>
      </w:r>
      <w:r w:rsidRPr="00634841">
        <w:tab/>
        <w:t>отбелязва, че постоянните делегации извършват важна и допълнителна спрямо дейността на комисиите работа, като създават редовен и непрекъснат форум за политически диалог с държави извън ЕС и международни организации, включително чрез съвместни парламентарни органи и многостранни асамблеи;</w:t>
      </w:r>
    </w:p>
    <w:p w:rsidR="00870686" w:rsidRPr="00634841" w:rsidRDefault="00870686" w:rsidP="00870686">
      <w:pPr>
        <w:pStyle w:val="NormalHanging12a"/>
      </w:pPr>
      <w:r w:rsidRPr="00634841">
        <w:t>8.</w:t>
      </w:r>
      <w:r w:rsidRPr="00634841">
        <w:tab/>
        <w:t>подчертава, че постоянните делегации играят ключова роля като връзка между Парламента и неговите партньори по света с оглед на улесняването на взаимодействието, осигуряването на постоянен поток от информация на комисиите и другите органи на Парламента, обсъждането на позиции и политики от общ интерес, както и изслушването на различни партньори и други заинтересовани страни и предаването на мненията им на компетентните органи в рамките на Парламента;</w:t>
      </w:r>
    </w:p>
    <w:p w:rsidR="00870686" w:rsidRPr="00634841" w:rsidRDefault="00870686" w:rsidP="00870686">
      <w:pPr>
        <w:pStyle w:val="NormalHanging12a"/>
      </w:pPr>
      <w:r w:rsidRPr="00634841">
        <w:t>9.</w:t>
      </w:r>
      <w:r w:rsidRPr="00634841">
        <w:tab/>
        <w:t>счита, че официалните мисии на Парламента извън ЕС формират неразделна част от външната политика на ЕС и поради това трябва да се ползват от пълната подкрепа на делегациите на ЕС, както и от най-високо равнище на информация и сигурност от ЕСВД в това отношение; призовава Центърът на ЕСВД за реакция при кризи да бъде обезпечен с всички необходими ресурси; счита, че по-добра координация, планиране и определяне на приоритети за мисиите между различните органи на Парламента биха повишили последователността, надеждността и въздействието на дипломатическата роля на Парламента;</w:t>
      </w:r>
    </w:p>
    <w:p w:rsidR="00870686" w:rsidRPr="00634841" w:rsidRDefault="00870686" w:rsidP="00870686">
      <w:pPr>
        <w:pStyle w:val="NormalHanging12a"/>
      </w:pPr>
      <w:r w:rsidRPr="00634841">
        <w:t>10.</w:t>
      </w:r>
      <w:r w:rsidRPr="00634841">
        <w:tab/>
        <w:t>предлага съответните органи на Парламента да организират вътрешната координация, наред с другото, чрез периодично изготвяне на списък с приоритетни държави, с които да се търсят контакти въз основа на предстоящи законодателни досиета и геополитически или стратегически приоритети, чрез провеждане на съвместна размяна на мнения с тези приоритетни държави относно отношенията с ЕС или относно хоризонтални геополитически въпроси или въпроси, свързани с конфликти, и чрез насърчаване на полезните взаимодействия между мисиите на Парламента в чужбина, за да се избегне ненужно дублиране, да се рационализират ресурсите и да се подобри съгласуваността в посланията на Парламента;</w:t>
      </w:r>
    </w:p>
    <w:p w:rsidR="00870686" w:rsidRPr="00634841" w:rsidRDefault="00870686" w:rsidP="00870686">
      <w:pPr>
        <w:pStyle w:val="NormalHanging12a"/>
      </w:pPr>
      <w:r w:rsidRPr="00634841">
        <w:t>11.</w:t>
      </w:r>
      <w:r w:rsidRPr="00634841">
        <w:tab/>
        <w:t>подчертава, че парламентаристите следва да бъдат напълно подготвени относно измеренията на културата и международните културни отношения на дадена държава извън ЕС, когато изпълняват официална мисия, за да могат да насърчават култура на диалог в контекста на диалог между културите; във връзка с това призовава ЕСВД, и по-специално нейното подразделение за стратегическа комуникация и прогнозиране, да подкрепя изцяло официалните мисии на Парламента в държави извън ЕС;</w:t>
      </w:r>
    </w:p>
    <w:p w:rsidR="00870686" w:rsidRPr="00634841" w:rsidRDefault="00870686" w:rsidP="00870686">
      <w:pPr>
        <w:pStyle w:val="NormalHanging12a"/>
      </w:pPr>
      <w:r w:rsidRPr="00634841">
        <w:t>12.</w:t>
      </w:r>
      <w:r w:rsidRPr="00634841">
        <w:tab/>
        <w:t xml:space="preserve">счита, че политическият диалог, провеждан от Парламента и отделните му членове с правителствени и парламентарни участници и участници от гражданското общество по цял свят, допринася за популяризиране на приоритетите, възгледите и ценностите на ЕС по отношение на глобалните </w:t>
      </w:r>
      <w:r w:rsidRPr="00634841">
        <w:lastRenderedPageBreak/>
        <w:t>стандарти в области като универсалните права на човека и демокрацията, правата на ЛГБТИ лицата, правата на жените и равенството между половете, дипломацията в сферата на климата и енергетиката, свързаността, изкуствения интелект и политиките в областта на цифровите и другите технологии;</w:t>
      </w:r>
    </w:p>
    <w:p w:rsidR="00870686" w:rsidRPr="00634841" w:rsidRDefault="00870686" w:rsidP="00870686">
      <w:pPr>
        <w:pStyle w:val="NormalHanging12a"/>
      </w:pPr>
      <w:r w:rsidRPr="00634841">
        <w:t>13.</w:t>
      </w:r>
      <w:r w:rsidRPr="00634841">
        <w:tab/>
        <w:t xml:space="preserve">подчертава последователната </w:t>
      </w:r>
      <w:proofErr w:type="spellStart"/>
      <w:r w:rsidRPr="00634841">
        <w:t>отдаденост</w:t>
      </w:r>
      <w:proofErr w:type="spellEnd"/>
      <w:r w:rsidRPr="00634841">
        <w:t xml:space="preserve"> на Парламента в поставянето на правата на човека, принципите на правовата държава и демокрацията в основата на външната дейност на ЕС и в предоставянето на ключов форум, в който да се чува и засилва гласът на гражданското общество и демократичните сили от цял свят; изтъква в тази връзка своите действия в подкрепа на защитниците на правата на човека, парламентаристите, изложени на риск, и младите политически лидери, както и в подкрепа на участието на жените в политическия живот и борбата срещу дезинформацията; призовава за по-нататъшно развитие на действията на Парламента и за даване на глас на онези, чиито права са изложени на риск, през следващия парламентарен мандат;</w:t>
      </w:r>
    </w:p>
    <w:p w:rsidR="00870686" w:rsidRPr="00634841" w:rsidRDefault="00870686" w:rsidP="00870686">
      <w:pPr>
        <w:pStyle w:val="NormalHanging12a"/>
      </w:pPr>
      <w:r w:rsidRPr="00634841">
        <w:t>14.</w:t>
      </w:r>
      <w:r w:rsidRPr="00634841">
        <w:tab/>
        <w:t>изтъква ключовото значение на разискванията и резолюциите относно нарушенията на правата на човека, демокрацията и принципите на правовата държава като един от инструментите на Парламента с най-голямо въздействие в чужбина при усилията относно положението с правата на човека в държави извън ЕС; поради това призовава за по-добра видимост на тези разисквания и резолюции, включително по отношение на дневния ред на пленарните сесии и в съответствие с работата на комисиите и други парламентарни органи;</w:t>
      </w:r>
    </w:p>
    <w:p w:rsidR="00870686" w:rsidRPr="00634841" w:rsidRDefault="00870686" w:rsidP="00870686">
      <w:pPr>
        <w:pStyle w:val="NormalHanging12a"/>
      </w:pPr>
      <w:r w:rsidRPr="00634841">
        <w:t>15.</w:t>
      </w:r>
      <w:r w:rsidRPr="00634841">
        <w:tab/>
        <w:t>подчертава значението и уникалния характер на ролята на Парламента в мисиите за наблюдение на избори и в по-широк план в програмите за подкрепа на демокрацията, като например укрепването на парламентарната демокрация в държави извън ЕС, както и в инициативи, включващи посредничество, улесняване на изграждането на капацитет, предотвратяване на конфликти, насърчаване на консенсусна и демократична парламентарна култура и утвърждаване на правата на човека; призовава констатациите от дейностите на Групата за подкрепа на демокрацията и координация на избори относно конкретни държави, както и тези, произтичащи от мисиите на ЕС за наблюдение на избори, да бъдат по-добре интегрирани в съответната работа на комисиите и делегациите, както и в пленарните сесии, когато акцентът е върху въпросните държави;</w:t>
      </w:r>
    </w:p>
    <w:p w:rsidR="00870686" w:rsidRPr="00634841" w:rsidRDefault="00870686" w:rsidP="00870686">
      <w:pPr>
        <w:pStyle w:val="NormalHanging12a"/>
      </w:pPr>
      <w:r w:rsidRPr="00634841">
        <w:t>16.</w:t>
      </w:r>
      <w:r w:rsidRPr="00634841">
        <w:tab/>
        <w:t xml:space="preserve">призовава за засилена координация с Комисията, включително Генерална дирекция „Европейска политика за съседство и преговори за разширяване“ и Генерална дирекция „Международни партньорства“, за подкрепа на парламентарната демокрация по света и за засилване на институционалната подкрепа за парламентите; предлага мрежата с националните парламенти за подкрепа на демокрацията, създадена от Парламента, да се превърне в редовно институционално място за координиране на дейностите и извличане на максимална полза от експертния опит; </w:t>
      </w:r>
    </w:p>
    <w:p w:rsidR="00870686" w:rsidRPr="00634841" w:rsidRDefault="00870686" w:rsidP="00870686">
      <w:pPr>
        <w:pStyle w:val="NormalHanging12a"/>
      </w:pPr>
      <w:r w:rsidRPr="00634841">
        <w:t>17.</w:t>
      </w:r>
      <w:r w:rsidRPr="00634841">
        <w:tab/>
        <w:t>подчертава необходимостта от постигане на баланс между половете във всички дейности и мисии, включително представителствата на Парламента, когато пътуват извън ЕС, и от разширяване на експертния опит в областта на равенството между половете чрез включването на експерти в областта на равенството между половете като част от действията и програмите за парламентарно подпомагане;</w:t>
      </w:r>
    </w:p>
    <w:p w:rsidR="00870686" w:rsidRPr="00634841" w:rsidRDefault="00870686" w:rsidP="00870686">
      <w:pPr>
        <w:pStyle w:val="Normal12a24b"/>
      </w:pPr>
      <w:r w:rsidRPr="00634841">
        <w:rPr>
          <w:rStyle w:val="BoldItalic"/>
        </w:rPr>
        <w:lastRenderedPageBreak/>
        <w:t>Принос на Парламента към външната политика и политика на сигурност на ЕС</w:t>
      </w:r>
    </w:p>
    <w:p w:rsidR="00870686" w:rsidRPr="00634841" w:rsidRDefault="00870686" w:rsidP="00870686">
      <w:pPr>
        <w:pStyle w:val="NormalHanging12a"/>
      </w:pPr>
      <w:r w:rsidRPr="00634841">
        <w:t>18.</w:t>
      </w:r>
      <w:r w:rsidRPr="00634841">
        <w:tab/>
        <w:t>счита, че следващият парламентарен мандат и създаването на бъдещата Комисия следва да бъдат възможност за укрепване на рамката на междуинституционалните отношения между Парламента, ЕСВД и Комисията, включително делегациите на ЕС, с цел да се насърчи парламентарната дипломация и да се укрепи инструментариумът на ЕС за външни дейности;</w:t>
      </w:r>
    </w:p>
    <w:p w:rsidR="00870686" w:rsidRPr="00634841" w:rsidRDefault="00870686" w:rsidP="00870686">
      <w:pPr>
        <w:pStyle w:val="NormalHanging12a"/>
      </w:pPr>
      <w:r w:rsidRPr="00634841">
        <w:t>19.</w:t>
      </w:r>
      <w:r w:rsidRPr="00634841">
        <w:tab/>
        <w:t>призовава по-специално надзорът от страна на Парламента над работата в областта на външната политика и политика на сигурност на ЕС да бъде засилен чрез подобряване на равнището на отчетност и прозрачност на ЕСВД и службите за външна дейност на Комисията; изтъква в този контекст необходимостта от актуализация на Декларацията от 2010 г. относно политическата отчетност, за да се предефинират отношенията между ЕСВД и Парламента;</w:t>
      </w:r>
    </w:p>
    <w:p w:rsidR="00870686" w:rsidRPr="00634841" w:rsidRDefault="00870686" w:rsidP="00870686">
      <w:pPr>
        <w:pStyle w:val="NormalHanging12a"/>
      </w:pPr>
      <w:r w:rsidRPr="00634841">
        <w:t>20.</w:t>
      </w:r>
      <w:r w:rsidRPr="00634841">
        <w:tab/>
        <w:t>призовава Комисията, Съвета и държавите членки реално да включат Парламента в изпълнението и контрола на въпросите от стратегическо значение в областта на външните работи на ЕС, включително прилагането на ограничителни мерки, както и в контрола на инструментите за външно финансиране;</w:t>
      </w:r>
    </w:p>
    <w:p w:rsidR="00870686" w:rsidRPr="00634841" w:rsidRDefault="00870686" w:rsidP="00870686">
      <w:pPr>
        <w:pStyle w:val="NormalHanging12a"/>
      </w:pPr>
      <w:r w:rsidRPr="00634841">
        <w:t>21.</w:t>
      </w:r>
      <w:r w:rsidRPr="00634841">
        <w:tab/>
        <w:t>настоятелно припомня, че съгласно член 36 от ДЕС Парламентът има право на информация по въпросите на ОВППС, включително по отношение на навременния достъп до доклади, национални стратегии и друга поверителна информация, която задава посоката на провеждане на ОВППС на ЕС; подчертава в тази връзка значението на финализирането във възможно най-кратък срок на актуализацията на Междуинституционалното споразумение от 20 ноември 2002 г. между Европейския парламент и Съвета относно достъпа на Европейския парламент до чувствителна информация на Съвета в областта на политиката на сигурност и отбрана;</w:t>
      </w:r>
    </w:p>
    <w:p w:rsidR="00870686" w:rsidRPr="00634841" w:rsidRDefault="00870686" w:rsidP="00870686">
      <w:pPr>
        <w:pStyle w:val="NormalHanging12a"/>
      </w:pPr>
      <w:r w:rsidRPr="00634841">
        <w:t>22.</w:t>
      </w:r>
      <w:r w:rsidRPr="00634841">
        <w:tab/>
        <w:t xml:space="preserve">подчертава, че контролната функция на Парламента и правомощията му за мониторинг на преговорите и изпълнението на международните споразумения следва да му отредят решаваща роля за формирането на диалога на Съюза с държави извън ЕС и с международни организации и на цялостните му действия на международната сцена, което също така би позволило на ЕС да насърчава интегрирането на принципа на равенство между половете и дипломацията по въпросите на климата в международните отношения; във връзка с това изразява съжаление относно т.нар. неформални или ad hoc договорености, които не изискват одобрението на Парламента и следователно подкопават правомощията на Парламента като </w:t>
      </w:r>
      <w:proofErr w:type="spellStart"/>
      <w:r w:rsidRPr="00634841">
        <w:t>съзаконодател</w:t>
      </w:r>
      <w:proofErr w:type="spellEnd"/>
      <w:r w:rsidRPr="00634841">
        <w:t xml:space="preserve"> и неговата надзорна роля;</w:t>
      </w:r>
    </w:p>
    <w:p w:rsidR="00870686" w:rsidRPr="00634841" w:rsidRDefault="00870686" w:rsidP="00870686">
      <w:pPr>
        <w:pStyle w:val="NormalHanging12a"/>
      </w:pPr>
      <w:r w:rsidRPr="00634841">
        <w:t>23.</w:t>
      </w:r>
      <w:r w:rsidRPr="00634841">
        <w:tab/>
        <w:t>счита, че посланиците на ЕС в стратегически държави и специалните представители на ЕС следва да бъдат потвърждавани само след положителна оценка от комисията по външни работи на Парламента;</w:t>
      </w:r>
    </w:p>
    <w:p w:rsidR="00870686" w:rsidRPr="00634841" w:rsidRDefault="00870686" w:rsidP="00870686">
      <w:pPr>
        <w:pStyle w:val="NormalHanging12a"/>
      </w:pPr>
      <w:r w:rsidRPr="00634841">
        <w:t>24.</w:t>
      </w:r>
      <w:r w:rsidRPr="00634841">
        <w:tab/>
        <w:t>призовава за по-систематично участие на председателите на външните комисии на Парламента в заседанията и събитията на високо равнище в областта на ОВППС, включително Съвета по външни работи; призовава за съвместни делегации на ЕСВД, Комисията и Парламента на големи многостранни и регионални събирания;</w:t>
      </w:r>
    </w:p>
    <w:p w:rsidR="00870686" w:rsidRPr="00634841" w:rsidRDefault="00870686" w:rsidP="00870686">
      <w:pPr>
        <w:pStyle w:val="NormalHanging12a"/>
      </w:pPr>
      <w:r w:rsidRPr="00634841">
        <w:lastRenderedPageBreak/>
        <w:t>25.</w:t>
      </w:r>
      <w:r w:rsidRPr="00634841">
        <w:tab/>
        <w:t>настоява, че всички ключови стратегически документи относно политиката, приети от Комисията и Съвета по отношение на осъществяването на външната политика на ЕС, следва да се изготвят в консултация с Парламента и да включват ролята на Парламента и неговия принос;</w:t>
      </w:r>
    </w:p>
    <w:p w:rsidR="00870686" w:rsidRPr="00634841" w:rsidRDefault="00870686" w:rsidP="00870686">
      <w:pPr>
        <w:pStyle w:val="NormalHanging12a"/>
      </w:pPr>
      <w:r w:rsidRPr="00634841">
        <w:t>26.</w:t>
      </w:r>
      <w:r w:rsidRPr="00634841">
        <w:tab/>
        <w:t xml:space="preserve">призовава за засилване на отношенията на Парламента с националните парламенти на държавите членки, които са в особено добра позиция да служат като мост към изпълнителната власт на държавите членки; поради това подчертава, че </w:t>
      </w:r>
      <w:proofErr w:type="spellStart"/>
      <w:r w:rsidRPr="00634841">
        <w:t>междупарламентарната</w:t>
      </w:r>
      <w:proofErr w:type="spellEnd"/>
      <w:r w:rsidRPr="00634841">
        <w:t xml:space="preserve"> конференция относно ОВППС/ОПСО, както и </w:t>
      </w:r>
      <w:proofErr w:type="spellStart"/>
      <w:r w:rsidRPr="00634841">
        <w:t>междупарламентарните</w:t>
      </w:r>
      <w:proofErr w:type="spellEnd"/>
      <w:r w:rsidRPr="00634841">
        <w:t xml:space="preserve"> конференции, провеждани ежегодно от подкомисията по правата на човека, представляват важен форум за обмен на информация и най-добри практики между националните парламенти и Европейския парламент в съответните области и следва да бъдат задълбочени;</w:t>
      </w:r>
    </w:p>
    <w:p w:rsidR="00870686" w:rsidRPr="00634841" w:rsidRDefault="00870686" w:rsidP="00870686">
      <w:pPr>
        <w:pStyle w:val="NormalHanging12a"/>
      </w:pPr>
      <w:r w:rsidRPr="00634841">
        <w:t>27.</w:t>
      </w:r>
      <w:r w:rsidRPr="00634841">
        <w:tab/>
        <w:t xml:space="preserve">счита, че Парламентът може да играе уникална роля за доближаването на външната политика на ЕС до европейските граждани и за укрепване на демократичната ѝ легитимност, по-специално чрез ангажираност със субекти на </w:t>
      </w:r>
      <w:proofErr w:type="spellStart"/>
      <w:r w:rsidRPr="00634841">
        <w:t>поднационално</w:t>
      </w:r>
      <w:proofErr w:type="spellEnd"/>
      <w:r w:rsidRPr="00634841">
        <w:t xml:space="preserve"> равнище, например органи и парламенти на регионалното управление, като по този начин дава възможност за многостепенна дипломация съгласно съответните правни и институционални рамки за външната политика на ЕС и на държавите членки, която да допринася за външните действия на равнище ЕС и да ги надгражда;</w:t>
      </w:r>
    </w:p>
    <w:p w:rsidR="00870686" w:rsidRPr="00634841" w:rsidRDefault="00870686" w:rsidP="00870686">
      <w:pPr>
        <w:pStyle w:val="NormalHanging12a"/>
      </w:pPr>
      <w:r w:rsidRPr="00634841">
        <w:t>28.</w:t>
      </w:r>
      <w:r w:rsidRPr="00634841">
        <w:tab/>
        <w:t>отново призовава за развитие на автономна дипломация на ЕС, характеризирана от обща дипломатическа култура от гледна точка на ЕС, и подчертава ролята на Парламента в това отношение; счита, че изпълнението на пилотния проект на Парламента за създаване на Европейска дипломатическа академия, и по-специално нейната бъдеща и постоянна структура, е конкретна стъпка в тази посока; призовава да се гарантира постоянното участие и активната роля на Парламента в бъдещите управителни или ръководни органи на Европейската дипломатическа академия, както и в нейните програми и дейности за обучение;</w:t>
      </w:r>
    </w:p>
    <w:p w:rsidR="00870686" w:rsidRPr="00634841" w:rsidRDefault="00870686" w:rsidP="00870686">
      <w:pPr>
        <w:pStyle w:val="NormalHanging12a"/>
      </w:pPr>
      <w:r w:rsidRPr="00634841">
        <w:t>29.</w:t>
      </w:r>
      <w:r w:rsidRPr="00634841">
        <w:tab/>
        <w:t xml:space="preserve">счита, че в контекста на отстъплението от правата на човека и демокрацията в световен мащаб на Парламента е отредена конкретна роля в защитата на основаното на правила многостранно сътрудничество, демокрацията и принципите на правовата държава, в насърчаването на правата на човека и политическия плурализъм, в борбата срещу дезинформацията и външната намеса в държави извън ЕС и в подпомагането на демократично избраните парламенти в световен мащаб да консолидират своите институционални роли и вътрешни методи на работа чрез целенасочени програми; отбелязва, че членовете на ЕП могат да разглеждат по-чувствителни въпроси, например нарушения на правата на човека, и да правят публични изявления по тях, да откриват </w:t>
      </w:r>
      <w:proofErr w:type="spellStart"/>
      <w:r w:rsidRPr="00634841">
        <w:t>общественодостъпни</w:t>
      </w:r>
      <w:proofErr w:type="spellEnd"/>
      <w:r w:rsidRPr="00634841">
        <w:t xml:space="preserve"> или поверителни пътища за комуникация или да се ангажират с местни партньори, когато пространството за традиционната дипломация е по-ограничено;</w:t>
      </w:r>
    </w:p>
    <w:p w:rsidR="00870686" w:rsidRPr="00634841" w:rsidRDefault="00870686" w:rsidP="00870686">
      <w:pPr>
        <w:pStyle w:val="NormalHanging12a"/>
      </w:pPr>
      <w:r w:rsidRPr="00634841">
        <w:t>30.</w:t>
      </w:r>
      <w:r w:rsidRPr="00634841">
        <w:tab/>
        <w:t xml:space="preserve">изтъква специфичната роля на парламентарните органи в подпомагането на държавите партньори и по-специално на държавите, обхванати от процеса на разширяване, както и на потенциалните държави кандидатки от Западните Балкани и на държавите от източното съседство; призовава за укрепване на тяхната роля в процеса на присъединяване към ЕС, като се има предвид специфичната и ключова роля, която националните парламенти играят в необходимия процес на реформи, наред с другото, чрез сближаване на </w:t>
      </w:r>
      <w:r w:rsidRPr="00634841">
        <w:lastRenderedPageBreak/>
        <w:t xml:space="preserve">законодателството, надзор и достигане до гражданите; припомня необходимостта делегациите на ЕС да подкрепят активно това </w:t>
      </w:r>
      <w:proofErr w:type="spellStart"/>
      <w:r w:rsidRPr="00634841">
        <w:t>междупарламентарно</w:t>
      </w:r>
      <w:proofErr w:type="spellEnd"/>
      <w:r w:rsidRPr="00634841">
        <w:t xml:space="preserve"> сътрудничество в държавите кандидатки и потенциални кандидатки;</w:t>
      </w:r>
    </w:p>
    <w:p w:rsidR="00870686" w:rsidRPr="00634841" w:rsidRDefault="00870686" w:rsidP="00870686">
      <w:pPr>
        <w:pStyle w:val="NormalHanging12a"/>
      </w:pPr>
      <w:r w:rsidRPr="00634841">
        <w:t>31.</w:t>
      </w:r>
      <w:r w:rsidRPr="00634841">
        <w:tab/>
        <w:t>приветства новаторските подходи, например започналото неотдавна сътрудничество на равнище комисии между Европейския парламент и Върховната рада на Украйна, и насърчава разработването на допълнителни инициативи в тази област, като се има предвид политическото значение на процеса на разширяване;</w:t>
      </w:r>
    </w:p>
    <w:p w:rsidR="00870686" w:rsidRPr="00634841" w:rsidRDefault="00870686" w:rsidP="00870686">
      <w:pPr>
        <w:pStyle w:val="NormalHanging12a"/>
      </w:pPr>
      <w:r w:rsidRPr="00634841">
        <w:t>32.</w:t>
      </w:r>
      <w:r w:rsidRPr="00634841">
        <w:tab/>
        <w:t>отново призовава за подобряване на институционалния капацитет на ЕС за превантивна дипломация, предотвратяване на конфликти и посредничество и счита, че Парламентът може да предостави експертен опит и да окаже значителен принос чрез своите органи и действия в тази област, включително като се ангажира с механизми за ранно предупреждение и посещения на място;</w:t>
      </w:r>
    </w:p>
    <w:p w:rsidR="00870686" w:rsidRPr="00634841" w:rsidRDefault="00870686" w:rsidP="00870686">
      <w:pPr>
        <w:pStyle w:val="NormalHanging12a"/>
      </w:pPr>
      <w:r w:rsidRPr="00634841">
        <w:t>33.</w:t>
      </w:r>
      <w:r w:rsidRPr="00634841">
        <w:tab/>
        <w:t xml:space="preserve">подчертава, че широката </w:t>
      </w:r>
      <w:proofErr w:type="spellStart"/>
      <w:r w:rsidRPr="00634841">
        <w:t>междупарламентарна</w:t>
      </w:r>
      <w:proofErr w:type="spellEnd"/>
      <w:r w:rsidRPr="00634841">
        <w:t xml:space="preserve"> мрежа, която Парламентът е развил чрез постоянните си делегации и многостранни асамблеи, е основен двигател за обсъждане и координиране на позициите с международните партньори в многостранните форуми, например по отношение на резолюциите на ООН, интегрирането на равенството между половете, дипломацията в областта на климата или позициите в рамките на Г-20, както и за поясняване на намеренията на ЕС пред партньорите и популяризиране на неговите действия; изтъква значимия принос на Парламента към работата на многостранните форуми чрез участието му, наред с другото, в парламентарните срещи на високо равнище на Г-7 и Г-20, както и в заседанията на Интерпарламентарния съюз;</w:t>
      </w:r>
    </w:p>
    <w:p w:rsidR="00870686" w:rsidRPr="00634841" w:rsidRDefault="00870686" w:rsidP="00870686">
      <w:pPr>
        <w:pStyle w:val="NormalHanging12a"/>
      </w:pPr>
      <w:r w:rsidRPr="00634841">
        <w:t>34.</w:t>
      </w:r>
      <w:r w:rsidRPr="00634841">
        <w:tab/>
        <w:t>изтъква ролята на Европейския парламент за постигането на напредък по отношение на равенството между половете в световен мащаб, включително борбата срещу убийствата на жени и насилието, основано на пола, както и правата на ЛГБТИ лицата, във външната дейност на ЕС; отбелязва значението на парламентаристите за насърчаване на чувствителността към аспектите на пола във външните отношения на ЕС чрез повишаване на осведомеността, изграждане на капацитет и споделяне на добри практики, включително, но не само, добавената стойност на гарантирането на балансирани по отношение на пола парламенти и перспектива за равенство между половете във функционирането на парламентарните органи; призовава Парламента да засили допълнително това значимо измерение на парламентарната си дипломация в своите взаимодействия с държавите партньори;</w:t>
      </w:r>
    </w:p>
    <w:p w:rsidR="00870686" w:rsidRPr="00634841" w:rsidRDefault="00870686" w:rsidP="00870686">
      <w:pPr>
        <w:pStyle w:val="NormalHanging12a"/>
      </w:pPr>
      <w:r w:rsidRPr="00634841">
        <w:t>35.</w:t>
      </w:r>
      <w:r w:rsidRPr="00634841">
        <w:tab/>
        <w:t>счита, че с оглед на цел за устойчиво развитие № 5 (постигане на равенство между половете и овластяване на всички жени и момичета) Парламентът трябва да играе значима роля за достигането на ключови стратегически показатели за равенство между половете;</w:t>
      </w:r>
    </w:p>
    <w:p w:rsidR="00870686" w:rsidRPr="00634841" w:rsidRDefault="00870686" w:rsidP="00870686">
      <w:pPr>
        <w:pStyle w:val="NormalHanging12a"/>
      </w:pPr>
      <w:r w:rsidRPr="00634841">
        <w:t>36.</w:t>
      </w:r>
      <w:r w:rsidRPr="00634841">
        <w:tab/>
        <w:t>подчертава застъпничеството на Парламента за ратифицирането и прилагането на съответните международни конвенции и факултативни протоколи на ООН и други, като например Парижкото споразумение и Конвенцията за превенция и борба с насилието над жени и домашното насилие;</w:t>
      </w:r>
    </w:p>
    <w:p w:rsidR="00870686" w:rsidRPr="00634841" w:rsidRDefault="00870686" w:rsidP="00870686">
      <w:pPr>
        <w:pStyle w:val="Normal12a24b"/>
      </w:pPr>
      <w:r w:rsidRPr="00634841">
        <w:rPr>
          <w:rStyle w:val="BoldItalic"/>
        </w:rPr>
        <w:t>„Екип Европа“: Парламентът като партньор в областта на външната политика</w:t>
      </w:r>
    </w:p>
    <w:p w:rsidR="00870686" w:rsidRPr="00634841" w:rsidRDefault="00870686" w:rsidP="00870686">
      <w:pPr>
        <w:pStyle w:val="NormalHanging12a"/>
      </w:pPr>
      <w:r w:rsidRPr="00634841">
        <w:lastRenderedPageBreak/>
        <w:t>37.</w:t>
      </w:r>
      <w:r w:rsidRPr="00634841">
        <w:tab/>
        <w:t>счита, че въпреки че Парламентът следва да запази пълната си автономност при осъществяването на своята програма в областта на външната политика, съвместните ad hoc посещения и изявленията на Парламента заедно с представителите на Комисията и Съвета по отношение на ключови събития в държави извън ЕС, осигуряват обещаваща възможност за прилагане на подхода „Екип Европа“; призовава в тази връзка за стартирането на междуинституционална пилотна програма „Екип Европа“ в подбрани държави извън ЕС; призовава чрез тази пилотна програма да се гарантира, че инструментите на Парламента са напълно интегрирани в рамките на съвместен междуинституционален подход към съответните държави;</w:t>
      </w:r>
    </w:p>
    <w:p w:rsidR="00870686" w:rsidRPr="00634841" w:rsidRDefault="00870686" w:rsidP="00870686">
      <w:pPr>
        <w:pStyle w:val="NormalHanging12a"/>
      </w:pPr>
      <w:r w:rsidRPr="00634841">
        <w:t>38.</w:t>
      </w:r>
      <w:r w:rsidRPr="00634841">
        <w:tab/>
        <w:t>осъжда решението на някои държави, включително такива, които имат споразумения с ЕС, да забранят на делегациите на Парламента и на отделни членове на ЕП да влизат на някои или на всички техни територии; осъжда заплахите и санкциите срещу членове на ЕП от държави извън ЕС; настоява Съветът и държавите членки да предприемат незабавни и твърди действия, включително санкции, ако това се счита за необходимо, когато органите на Парламента или отделни членове на ЕП са обект на ограничителни мерки от страна на държави извън ЕС;</w:t>
      </w:r>
    </w:p>
    <w:p w:rsidR="00870686" w:rsidRPr="00634841" w:rsidRDefault="00870686" w:rsidP="00870686">
      <w:pPr>
        <w:pStyle w:val="NormalHanging12a"/>
      </w:pPr>
      <w:r w:rsidRPr="00634841">
        <w:t>39.</w:t>
      </w:r>
      <w:r w:rsidRPr="00634841">
        <w:tab/>
        <w:t>подчертава, че наблюдението на избори е област, в която сътрудничеството между Парламента и ЕСВД е най-добре структурирано, като и двете институции осъществяват дейности по наблюдение на избори, които са добре интегрирани помежду си по няколко начина;</w:t>
      </w:r>
    </w:p>
    <w:p w:rsidR="00870686" w:rsidRPr="00634841" w:rsidRDefault="00870686" w:rsidP="00870686">
      <w:pPr>
        <w:pStyle w:val="NormalHanging12a"/>
      </w:pPr>
      <w:r w:rsidRPr="00634841">
        <w:t>40.</w:t>
      </w:r>
      <w:r w:rsidRPr="00634841">
        <w:tab/>
        <w:t>отново призовава за по-добра стратегическа координация между институциите на ЕС по отношение на неотложните случаи, при които става дума за отделни защитници на правата на човека, журналисти или членове на особено уязвими групи; изразява убеждение, че парламентарната дипломация може да се окаже ефективен и допълващ механизъм за ангажиране с държави извън ЕС по тези казуси; призовава за междуинституционална работна група относно защитниците на правата на човека, която да координира европейските усилия по приоритетните случаи, засягащи такива защитници;</w:t>
      </w:r>
    </w:p>
    <w:p w:rsidR="00870686" w:rsidRPr="00634841" w:rsidRDefault="00870686" w:rsidP="00870686">
      <w:pPr>
        <w:pStyle w:val="NormalHanging12a"/>
      </w:pPr>
      <w:r w:rsidRPr="00634841">
        <w:t>41.</w:t>
      </w:r>
      <w:r w:rsidRPr="00634841">
        <w:tab/>
        <w:t>отново отправя своето искане към ЗП/ВП да приема в сътрудничество с държавите членки и Парламента годишен списък с целеви държави, пораждащи сериозно безпокойство във връзка с тежкото положение на защитниците на правата на човека и активистите за демокрация, който, наред с другото, би позволил напълно координиран практически отговор на „Екип Европа“ на място; счита, че Парламентът би могъл да играе решаваща роля, като използва своите институционални и други средства в подкрепа на този целенасочен и съвместен подход;</w:t>
      </w:r>
    </w:p>
    <w:p w:rsidR="00870686" w:rsidRDefault="00870686" w:rsidP="007F0D20">
      <w:pPr>
        <w:pStyle w:val="NormalHanging12a"/>
        <w:rPr>
          <w:snapToGrid/>
          <w:lang w:eastAsia="en-GB"/>
        </w:rPr>
      </w:pPr>
      <w:r w:rsidRPr="00634841">
        <w:t>42.</w:t>
      </w:r>
      <w:r w:rsidRPr="00634841">
        <w:tab/>
        <w:t>призовава всяка делегация на ЕС да оповестява на своя уебсайт работата на Парламента, която има отношение към държавата, в която се намира делегацията, включително на местния език, и да поддържа обратна връзка с местните органи и групи от гражданското общество;</w:t>
      </w:r>
    </w:p>
    <w:p w:rsidR="007F0D20" w:rsidRDefault="007F0D20" w:rsidP="007F0D20">
      <w:pPr>
        <w:pStyle w:val="NormalHanging12a"/>
        <w:ind w:left="0" w:firstLine="0"/>
        <w:jc w:val="center"/>
      </w:pPr>
      <w:r>
        <w:t>°</w:t>
      </w:r>
    </w:p>
    <w:p w:rsidR="007F0D20" w:rsidRDefault="007F0D20" w:rsidP="007F0D20">
      <w:pPr>
        <w:pStyle w:val="NormalHanging12a"/>
        <w:ind w:left="0" w:firstLine="0"/>
        <w:jc w:val="center"/>
      </w:pPr>
      <w:r>
        <w:t>°     °</w:t>
      </w:r>
    </w:p>
    <w:p w:rsidR="00870686" w:rsidRPr="00634841" w:rsidRDefault="00870686" w:rsidP="00870686">
      <w:pPr>
        <w:pStyle w:val="NormalHanging12a"/>
      </w:pPr>
      <w:r w:rsidRPr="00634841">
        <w:lastRenderedPageBreak/>
        <w:t>43.</w:t>
      </w:r>
      <w:r w:rsidRPr="00634841">
        <w:tab/>
        <w:t>възлага на своя председател да предаде настоящата резолюция на Съвета, Комисията, заместник-председателя на Комисията/върховен представител на Съюза по въпросите на външните работи и политиката на сигурност, както и на правителствата и парламентите на държавите членки.</w:t>
      </w:r>
    </w:p>
    <w:sectPr w:rsidR="00870686" w:rsidRPr="00634841" w:rsidSect="00634841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BF8" w:rsidRPr="00634841" w:rsidRDefault="00F51BF8">
      <w:r w:rsidRPr="00634841">
        <w:separator/>
      </w:r>
    </w:p>
  </w:endnote>
  <w:endnote w:type="continuationSeparator" w:id="0">
    <w:p w:rsidR="00F51BF8" w:rsidRPr="00634841" w:rsidRDefault="00F51BF8">
      <w:r w:rsidRPr="006348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BF8" w:rsidRPr="00634841" w:rsidRDefault="00F51BF8">
      <w:r w:rsidRPr="00634841">
        <w:separator/>
      </w:r>
    </w:p>
  </w:footnote>
  <w:footnote w:type="continuationSeparator" w:id="0">
    <w:p w:rsidR="00F51BF8" w:rsidRPr="00634841" w:rsidRDefault="00F51BF8">
      <w:r w:rsidRPr="00634841">
        <w:continuationSeparator/>
      </w:r>
    </w:p>
  </w:footnote>
  <w:footnote w:id="1">
    <w:p w:rsidR="00870686" w:rsidRPr="00634841" w:rsidRDefault="00870686" w:rsidP="00634841">
      <w:pPr>
        <w:pStyle w:val="FootnoteText"/>
        <w:ind w:left="567" w:hanging="567"/>
        <w:rPr>
          <w:sz w:val="24"/>
          <w:lang w:val="bg-BG"/>
        </w:rPr>
      </w:pPr>
      <w:r w:rsidRPr="00634841">
        <w:rPr>
          <w:rStyle w:val="FootnoteReference"/>
          <w:sz w:val="24"/>
          <w:lang w:val="bg-BG"/>
        </w:rPr>
        <w:footnoteRef/>
      </w:r>
      <w:r w:rsidR="00634841" w:rsidRPr="00634841">
        <w:rPr>
          <w:sz w:val="24"/>
          <w:lang w:val="bg-BG"/>
        </w:rPr>
        <w:t xml:space="preserve"> </w:t>
      </w:r>
      <w:r w:rsidR="00634841" w:rsidRPr="00634841">
        <w:rPr>
          <w:sz w:val="24"/>
          <w:lang w:val="bg-BG"/>
        </w:rPr>
        <w:tab/>
      </w:r>
      <w:r w:rsidRPr="00634841">
        <w:rPr>
          <w:sz w:val="24"/>
          <w:lang w:val="bg-BG"/>
        </w:rPr>
        <w:t>ОВ L 201, 3.8.2010 г., стр. 30.</w:t>
      </w:r>
    </w:p>
  </w:footnote>
  <w:footnote w:id="2">
    <w:p w:rsidR="00870686" w:rsidRPr="00634841" w:rsidRDefault="00870686" w:rsidP="00634841">
      <w:pPr>
        <w:pStyle w:val="FootnoteText"/>
        <w:ind w:left="567" w:hanging="567"/>
        <w:rPr>
          <w:sz w:val="24"/>
          <w:lang w:val="bg-BG"/>
        </w:rPr>
      </w:pPr>
      <w:r w:rsidRPr="00634841">
        <w:rPr>
          <w:rStyle w:val="FootnoteReference"/>
          <w:sz w:val="24"/>
          <w:lang w:val="bg-BG"/>
        </w:rPr>
        <w:footnoteRef/>
      </w:r>
      <w:r w:rsidR="00634841" w:rsidRPr="00634841">
        <w:rPr>
          <w:sz w:val="24"/>
          <w:lang w:val="bg-BG"/>
        </w:rPr>
        <w:t xml:space="preserve"> </w:t>
      </w:r>
      <w:r w:rsidR="00634841" w:rsidRPr="00634841">
        <w:rPr>
          <w:sz w:val="24"/>
          <w:lang w:val="bg-BG"/>
        </w:rPr>
        <w:tab/>
      </w:r>
      <w:r w:rsidRPr="00634841">
        <w:rPr>
          <w:sz w:val="24"/>
          <w:lang w:val="bg-BG"/>
        </w:rPr>
        <w:t>ОВ C, C/2023/410, 23.11.2023</w:t>
      </w:r>
      <w:r w:rsidR="00802B4B">
        <w:rPr>
          <w:sz w:val="24"/>
          <w:lang w:val="bg-BG"/>
        </w:rPr>
        <w:t> г.</w:t>
      </w:r>
      <w:r w:rsidRPr="00634841">
        <w:rPr>
          <w:sz w:val="24"/>
          <w:lang w:val="bg-BG"/>
        </w:rPr>
        <w:t xml:space="preserve">, ELI: </w:t>
      </w:r>
      <w:hyperlink r:id="rId1" w:history="1">
        <w:r w:rsidR="00802B4B" w:rsidRPr="00BD78EB">
          <w:rPr>
            <w:rStyle w:val="Hyperlink"/>
            <w:sz w:val="24"/>
            <w:lang w:val="bg-BG"/>
          </w:rPr>
          <w:t>https://eur-lex.europa.eu/eli/C/2023/410/oj</w:t>
        </w:r>
      </w:hyperlink>
      <w:r w:rsidRPr="00634841">
        <w:rPr>
          <w:sz w:val="24"/>
          <w:lang w:val="bg-BG"/>
        </w:rPr>
        <w:t xml:space="preserve">. </w:t>
      </w:r>
    </w:p>
  </w:footnote>
  <w:footnote w:id="3">
    <w:p w:rsidR="00870686" w:rsidRPr="00634841" w:rsidRDefault="00870686" w:rsidP="00634841">
      <w:pPr>
        <w:pStyle w:val="FootnoteText"/>
        <w:ind w:left="567" w:hanging="567"/>
        <w:rPr>
          <w:sz w:val="24"/>
          <w:lang w:val="bg-BG"/>
        </w:rPr>
      </w:pPr>
      <w:r w:rsidRPr="00634841">
        <w:rPr>
          <w:rStyle w:val="FootnoteReference"/>
          <w:sz w:val="24"/>
          <w:lang w:val="bg-BG"/>
        </w:rPr>
        <w:footnoteRef/>
      </w:r>
      <w:r w:rsidR="00634841" w:rsidRPr="00634841">
        <w:rPr>
          <w:sz w:val="24"/>
          <w:lang w:val="bg-BG"/>
        </w:rPr>
        <w:t xml:space="preserve"> </w:t>
      </w:r>
      <w:r w:rsidR="00634841" w:rsidRPr="00634841">
        <w:rPr>
          <w:sz w:val="24"/>
          <w:lang w:val="bg-BG"/>
        </w:rPr>
        <w:tab/>
      </w:r>
      <w:r w:rsidRPr="00634841">
        <w:rPr>
          <w:sz w:val="24"/>
          <w:lang w:val="bg-BG"/>
        </w:rPr>
        <w:t>ОВ C 214, 16.6.2023 г., стр. </w:t>
      </w:r>
      <w:r w:rsidR="00802B4B">
        <w:rPr>
          <w:sz w:val="24"/>
          <w:lang w:val="bg-BG"/>
        </w:rPr>
        <w:t>26</w:t>
      </w:r>
      <w:r w:rsidRPr="00634841">
        <w:rPr>
          <w:sz w:val="24"/>
          <w:lang w:val="bg-BG"/>
        </w:rPr>
        <w:t>.</w:t>
      </w:r>
    </w:p>
  </w:footnote>
  <w:footnote w:id="4">
    <w:p w:rsidR="00870686" w:rsidRPr="00634841" w:rsidRDefault="00870686" w:rsidP="00634841">
      <w:pPr>
        <w:pStyle w:val="FootnoteText"/>
        <w:ind w:left="567" w:hanging="567"/>
        <w:rPr>
          <w:sz w:val="24"/>
          <w:lang w:val="bg-BG"/>
        </w:rPr>
      </w:pPr>
      <w:r w:rsidRPr="00634841">
        <w:rPr>
          <w:rStyle w:val="FootnoteReference"/>
          <w:sz w:val="24"/>
          <w:lang w:val="bg-BG"/>
        </w:rPr>
        <w:footnoteRef/>
      </w:r>
      <w:r w:rsidR="00634841" w:rsidRPr="00634841">
        <w:rPr>
          <w:sz w:val="24"/>
          <w:lang w:val="bg-BG"/>
        </w:rPr>
        <w:t xml:space="preserve"> </w:t>
      </w:r>
      <w:r w:rsidR="00634841" w:rsidRPr="00634841">
        <w:rPr>
          <w:sz w:val="24"/>
          <w:lang w:val="bg-BG"/>
        </w:rPr>
        <w:tab/>
      </w:r>
      <w:r w:rsidRPr="00634841">
        <w:rPr>
          <w:sz w:val="24"/>
          <w:lang w:val="bg-BG"/>
        </w:rPr>
        <w:t>ОВ C 214, 16.6.2023 г., стр. 54.</w:t>
      </w:r>
    </w:p>
  </w:footnote>
  <w:footnote w:id="5">
    <w:p w:rsidR="00870686" w:rsidRPr="00634841" w:rsidRDefault="00870686" w:rsidP="00634841">
      <w:pPr>
        <w:pStyle w:val="FootnoteText"/>
        <w:ind w:left="567" w:hanging="567"/>
        <w:rPr>
          <w:sz w:val="24"/>
          <w:lang w:val="bg-BG"/>
        </w:rPr>
      </w:pPr>
      <w:r w:rsidRPr="00634841">
        <w:rPr>
          <w:rStyle w:val="FootnoteReference"/>
          <w:sz w:val="24"/>
          <w:lang w:val="bg-BG"/>
        </w:rPr>
        <w:footnoteRef/>
      </w:r>
      <w:r w:rsidR="00634841" w:rsidRPr="00634841">
        <w:rPr>
          <w:sz w:val="24"/>
          <w:lang w:val="bg-BG"/>
        </w:rPr>
        <w:t xml:space="preserve"> </w:t>
      </w:r>
      <w:r w:rsidR="00634841" w:rsidRPr="00634841">
        <w:rPr>
          <w:sz w:val="24"/>
          <w:lang w:val="bg-BG"/>
        </w:rPr>
        <w:tab/>
      </w:r>
      <w:r w:rsidRPr="00634841">
        <w:rPr>
          <w:sz w:val="24"/>
          <w:lang w:val="bg-BG"/>
        </w:rPr>
        <w:t>ОВ С 23, 21.1.2021 г., стр. 16.</w:t>
      </w:r>
    </w:p>
  </w:footnote>
  <w:footnote w:id="6">
    <w:p w:rsidR="00870686" w:rsidRPr="00634841" w:rsidRDefault="00870686" w:rsidP="00634841">
      <w:pPr>
        <w:pStyle w:val="FootnoteText"/>
        <w:ind w:left="567" w:hanging="567"/>
        <w:rPr>
          <w:sz w:val="24"/>
          <w:lang w:val="bg-BG"/>
        </w:rPr>
      </w:pPr>
      <w:r w:rsidRPr="00634841">
        <w:rPr>
          <w:rStyle w:val="FootnoteReference"/>
          <w:sz w:val="24"/>
          <w:lang w:val="bg-BG"/>
        </w:rPr>
        <w:footnoteRef/>
      </w:r>
      <w:r w:rsidR="00634841" w:rsidRPr="00634841">
        <w:rPr>
          <w:sz w:val="24"/>
          <w:lang w:val="bg-BG"/>
        </w:rPr>
        <w:t xml:space="preserve"> </w:t>
      </w:r>
      <w:r w:rsidR="00634841" w:rsidRPr="00634841">
        <w:rPr>
          <w:sz w:val="24"/>
          <w:lang w:val="bg-BG"/>
        </w:rPr>
        <w:tab/>
      </w:r>
      <w:r w:rsidRPr="00634841">
        <w:rPr>
          <w:sz w:val="24"/>
          <w:lang w:val="bg-BG"/>
        </w:rPr>
        <w:t>Приети текстове, P9_TA(2023)0316.</w:t>
      </w:r>
    </w:p>
  </w:footnote>
  <w:footnote w:id="7">
    <w:p w:rsidR="00870686" w:rsidRPr="00634841" w:rsidRDefault="00870686" w:rsidP="00634841">
      <w:pPr>
        <w:pStyle w:val="FootnoteText"/>
        <w:ind w:left="567" w:hanging="567"/>
        <w:rPr>
          <w:sz w:val="24"/>
          <w:lang w:val="bg-BG"/>
        </w:rPr>
      </w:pPr>
      <w:r w:rsidRPr="00634841">
        <w:rPr>
          <w:rStyle w:val="FootnoteReference"/>
          <w:sz w:val="24"/>
          <w:lang w:val="bg-BG"/>
        </w:rPr>
        <w:footnoteRef/>
      </w:r>
      <w:r w:rsidR="00634841" w:rsidRPr="00634841">
        <w:rPr>
          <w:sz w:val="24"/>
          <w:lang w:val="bg-BG"/>
        </w:rPr>
        <w:t xml:space="preserve"> </w:t>
      </w:r>
      <w:r w:rsidR="00634841" w:rsidRPr="00634841">
        <w:rPr>
          <w:sz w:val="24"/>
          <w:lang w:val="bg-BG"/>
        </w:rPr>
        <w:tab/>
      </w:r>
      <w:r w:rsidRPr="00634841">
        <w:rPr>
          <w:sz w:val="24"/>
          <w:lang w:val="bg-BG"/>
        </w:rPr>
        <w:t>ОВ C 298, 30.11.2002 г</w:t>
      </w:r>
      <w:r w:rsidR="00802B4B">
        <w:rPr>
          <w:sz w:val="24"/>
          <w:lang w:val="bg-BG"/>
        </w:rPr>
        <w:t>.</w:t>
      </w:r>
      <w:r w:rsidRPr="00634841">
        <w:rPr>
          <w:sz w:val="24"/>
          <w:lang w:val="bg-BG"/>
        </w:rPr>
        <w:t>, стр. 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5/2023"/>
    <w:docVar w:name="dvlangue" w:val="BG"/>
    <w:docVar w:name="dvnumam" w:val="0"/>
    <w:docVar w:name="dvpe" w:val="753.617"/>
    <w:docVar w:name="dvrapporteur" w:val="Докладчик: "/>
    <w:docVar w:name="dvtitre" w:val="Резолюция на Европейския парламент от ... 2024 г. относно ролята на Европейския парламент и неговата парламентарна дипломация във външната политика и политика на сигурност на ЕС(2023/2105(INI))"/>
  </w:docVars>
  <w:rsids>
    <w:rsidRoot w:val="00F51BF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1B1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484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D20"/>
    <w:rsid w:val="00802B4B"/>
    <w:rsid w:val="00817416"/>
    <w:rsid w:val="00842779"/>
    <w:rsid w:val="00865F67"/>
    <w:rsid w:val="00870686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1BF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F364C0"/>
  <w15:chartTrackingRefBased/>
  <w15:docId w15:val="{9B572092-A6D4-4021-9592-E11497FA0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70686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870686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870686"/>
    <w:pPr>
      <w:spacing w:after="240"/>
      <w:jc w:val="center"/>
    </w:pPr>
  </w:style>
  <w:style w:type="character" w:customStyle="1" w:styleId="BoldItalic">
    <w:name w:val="BoldItalic"/>
    <w:uiPriority w:val="1"/>
    <w:rsid w:val="00870686"/>
    <w:rPr>
      <w:b/>
      <w:i/>
      <w:u w:val="none"/>
    </w:rPr>
  </w:style>
  <w:style w:type="character" w:customStyle="1" w:styleId="Italic">
    <w:name w:val="Italic"/>
    <w:uiPriority w:val="1"/>
    <w:rsid w:val="00870686"/>
    <w:rPr>
      <w:i/>
    </w:rPr>
  </w:style>
  <w:style w:type="paragraph" w:customStyle="1" w:styleId="Normal12a24b">
    <w:name w:val="Normal12a24b"/>
    <w:basedOn w:val="Normal"/>
    <w:rsid w:val="00870686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870686"/>
    <w:rPr>
      <w:snapToGrid w:val="0"/>
      <w:sz w:val="24"/>
      <w:lang w:val="bg-BG" w:eastAsia="en-US"/>
    </w:rPr>
  </w:style>
  <w:style w:type="character" w:styleId="Hyperlink">
    <w:name w:val="Hyperlink"/>
    <w:basedOn w:val="DefaultParagraphFont"/>
    <w:unhideWhenUsed/>
    <w:rsid w:val="0087068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802B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3/41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0EBB1-A143-48A8-97A1-11992960A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4618</Words>
  <Characters>27290</Characters>
  <Application>Microsoft Office Word</Application>
  <DocSecurity>0</DocSecurity>
  <Lines>227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2024-01-16T11:30:00Z</dcterms:created>
  <dcterms:modified xsi:type="dcterms:W3CDTF">2024-01-16T11:30:00Z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A9-0405/2023</vt:lpwstr>
  </property>
  <property fmtid="{D5CDD505-2E9C-101B-9397-08002B2CF9AE}" pid="4" name="&lt;Type&gt;">
    <vt:lpwstr>RR</vt:lpwstr>
  </property>
</Properties>
</file>