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53F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53FA" w:rsidRDefault="00691FA5" w:rsidP="0010095E">
            <w:pPr>
              <w:pStyle w:val="EPName"/>
            </w:pPr>
            <w:r w:rsidRPr="00A453FA">
              <w:t>Evropský parlament</w:t>
            </w:r>
          </w:p>
          <w:p w:rsidR="00751A4A" w:rsidRPr="00A453F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53F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453FA" w:rsidRDefault="00187494" w:rsidP="0010095E">
            <w:pPr>
              <w:pStyle w:val="EPLogo"/>
            </w:pPr>
            <w:r w:rsidRPr="00A453F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53FA" w:rsidRDefault="00D058B8" w:rsidP="004C5D52">
      <w:pPr>
        <w:pStyle w:val="LineTop"/>
      </w:pPr>
    </w:p>
    <w:p w:rsidR="00680577" w:rsidRPr="00A453FA" w:rsidRDefault="00691FA5" w:rsidP="00680577">
      <w:pPr>
        <w:pStyle w:val="EPBodyTA1"/>
      </w:pPr>
      <w:r w:rsidRPr="00A453FA">
        <w:t>PŘIJATÉ TEXTY</w:t>
      </w:r>
    </w:p>
    <w:p w:rsidR="00D058B8" w:rsidRPr="00A453FA" w:rsidRDefault="00D058B8" w:rsidP="00D058B8">
      <w:pPr>
        <w:pStyle w:val="LineBottom"/>
      </w:pPr>
    </w:p>
    <w:p w:rsidR="00691FA5" w:rsidRPr="00A453FA" w:rsidRDefault="00691FA5" w:rsidP="00691FA5">
      <w:pPr>
        <w:pStyle w:val="ATHeading1"/>
      </w:pPr>
      <w:bookmarkStart w:id="0" w:name="TANumber"/>
      <w:r w:rsidRPr="00A453FA">
        <w:t>P9_TA(2024)00</w:t>
      </w:r>
      <w:r w:rsidR="00460E43">
        <w:t>13</w:t>
      </w:r>
      <w:bookmarkStart w:id="1" w:name="_GoBack"/>
      <w:bookmarkEnd w:id="0"/>
      <w:bookmarkEnd w:id="1"/>
    </w:p>
    <w:p w:rsidR="00691FA5" w:rsidRPr="00A453FA" w:rsidRDefault="00691FA5" w:rsidP="00691FA5">
      <w:pPr>
        <w:pStyle w:val="ATHeading2"/>
      </w:pPr>
      <w:bookmarkStart w:id="2" w:name="title"/>
      <w:r w:rsidRPr="00A453FA">
        <w:t>Úloha Evropského parlamentu a jeho parlamentní diplomacie v zahraniční a bezpečnostní politice EU</w:t>
      </w:r>
      <w:bookmarkEnd w:id="2"/>
    </w:p>
    <w:p w:rsidR="00691FA5" w:rsidRPr="00A453FA" w:rsidRDefault="00691FA5" w:rsidP="00691FA5">
      <w:pPr>
        <w:rPr>
          <w:i/>
          <w:vanish/>
        </w:rPr>
      </w:pPr>
      <w:r w:rsidRPr="00A453FA">
        <w:rPr>
          <w:i/>
        </w:rPr>
        <w:fldChar w:fldCharType="begin"/>
      </w:r>
      <w:r w:rsidRPr="00A453FA">
        <w:rPr>
          <w:i/>
        </w:rPr>
        <w:instrText xml:space="preserve"> TC"(</w:instrText>
      </w:r>
      <w:bookmarkStart w:id="3" w:name="DocNumber"/>
      <w:r w:rsidRPr="00A453FA">
        <w:rPr>
          <w:i/>
        </w:rPr>
        <w:instrText>A9-0405/2023</w:instrText>
      </w:r>
      <w:bookmarkEnd w:id="3"/>
      <w:r w:rsidRPr="00A453FA">
        <w:rPr>
          <w:i/>
        </w:rPr>
        <w:instrText xml:space="preserve"> - Zpravodaj: Jordi Solé)"\l3 \n&gt; \* MERGEFORMAT </w:instrText>
      </w:r>
      <w:r w:rsidRPr="00A453FA">
        <w:rPr>
          <w:i/>
        </w:rPr>
        <w:fldChar w:fldCharType="end"/>
      </w:r>
    </w:p>
    <w:p w:rsidR="00691FA5" w:rsidRPr="00A453FA" w:rsidRDefault="00691FA5" w:rsidP="00691FA5">
      <w:pPr>
        <w:rPr>
          <w:vanish/>
        </w:rPr>
      </w:pPr>
      <w:bookmarkStart w:id="4" w:name="Commission"/>
      <w:r w:rsidRPr="00A453FA">
        <w:rPr>
          <w:vanish/>
        </w:rPr>
        <w:t>Výbor pro zahraniční věci</w:t>
      </w:r>
      <w:bookmarkEnd w:id="4"/>
    </w:p>
    <w:p w:rsidR="00691FA5" w:rsidRPr="00A453FA" w:rsidRDefault="00691FA5" w:rsidP="00691FA5">
      <w:pPr>
        <w:rPr>
          <w:vanish/>
        </w:rPr>
      </w:pPr>
      <w:bookmarkStart w:id="5" w:name="PE"/>
      <w:r w:rsidRPr="00A453FA">
        <w:rPr>
          <w:vanish/>
        </w:rPr>
        <w:t>PE753.617</w:t>
      </w:r>
      <w:bookmarkEnd w:id="5"/>
    </w:p>
    <w:p w:rsidR="00691FA5" w:rsidRPr="00A453FA" w:rsidRDefault="00691FA5" w:rsidP="00691FA5">
      <w:pPr>
        <w:pStyle w:val="ATHeading3"/>
      </w:pPr>
      <w:bookmarkStart w:id="6" w:name="Sujet"/>
      <w:r w:rsidRPr="00A453FA">
        <w:t>Usnesení Evropského parlamentu ze dne 16. ledna 2024 o úloze Evropského parlamentu a jeho parlamentní diplomacie v zahraniční a bezpečnostní politice EU</w:t>
      </w:r>
      <w:bookmarkEnd w:id="6"/>
      <w:r w:rsidRPr="00A453FA">
        <w:t xml:space="preserve"> </w:t>
      </w:r>
      <w:bookmarkStart w:id="7" w:name="References"/>
      <w:r w:rsidRPr="00A453FA">
        <w:t>(2023/2105(INI))</w:t>
      </w:r>
      <w:bookmarkEnd w:id="7"/>
    </w:p>
    <w:p w:rsidR="00AF4100" w:rsidRPr="00A453FA" w:rsidRDefault="00AF4100" w:rsidP="00AF4100">
      <w:pPr>
        <w:pStyle w:val="EPComma"/>
      </w:pPr>
      <w:bookmarkStart w:id="8" w:name="TextBodyBegin"/>
      <w:bookmarkEnd w:id="8"/>
      <w:r w:rsidRPr="00A453FA">
        <w:rPr>
          <w:rStyle w:val="Italic"/>
        </w:rPr>
        <w:t>Evropský parlament</w:t>
      </w:r>
      <w:r w:rsidRPr="00A453FA">
        <w:t>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 ohledem na čl. 14 odst. 1 a články 21 a 36 Smlouvy o Evropské unii (</w:t>
      </w:r>
      <w:r w:rsidR="005161EB">
        <w:t>dále jen „</w:t>
      </w:r>
      <w:r w:rsidRPr="00A453FA">
        <w:t>S</w:t>
      </w:r>
      <w:r w:rsidR="005161EB">
        <w:t>mlouva o</w:t>
      </w:r>
      <w:r w:rsidR="005161EB" w:rsidRPr="00A453FA">
        <w:t> </w:t>
      </w:r>
      <w:r w:rsidRPr="00A453FA">
        <w:t>EU</w:t>
      </w:r>
      <w:r w:rsidR="005161EB">
        <w:t>“</w:t>
      </w:r>
      <w:r w:rsidRPr="00A453FA">
        <w:t>),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 ohledem na prohlášení místopředsedkyně Komise, vysoké představitelky Unie pro</w:t>
      </w:r>
      <w:r w:rsidR="00B61D84" w:rsidRPr="00A453FA">
        <w:t> </w:t>
      </w:r>
      <w:r w:rsidRPr="00A453FA">
        <w:t>zahraniční věci a bezpečnostní politiku ze dne 20. července 2010 o politické odpovědnosti,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 ohledem na závěry Rady ze dne 28. června 2016, jimiž byla přijata zpráva nazvaná „Sdílená vize, společný postup: silnější Evropa – globální strategie zahraniční a bezpečnostní politiky Evropské unie“,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 ohledem na společné sdělení Komise a vysokého představitele Unie pro zahraniční věci a bezpečnostní politiku ze dne 25. března 2020 nazvané „Akční plán EU pro lidská práva a demokracii na období 2020–2024“ (JOIN(2020)0005),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 ohledem na „Strategický kompas pro bezpečnost a obranu – Za Evropskou unii, která chrání své občany, hodnoty a zájmy a přispívá k mezinárodnímu míru a bezpečnosti“ přijatý dne 21. března 2022,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 ohledem na společné sdělení Komise a vysokého představitele Unie pro zahraniční věci a bezpečnostní politiku ze dne 25. listopadu 2020 nazvané „Akční plán pro rovnost žen a mužů (GAP) III – Ambiciózní agenda pro genderovou rovnost a posílení postavení žen v rámci vnější činnosti EU“ (JOIN(2020)0017),</w:t>
      </w:r>
    </w:p>
    <w:p w:rsidR="00AF4100" w:rsidRPr="00A453FA" w:rsidRDefault="00AF4100" w:rsidP="00B61D84">
      <w:pPr>
        <w:pStyle w:val="NormalHanging12a"/>
      </w:pPr>
      <w:r w:rsidRPr="00A453FA">
        <w:lastRenderedPageBreak/>
        <w:t>–</w:t>
      </w:r>
      <w:r w:rsidRPr="00A453FA">
        <w:tab/>
        <w:t>s ohledem na rozhodnutí Rady 2010/427/EU ze dne 26. července 2010 o organizaci a fungování Evropské služby pro vnější činnost</w:t>
      </w:r>
      <w:r w:rsidRPr="00A453FA">
        <w:rPr>
          <w:rStyle w:val="FootnoteReference"/>
        </w:rPr>
        <w:footnoteReference w:id="1"/>
      </w:r>
      <w:r w:rsidRPr="00A453FA">
        <w:t>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 ohledem na odstavec 34 prohlášení ze summitu mezi EU a Společenstvím latinskoamerických a karibských států z roku 2023, které bylo přijato dne 18. července 2023 a uznává, že parlamentní diplomacie je důležitým rozměrem vztahů,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 ohledem na své doporučení ze dne 15. března 2023 Radě a místopředsedovi Komise, vysokému představiteli Unie pro zahraniční věci a bezpečnostní politiku o přezkumu fungování ESVČ a silnější EU ve světě</w:t>
      </w:r>
      <w:r w:rsidRPr="00A453FA">
        <w:rPr>
          <w:rStyle w:val="FootnoteReference"/>
        </w:rPr>
        <w:footnoteReference w:id="2"/>
      </w:r>
      <w:r w:rsidRPr="00A453FA">
        <w:t>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 ohledem na své usnesení ze dne 18. ledna 2023 o provádění společné zahraniční a bezpečnostní politiky – výroční zpráva za rok 2022</w:t>
      </w:r>
      <w:r w:rsidRPr="00A453FA">
        <w:rPr>
          <w:rStyle w:val="FootnoteReference"/>
        </w:rPr>
        <w:footnoteReference w:id="3"/>
      </w:r>
      <w:r w:rsidRPr="00A453FA">
        <w:t>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 ohledem na své usnesení ze dne 18. ledna 2023 o provádění společné zahraniční a bezpečnostní politiky – výroční zpráva za rok 2022</w:t>
      </w:r>
      <w:r w:rsidRPr="00A453FA">
        <w:rPr>
          <w:rStyle w:val="FootnoteReference"/>
        </w:rPr>
        <w:footnoteReference w:id="4"/>
      </w:r>
      <w:r w:rsidRPr="00A453FA">
        <w:t>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 ohledem na své usnesení ze dne 12. března 2019 o budování kapacity EU v oblasti předcházení konfliktům a mediace</w:t>
      </w:r>
      <w:r w:rsidRPr="00A453FA">
        <w:rPr>
          <w:rStyle w:val="FootnoteReference"/>
        </w:rPr>
        <w:footnoteReference w:id="5"/>
      </w:r>
      <w:r w:rsidRPr="00A453FA">
        <w:t>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 ohledem na své rozhodnutí ze dne 13. září 2023 o změnách jednacího řádu Evropského parlamentu k posílení integrity, nezávislosti a odpovědnosti</w:t>
      </w:r>
      <w:r w:rsidRPr="00A453FA">
        <w:rPr>
          <w:rStyle w:val="FootnoteReference"/>
        </w:rPr>
        <w:footnoteReference w:id="6"/>
      </w:r>
      <w:r w:rsidRPr="00A453FA">
        <w:t>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 ohledem na článek 54 jednacího řádu,</w:t>
      </w:r>
    </w:p>
    <w:p w:rsidR="00AF4100" w:rsidRPr="00A453FA" w:rsidRDefault="00AF4100" w:rsidP="00B61D84">
      <w:pPr>
        <w:pStyle w:val="NormalHanging12a"/>
      </w:pPr>
      <w:r w:rsidRPr="00A453FA">
        <w:t>–</w:t>
      </w:r>
      <w:r w:rsidRPr="00A453FA">
        <w:tab/>
        <w:t>s ohledem na zprávu Výboru pro zahraniční věci (A9-0405/2023),</w:t>
      </w:r>
    </w:p>
    <w:p w:rsidR="00AF4100" w:rsidRPr="00A453FA" w:rsidRDefault="00AF4100" w:rsidP="00B61D84">
      <w:pPr>
        <w:pStyle w:val="NormalHanging12a"/>
      </w:pPr>
      <w:r w:rsidRPr="00A453FA">
        <w:t>A.</w:t>
      </w:r>
      <w:r w:rsidRPr="00A453FA">
        <w:tab/>
        <w:t>vzhledem k tomu, že úloha Parlamentu jako spolunormotvůrce a spolurozpočtového orgánu zahrnuje nejen vnitřní politiky EU, ale do značné míry i vnější činnost EU;</w:t>
      </w:r>
    </w:p>
    <w:p w:rsidR="00AF4100" w:rsidRPr="00A453FA" w:rsidRDefault="00AF4100" w:rsidP="00B61D84">
      <w:pPr>
        <w:pStyle w:val="NormalHanging12a"/>
      </w:pPr>
      <w:r w:rsidRPr="00A453FA">
        <w:t>B.</w:t>
      </w:r>
      <w:r w:rsidRPr="00A453FA">
        <w:tab/>
        <w:t>vzhledem k tomu, že článek 36 S</w:t>
      </w:r>
      <w:r w:rsidR="005161EB">
        <w:t xml:space="preserve">mlouvy o </w:t>
      </w:r>
      <w:r w:rsidRPr="00A453FA">
        <w:t>EU vyžaduje, aby místopředseda Komise, vysoký představitel pravidelně konzultoval s Parlamentem hlavní hlediska a volby společné zahraniční a bezpečnostní politiky a informoval jej o politickém vývoji;</w:t>
      </w:r>
    </w:p>
    <w:p w:rsidR="00AF4100" w:rsidRPr="00A453FA" w:rsidRDefault="00AF4100" w:rsidP="00B61D84">
      <w:pPr>
        <w:pStyle w:val="NormalHanging12a"/>
      </w:pPr>
      <w:r w:rsidRPr="00A453FA">
        <w:t>C.</w:t>
      </w:r>
      <w:r w:rsidRPr="00A453FA">
        <w:tab/>
        <w:t>vzhledem k tomu, že ke vstupu většiny mezinárodních dohod v platnost je nutný souhlas Parlamentu; vzhledem k tomu, že čl. 218 odst. 10 Smlouvy o fungování Evropské unie stanoví, že při jednání o podobných dohodách je Evropský parlament „okamžitě a plně informován ve všech etapách tohoto postupu“;</w:t>
      </w:r>
    </w:p>
    <w:p w:rsidR="00AF4100" w:rsidRPr="00A453FA" w:rsidRDefault="00AF4100" w:rsidP="00B61D84">
      <w:pPr>
        <w:pStyle w:val="NormalHanging12a"/>
      </w:pPr>
      <w:r w:rsidRPr="00A453FA">
        <w:t>D.</w:t>
      </w:r>
      <w:r w:rsidRPr="00A453FA">
        <w:tab/>
        <w:t>vzhledem k tomu, že Parlament kontroluje provádění vnějších záležitostí EU a diskutuje o něm, zejména v rámci činnosti svého Výboru pro zahraniční věci a jeho dvou podvýborů – pro lidská práva a pro bezpečnost a obranu, jakož i Výboru pro</w:t>
      </w:r>
      <w:r w:rsidR="00B61D84" w:rsidRPr="00A453FA">
        <w:t> </w:t>
      </w:r>
      <w:r w:rsidRPr="00A453FA">
        <w:t xml:space="preserve">mezinárodní obchod a Výboru pro rozvoj; vzhledem k tomu, že tato kontrolní úloha zahrnuje záležitosti týkající se přijímání, provádění a přezkumu tematických, regionálních a vnitrostátních strategií EU a dalších politických dokumentů, jako je akční </w:t>
      </w:r>
      <w:r w:rsidRPr="00A453FA">
        <w:lastRenderedPageBreak/>
        <w:t>plán EU pro rovnost žen a mužů, jakož i finanční pomoci a jmenování do vyšších funkcí v rámci vnějšího zastoupení EU;</w:t>
      </w:r>
    </w:p>
    <w:p w:rsidR="00AF4100" w:rsidRPr="00A453FA" w:rsidRDefault="00AF4100" w:rsidP="00B61D84">
      <w:pPr>
        <w:pStyle w:val="NormalHanging12a"/>
      </w:pPr>
      <w:r w:rsidRPr="00A453FA">
        <w:t>E.</w:t>
      </w:r>
      <w:r w:rsidRPr="00A453FA">
        <w:tab/>
        <w:t>vzhledem k tomu, že Parlament coby jediný orgán EU, který je přímo volen občany, pořádá veřejné rozpravy na plenárních zasedáních a ve výborech a přijímá zprávy a usnesení týkající se zahraniční a bezpečnostní politiky EU a situace v zemích mimo EU, zejména pokud jde o lidská práva, a přispívá tak ke zvýšení povědomí veřejnosti a podnícení diskusí v rámci EU, ale také v dotčených zemích; vzhledem k tomu, že tyto zprávy a usnesení přispívají k normativnímu vývoji po celém světě a jsou důkladně sledovány aktéry ze zemí mimo EU včetně vlád, parlamentů a zástupců občanské společnosti a sdělovacích prostředků a mohou v těchto zemích vyvolat reakce a odezvy;</w:t>
      </w:r>
    </w:p>
    <w:p w:rsidR="00AF4100" w:rsidRPr="00A453FA" w:rsidRDefault="00AF4100" w:rsidP="00B61D84">
      <w:pPr>
        <w:pStyle w:val="NormalHanging12a"/>
      </w:pPr>
      <w:r w:rsidRPr="00A453FA">
        <w:t>F.</w:t>
      </w:r>
      <w:r w:rsidRPr="00A453FA">
        <w:tab/>
        <w:t>vzhledem k tomu, že Parlament má jedinečnou síť 45 stálých delegací, které udržují a prohlubují vztahy s ostatními parlamenty zemí, regionů a organizací mimo EU; vzhledem k tomu, že tyto orgány často představují parlamentní rozměr dvoustranných dohod EU s těmito zeměmi;</w:t>
      </w:r>
    </w:p>
    <w:p w:rsidR="00AF4100" w:rsidRPr="00A453FA" w:rsidRDefault="00AF4100" w:rsidP="00B61D84">
      <w:pPr>
        <w:pStyle w:val="NormalHanging12a"/>
      </w:pPr>
      <w:r w:rsidRPr="00A453FA">
        <w:t>G.</w:t>
      </w:r>
      <w:r w:rsidRPr="00A453FA">
        <w:tab/>
        <w:t>vzhledem k tomu, že úloha Parlamentu při sestavování ročního rozpočtu Unie má zásadní význam pro podporu zemí, které to nejvíce potřebují při překonávání dlouhodobých rozvojových výzev prostřednictvím Nástroje pro sousedství a rozvojovou a mezinárodní spolupráci – Globální Evropa, a pro řešení velkých humanitárních katastrof a mimořádných událostí skrze navýšení humanitární pomoci;</w:t>
      </w:r>
    </w:p>
    <w:p w:rsidR="00AF4100" w:rsidRPr="00A453FA" w:rsidRDefault="00AF4100" w:rsidP="00B61D84">
      <w:pPr>
        <w:pStyle w:val="NormalHanging12a"/>
      </w:pPr>
      <w:r w:rsidRPr="00A453FA">
        <w:t>H.</w:t>
      </w:r>
      <w:r w:rsidRPr="00A453FA">
        <w:tab/>
        <w:t>vzhledem k tomu, že genderová rovnost je jedním z cílů vnější politiky EU; vzhledem k</w:t>
      </w:r>
      <w:r w:rsidR="00B61D84" w:rsidRPr="00A453FA">
        <w:t> </w:t>
      </w:r>
      <w:r w:rsidRPr="00A453FA">
        <w:t>tomu, že všechny členské státy EU a Evropský parlament se zavázaly k provádění rezoluce Rady bezpečnosti OSN č. 1325 z roku 2000 o ženách, míru a bezpečnosti;</w:t>
      </w:r>
    </w:p>
    <w:p w:rsidR="00AF4100" w:rsidRPr="00A453FA" w:rsidRDefault="00AF4100" w:rsidP="00B61D84">
      <w:pPr>
        <w:pStyle w:val="NormalHanging12a"/>
      </w:pPr>
      <w:r w:rsidRPr="00A453FA">
        <w:t>I.</w:t>
      </w:r>
      <w:r w:rsidRPr="00A453FA">
        <w:tab/>
        <w:t>vzhledem k tomu, že Evropský parlament se stal jedním z nejaktivnějších parlamentů, pokud jde o jeho parlamentní diplomatickou činnost a prostředky na ni věnované; vzhledem k tomu, že parlamentní diplomacie přispívá k dosažení cílů EU a k</w:t>
      </w:r>
      <w:r w:rsidR="00B61D84" w:rsidRPr="00A453FA">
        <w:t> </w:t>
      </w:r>
      <w:r w:rsidRPr="00A453FA">
        <w:t>prosazování jejích hodnot, zájmů a politik, a to i na mnohostranné úrovni, přináší tak přidanou hodnotu podporou ucelenější a soudržnější vnější činnosti EU; vzhledem k</w:t>
      </w:r>
      <w:r w:rsidR="00B61D84" w:rsidRPr="00A453FA">
        <w:t> </w:t>
      </w:r>
      <w:r w:rsidRPr="00A453FA">
        <w:t>tomu, že parlamentní diplomacie může posílit strategickou komunikaci a viditelnost i účinnost rozhodnutí a prováděcích opatření v oblasti SZBP i společné bezpečnostní a obranné politiky (SBOP);</w:t>
      </w:r>
    </w:p>
    <w:p w:rsidR="00AF4100" w:rsidRPr="00A453FA" w:rsidRDefault="00AF4100" w:rsidP="00B61D84">
      <w:pPr>
        <w:pStyle w:val="NormalHanging12a"/>
      </w:pPr>
      <w:r w:rsidRPr="00A453FA">
        <w:t>J.</w:t>
      </w:r>
      <w:r w:rsidRPr="00A453FA">
        <w:tab/>
        <w:t>vzhledem k tomu, že pomocí parlamentní diplomacie se Parlament účastní dialogu se světovými lídry, volenými úředníky, zástupci veřejných správ a diplomaty, veřejnými institucemi, organizacemi občanské společnosti a jejich zástupci, a to i těmi zastupujícími zranitelné nebo ohrožené skupiny obyvatelstva, a dalšími zúčastněnými stranami ze zemí mimo EU a multilaterálních institucí, zejména prostřednictvím činnosti svých delegací a výborů, včetně pořádání slyšení, přijímání zpráv a usnesení a uskutečňování návštěv jednotlivých zemí;</w:t>
      </w:r>
    </w:p>
    <w:p w:rsidR="00AF4100" w:rsidRPr="00A453FA" w:rsidRDefault="00AF4100" w:rsidP="00B61D84">
      <w:pPr>
        <w:pStyle w:val="NormalHanging12a"/>
      </w:pPr>
      <w:r w:rsidRPr="00A453FA">
        <w:t>K.</w:t>
      </w:r>
      <w:r w:rsidRPr="00A453FA">
        <w:tab/>
        <w:t xml:space="preserve">vzhledem k tomu, že článek 36 Smlouvy o EU ukládá místopředsedovi Komise, vysokému představiteli, aby předstoupil alespoň dvakrát ročně před Parlament a předložil zprávu o současné situaci, pokud jde o SZBP/SBOP, a zodpověděl dotazy; vzhledem k tomu, že interinstitucionální dohodu ze dne 20. listopadu 2002 mezi </w:t>
      </w:r>
      <w:r w:rsidRPr="00A453FA">
        <w:lastRenderedPageBreak/>
        <w:t>Evropským parlamentem a Radou o přístupu Evropského parlamentu k citlivým informacím Rady v oblasti bezpečnostní a obranné politiky</w:t>
      </w:r>
      <w:r w:rsidRPr="00A453FA">
        <w:rPr>
          <w:rStyle w:val="FootnoteReference"/>
        </w:rPr>
        <w:footnoteReference w:id="7"/>
      </w:r>
      <w:r w:rsidRPr="00A453FA">
        <w:t xml:space="preserve"> je nutné aktualizovat;</w:t>
      </w:r>
    </w:p>
    <w:p w:rsidR="00AF4100" w:rsidRPr="00A453FA" w:rsidRDefault="00AF4100" w:rsidP="00B61D84">
      <w:pPr>
        <w:pStyle w:val="NormalHanging12a"/>
      </w:pPr>
      <w:r w:rsidRPr="00A453FA">
        <w:t>L.</w:t>
      </w:r>
      <w:r w:rsidRPr="00A453FA">
        <w:tab/>
        <w:t>vzhledem k tomu, že parlamentní skupina pro podporu demokracie a koordinaci voleb, kterou vedou předsedové Výboru pro zahraniční věci a Výboru pro rozvoj a v níž jsou zastoupeni poslanci napříč politickým spektrem, dohlíží na úsilí Parlamentu o podporu demokracie mimo EU, včetně pozorování voleb, zprostředkování a dialogu; vzhledem k</w:t>
      </w:r>
      <w:r w:rsidR="00B61D84" w:rsidRPr="00A453FA">
        <w:t> </w:t>
      </w:r>
      <w:r w:rsidRPr="00A453FA">
        <w:t>tomu, že prostřednictvím dialogu Jeana Monneta pro mír a demokracii Parlament sdružuje politické představitele nečlenských zemí EU, aby podpořil komunikaci mezi</w:t>
      </w:r>
      <w:r w:rsidR="00B61D84" w:rsidRPr="00A453FA">
        <w:t> </w:t>
      </w:r>
      <w:r w:rsidRPr="00A453FA">
        <w:t xml:space="preserve">stranami a vytváření konsensu; vzhledem k tomu, že poslanci Evropského parlamentu mohou působit jako zvláštní vyslanci a zprostředkovatelé pro předcházení konfliktům v situacích s vysokým napětím po celém světě; </w:t>
      </w:r>
    </w:p>
    <w:p w:rsidR="00AF4100" w:rsidRPr="00A453FA" w:rsidRDefault="00AF4100" w:rsidP="00B61D84">
      <w:pPr>
        <w:pStyle w:val="NormalHanging12a"/>
      </w:pPr>
      <w:r w:rsidRPr="00A453FA">
        <w:t>M.</w:t>
      </w:r>
      <w:r w:rsidRPr="00A453FA">
        <w:tab/>
        <w:t xml:space="preserve">vzhledem k tomu, že Evropský parlament pomáhá vnitrostátním parlamentům a mezinárodním regionálním shromážděním za hranicemi EU s cílem zlepšit jejich institucionální kapacitu; vzhledem k tomu, že navázal s těmito zákonodárnými orgány trvalý dialog a vyměňuje si s nimi osvědčené postupy; </w:t>
      </w:r>
    </w:p>
    <w:p w:rsidR="00AF4100" w:rsidRPr="00A453FA" w:rsidRDefault="00AF4100" w:rsidP="00B61D84">
      <w:pPr>
        <w:pStyle w:val="NormalHanging12a"/>
      </w:pPr>
      <w:r w:rsidRPr="00A453FA">
        <w:t>N.</w:t>
      </w:r>
      <w:r w:rsidRPr="00A453FA">
        <w:tab/>
        <w:t>vzhledem k tomu, že Parlament je mezinárodně uznávaným pozorovatelem voleb; vzhledem k tomu, že delegace Parlamentu pro sledování průběhu voleb jsou součástí misí EU pro sledování průběhu voleb nebo mezinárodních misí pro sledování průběhu voleb;</w:t>
      </w:r>
    </w:p>
    <w:p w:rsidR="00AF4100" w:rsidRPr="00A453FA" w:rsidRDefault="00AF4100" w:rsidP="00B61D84">
      <w:pPr>
        <w:pStyle w:val="NormalHanging12a"/>
      </w:pPr>
      <w:r w:rsidRPr="00A453FA">
        <w:t>O.</w:t>
      </w:r>
      <w:r w:rsidRPr="00A453FA">
        <w:tab/>
        <w:t>vzhledem k tomu, že politické skupiny a jednotliví poslanci Parlamentu mají hustou a rozmanitou síť kontaktů s politickými stranami, poslanci, vládními úředníky a zúčastněnými stranami ze soukromého sektoru a občanské společnosti v zemích mimo EU, zejména v zemích přistupujících k EU a v zemích v sousedství EU;</w:t>
      </w:r>
    </w:p>
    <w:p w:rsidR="00AF4100" w:rsidRPr="00A453FA" w:rsidRDefault="00AF4100" w:rsidP="00B61D84">
      <w:pPr>
        <w:pStyle w:val="NormalHanging12a"/>
      </w:pPr>
      <w:r w:rsidRPr="00A453FA">
        <w:t>P.</w:t>
      </w:r>
      <w:r w:rsidRPr="00A453FA">
        <w:tab/>
        <w:t>vzhledem k tomu, že kromě kontaktních kanceláří Evropského parlamentu mimo EU v</w:t>
      </w:r>
      <w:r w:rsidR="00B61D84" w:rsidRPr="00A453FA">
        <w:t> </w:t>
      </w:r>
      <w:r w:rsidRPr="00A453FA">
        <w:t>Londýně a Washingtonu má Parlament pobočky při OSN v New Yorku, při Africké unii v Addis Abebě a při Sdružení národů jihovýchodní Asie v Jakartě, které mají za cíl posilovat parlamentní spolupráci s těmito mnohostrannými organizacemi;</w:t>
      </w:r>
    </w:p>
    <w:p w:rsidR="00AF4100" w:rsidRPr="00A453FA" w:rsidRDefault="00AF4100" w:rsidP="00B61D84">
      <w:pPr>
        <w:pStyle w:val="NormalHanging12a"/>
      </w:pPr>
      <w:r w:rsidRPr="00A453FA">
        <w:t>Q.</w:t>
      </w:r>
      <w:r w:rsidRPr="00A453FA">
        <w:tab/>
        <w:t>vzhledem k tomu, že čl. 5 odst. 7 rozhodnutí Rady 2010/427/EU uvádí, že „delegace Unie mají v rámci kontaktů s mezinárodními organizacemi nebo zeměmi mimo EU, u</w:t>
      </w:r>
      <w:r w:rsidR="00B61D84" w:rsidRPr="00A453FA">
        <w:t> </w:t>
      </w:r>
      <w:r w:rsidRPr="00A453FA">
        <w:t>nichž jsou pověřeny, oprávnění provádět úkony na žádost jiných orgánů Unie, zejména Evropského parlamentu“;</w:t>
      </w:r>
    </w:p>
    <w:p w:rsidR="00AF4100" w:rsidRPr="00A453FA" w:rsidRDefault="00AF4100" w:rsidP="00B61D84">
      <w:pPr>
        <w:pStyle w:val="Normal12a24b"/>
        <w:spacing w:before="0"/>
        <w:ind w:left="567" w:hanging="567"/>
      </w:pPr>
      <w:r w:rsidRPr="00A453FA">
        <w:rPr>
          <w:rStyle w:val="BoldItalic"/>
        </w:rPr>
        <w:t>Posílení parlamentní diplomacie</w:t>
      </w:r>
    </w:p>
    <w:p w:rsidR="00AF4100" w:rsidRPr="00A453FA" w:rsidRDefault="00AF4100" w:rsidP="00B61D84">
      <w:pPr>
        <w:pStyle w:val="NormalHanging12a"/>
      </w:pPr>
      <w:r w:rsidRPr="00A453FA">
        <w:t>1.</w:t>
      </w:r>
      <w:r w:rsidRPr="00A453FA">
        <w:tab/>
        <w:t>vítá rostoucí úlohu Parlamentu v rámci vnější činnosti EU, jež se postupně vyvíjí a stává se podstatnou a kombinuje jeho legislativní, rozpočtové a kontrolní pravomoci s</w:t>
      </w:r>
      <w:r w:rsidR="00B61D84" w:rsidRPr="00A453FA">
        <w:t> </w:t>
      </w:r>
      <w:r w:rsidRPr="00A453FA">
        <w:t>různými formami veřejné a tiché spolupráce s mezinárodními organizacemi, zeměmi, společnostmi a jednotlivci nacházejícími se mimo EU;</w:t>
      </w:r>
    </w:p>
    <w:p w:rsidR="00AF4100" w:rsidRPr="00A453FA" w:rsidRDefault="00AF4100" w:rsidP="00B61D84">
      <w:pPr>
        <w:pStyle w:val="NormalHanging12a"/>
      </w:pPr>
      <w:r w:rsidRPr="00A453FA">
        <w:t>2.</w:t>
      </w:r>
      <w:r w:rsidRPr="00A453FA">
        <w:tab/>
        <w:t>vyzdvihuje specifickou úlohu a hodnotu parlamentní diplomacie EU, která společně s</w:t>
      </w:r>
      <w:r w:rsidR="00B61D84" w:rsidRPr="00A453FA">
        <w:t> </w:t>
      </w:r>
      <w:r w:rsidRPr="00A453FA">
        <w:t>Evropskou službou pro vnější činnost (ESVČ), Komisí a diplomatickými službami a parlamenty členských států doplňuje a posiluje viditelnost a dopad zahraniční a bezpečnostní politiky EU, při současném zachování vlastní autonomie Parlamentu;</w:t>
      </w:r>
    </w:p>
    <w:p w:rsidR="00AF4100" w:rsidRPr="00A453FA" w:rsidRDefault="00AF4100" w:rsidP="00B61D84">
      <w:pPr>
        <w:pStyle w:val="NormalHanging12a"/>
      </w:pPr>
      <w:r w:rsidRPr="00A453FA">
        <w:lastRenderedPageBreak/>
        <w:t>3.</w:t>
      </w:r>
      <w:r w:rsidRPr="00A453FA">
        <w:tab/>
        <w:t>podtrhuje význam parlamentní diplomacie jako prostředku k oslovení více různých zúčastněných stran v partnerských zemích a zemích mimo EU s cílem zvýšit povědomí o právních předpisech a postojích EU, lépe pochopit vnímání, dopady a důsledky těchto právních předpisů a postojů v příslušných zemích a vytvářet spojenectví a pevná partnerství ve stále složitějším a multipolárním mezinárodním kontextu;</w:t>
      </w:r>
    </w:p>
    <w:p w:rsidR="00AF4100" w:rsidRPr="00A453FA" w:rsidRDefault="00AF4100" w:rsidP="00B61D84">
      <w:pPr>
        <w:pStyle w:val="NormalHanging12a"/>
      </w:pPr>
      <w:r w:rsidRPr="00A453FA">
        <w:t>4.</w:t>
      </w:r>
      <w:r w:rsidRPr="00A453FA">
        <w:tab/>
        <w:t>vyjadřuje politování nad skutečností, že ačkoli Parlament výrazně přispívá k dosahování cílů zahraniční a bezpečnostní politiky EU a zároveň přináší přidanou hodnotu a doplňkovost v podobě parlamentní diplomacie, Komise, Rada a ESVČ jej dosud plně neuznaly za nedílného aktéra v rámci přístupu „tým Evropa“;</w:t>
      </w:r>
    </w:p>
    <w:p w:rsidR="00AF4100" w:rsidRPr="00A453FA" w:rsidRDefault="00AF4100" w:rsidP="00B61D84">
      <w:pPr>
        <w:pStyle w:val="NormalHanging12a"/>
      </w:pPr>
      <w:r w:rsidRPr="00A453FA">
        <w:t>5.</w:t>
      </w:r>
      <w:r w:rsidRPr="00A453FA">
        <w:tab/>
        <w:t>je přesvědčen, že Parlament má velký nevyužitý potenciál, aby dále rozvíjel svou diplomatickou úlohu a přispíval k plnění cílů zahraniční a bezpečnostní politiky EU;</w:t>
      </w:r>
    </w:p>
    <w:p w:rsidR="00AF4100" w:rsidRPr="00A453FA" w:rsidRDefault="00AF4100" w:rsidP="00B61D84">
      <w:pPr>
        <w:pStyle w:val="Normal12a24b"/>
        <w:spacing w:before="0"/>
        <w:ind w:left="567" w:hanging="567"/>
      </w:pPr>
      <w:r w:rsidRPr="00A453FA">
        <w:rPr>
          <w:rStyle w:val="BoldItalic"/>
        </w:rPr>
        <w:t>Nástroje, prostředky a hodnoty parlamentní diplomacie</w:t>
      </w:r>
    </w:p>
    <w:p w:rsidR="00AF4100" w:rsidRPr="00A453FA" w:rsidRDefault="00AF4100" w:rsidP="00B61D84">
      <w:pPr>
        <w:pStyle w:val="NormalHanging12a"/>
      </w:pPr>
      <w:r w:rsidRPr="00A453FA">
        <w:t>6.</w:t>
      </w:r>
      <w:r w:rsidRPr="00A453FA">
        <w:tab/>
        <w:t>poukazuje na specifický, dynamický a veřejný přínos Parlamentu k zahraniční a bezpečnostní politice EU a řešení mezinárodních výzev prostřednictvím činnosti jeho výborů zabývajících se vnějšími záležitostmi, včetně Podvýboru pro lidská práva a Podvýboru pro bezpečnost a obranu, které přispívají ke vztahům se zeměmi mimo EU, mezinárodními organizacemi a občanskou společností po celém světě;</w:t>
      </w:r>
    </w:p>
    <w:p w:rsidR="00AF4100" w:rsidRPr="00A453FA" w:rsidRDefault="00AF4100" w:rsidP="00B61D84">
      <w:pPr>
        <w:pStyle w:val="NormalHanging12a"/>
      </w:pPr>
      <w:r w:rsidRPr="00A453FA">
        <w:t>7.</w:t>
      </w:r>
      <w:r w:rsidRPr="00A453FA">
        <w:tab/>
        <w:t>zdůrazňuje, že stálé delegace zajišťují důležitou a doplňkovou práci k práci výborů tím, že poskytují pravidelné a stálé fórum pro politický dialog se zeměmi mimo EU a mezinárodními organizacemi, a to i prostřednictvím smíšených parlamentních orgánů a mnohostranných shromáždění;</w:t>
      </w:r>
    </w:p>
    <w:p w:rsidR="00AF4100" w:rsidRPr="00A453FA" w:rsidRDefault="00AF4100" w:rsidP="00B61D84">
      <w:pPr>
        <w:pStyle w:val="NormalHanging12a"/>
      </w:pPr>
      <w:r w:rsidRPr="00A453FA">
        <w:t>8.</w:t>
      </w:r>
      <w:r w:rsidRPr="00A453FA">
        <w:tab/>
        <w:t>zdůrazňuje, že stálé delegace hrají klíčovou úlohu prostředníka mezi Parlamentem a jeho partnery po celém světě, usnadňují interakci, pravidelně poskytují informace výborům a dalším orgánům Parlamentu, diskutují o postojích a politikách společného zájmu a rovněž naslouchají různým partnerům a dalším zúčastněným stranám a předávají jejich názory příslušným orgánům Parlamentu;</w:t>
      </w:r>
    </w:p>
    <w:p w:rsidR="00AF4100" w:rsidRPr="00A453FA" w:rsidRDefault="00AF4100" w:rsidP="00B61D84">
      <w:pPr>
        <w:pStyle w:val="NormalHanging12a"/>
      </w:pPr>
      <w:r w:rsidRPr="00A453FA">
        <w:t>9.</w:t>
      </w:r>
      <w:r w:rsidRPr="00A453FA">
        <w:tab/>
        <w:t>domnívá se, že oficiální služební cesty Parlamentu do zemí mimo EU jsou nedílnou součástí vnější politiky EU, a musí proto mít plnou podporu unijních delegací, jakož i informace na nejvyšší úrovni a bezpečnost zajišťované v této souvislosti ESVČ; vyzývá, aby středisko ESVČ pro reakci na krize dostalo k dispozici veškeré potřebné zdroje; domnívá se, že lepší koordinace, plánování a stanovení priorit misí jednotlivými orgány Parlamentu by zvýšilo konzistentnost, důvěryhodnost a dopad diplomatické úlohy Parlamentu;</w:t>
      </w:r>
    </w:p>
    <w:p w:rsidR="00AF4100" w:rsidRPr="00A453FA" w:rsidRDefault="00AF4100" w:rsidP="00B61D84">
      <w:pPr>
        <w:pStyle w:val="NormalHanging12a"/>
      </w:pPr>
      <w:r w:rsidRPr="00A453FA">
        <w:t>10.</w:t>
      </w:r>
      <w:r w:rsidRPr="00A453FA">
        <w:tab/>
        <w:t>navrhuje, aby příslušné orgány Parlamentu zavedly vnitřní koordinaci mimo jiné pravidelným sestavováním seznamu prioritních zemí, s nimiž je třeba navázat kontakty na základě nadcházejících legislativních dokumentů a geopolitických či strategických priorit, pořádáním společných výměn názorů s těmito prioritními zeměmi na vztahy EU nebo na horizontální geopolitické otázky a otázky konfliktů a podporou součinnosti mezi zahraničními misemi Parlamentu, aby se zabránilo zbytečnému zdvojování, zefektivnily se zdroje a posílila se konzistentnost sdělení Parlamentu;</w:t>
      </w:r>
    </w:p>
    <w:p w:rsidR="00AF4100" w:rsidRPr="00A453FA" w:rsidRDefault="00AF4100" w:rsidP="00B61D84">
      <w:pPr>
        <w:pStyle w:val="NormalHanging12a"/>
      </w:pPr>
      <w:r w:rsidRPr="00A453FA">
        <w:t>11.</w:t>
      </w:r>
      <w:r w:rsidRPr="00A453FA">
        <w:tab/>
        <w:t xml:space="preserve">zdůrazňuje, že poslanci by měli být při své oficiální misi plně připraveni na kulturní rozměr a rozměr mezinárodních kulturních vztahů země mimo EU, aby dokázali </w:t>
      </w:r>
      <w:r w:rsidRPr="00A453FA">
        <w:lastRenderedPageBreak/>
        <w:t>podporovat kulturu dialogu v rámci dialogu kultur; v této souvislosti vyzývá ESVČ, a zejména její oddělení strategické komunikace a prognózování, aby plně podporovalo oficiální mise Parlamentu do zemí mimo EU;</w:t>
      </w:r>
    </w:p>
    <w:p w:rsidR="00AF4100" w:rsidRPr="00A453FA" w:rsidRDefault="00AF4100" w:rsidP="00B61D84">
      <w:pPr>
        <w:pStyle w:val="NormalHanging12a"/>
      </w:pPr>
      <w:r w:rsidRPr="00A453FA">
        <w:t>12.</w:t>
      </w:r>
      <w:r w:rsidRPr="00A453FA">
        <w:tab/>
        <w:t>je toho názoru, že politický dialog, který vede Parlament a jednotliví poslanci Evropského parlamentu s vládními a parlamentními subjekty a se subjekty občanské společnosti po celém světě, přispívá k prosazování priorit, názorů a hodnot EU týkajících se globálních norem v oblastech, jako jsou všeobecná lidská práva a demokracie, práva osob LGBTI, práva žen a genderová rovnost, diplomatická činnost na poli klimatu a energetiky, konektivita, umělá inteligence a digitální a technologické politiky;</w:t>
      </w:r>
    </w:p>
    <w:p w:rsidR="00AF4100" w:rsidRPr="00A453FA" w:rsidRDefault="00AF4100" w:rsidP="00B61D84">
      <w:pPr>
        <w:pStyle w:val="NormalHanging12a"/>
      </w:pPr>
      <w:r w:rsidRPr="00A453FA">
        <w:t>13.</w:t>
      </w:r>
      <w:r w:rsidRPr="00A453FA">
        <w:tab/>
        <w:t>zdůrazňuje, že Parlament soustavně usiluje o to, aby lidská práva, právní stát a demokracie tvořily jádro vnější činnosti EU a aby byl klíčovým fórem, kde je možné vyslechnout a umocnit hlas občanské společnosti a demokratických zúčastněných stran z celého světa; v této souvislosti vyzdvihuje své aktivity na podporu obránců lidských práv, ohrožených členů parlamentu a mladých politických vůdců, jakož i podporu účasti žen na politickém životě a boje proti dezinformacím; vyzývá k dalšímu rozvoji aktivit Parlamentu a k tomu, aby v příštím volebním období dostali hlas ti, jejichž práva jsou ohrožena;</w:t>
      </w:r>
    </w:p>
    <w:p w:rsidR="00AF4100" w:rsidRPr="00A453FA" w:rsidRDefault="00AF4100" w:rsidP="00B61D84">
      <w:pPr>
        <w:pStyle w:val="NormalHanging12a"/>
      </w:pPr>
      <w:r w:rsidRPr="00A453FA">
        <w:t>14.</w:t>
      </w:r>
      <w:r w:rsidRPr="00A453FA">
        <w:tab/>
        <w:t>zdůrazňuje klíčový význam rozprav a usnesení Parlamentu o porušování lidských práv, demokracie a právního státu jako jednoho z jeho nástrojů s největším dopadem v</w:t>
      </w:r>
      <w:r w:rsidR="00B61D84" w:rsidRPr="00A453FA">
        <w:t> </w:t>
      </w:r>
      <w:r w:rsidRPr="00A453FA">
        <w:t>zahraničí při řešení situace v oblasti lidských práv v zemích mimo EU; vyzývá proto k</w:t>
      </w:r>
      <w:r w:rsidR="00B61D84" w:rsidRPr="00A453FA">
        <w:t> </w:t>
      </w:r>
      <w:r w:rsidRPr="00A453FA">
        <w:t>lepšímu zviditelnění těchto diskusí a usnesení, a to i s ohledem na pořad jednání plenárních zasedání a na práci výborů a dalších stálých parlamentních orgánů;</w:t>
      </w:r>
    </w:p>
    <w:p w:rsidR="00AF4100" w:rsidRPr="00A453FA" w:rsidRDefault="00AF4100" w:rsidP="00B61D84">
      <w:pPr>
        <w:pStyle w:val="NormalHanging12a"/>
      </w:pPr>
      <w:r w:rsidRPr="00A453FA">
        <w:t>15.</w:t>
      </w:r>
      <w:r w:rsidRPr="00A453FA">
        <w:tab/>
        <w:t>poukazuje na význam a jedinečnou povahu úlohy Parlamentu při misích pro sledování průběhu voleb a obecněji v programech na podporu demokracie, jako je posilování parlamentní demokracie v zemích mimo EU, a v iniciativách týkajících se zprostředkování, usnadňování budování kapacit, předcházení konfliktům, podpory demokratické parlamentní kultury založené na konsenzu a podpory lidských práv; vyzývá k lepšímu začlenění poznatků z činnosti skupiny pro podporu demokracie a koordinaci voleb v konkrétních zemích a poznatků získaných v rámci misí EU pro</w:t>
      </w:r>
      <w:r w:rsidR="00B61D84" w:rsidRPr="00A453FA">
        <w:t> </w:t>
      </w:r>
      <w:r w:rsidRPr="00A453FA">
        <w:t>sledování průběhu voleb do příslušné práce výborů a delegací, jakož i do plenárních zasedání, která se zaměřují na tytéž země;</w:t>
      </w:r>
    </w:p>
    <w:p w:rsidR="00AF4100" w:rsidRPr="00A453FA" w:rsidRDefault="00AF4100" w:rsidP="00B61D84">
      <w:pPr>
        <w:pStyle w:val="NormalHanging12a"/>
      </w:pPr>
      <w:r w:rsidRPr="00A453FA">
        <w:t>16.</w:t>
      </w:r>
      <w:r w:rsidRPr="00A453FA">
        <w:tab/>
        <w:t>vyzývá k posílení koordinace s Komisí, včetně Generálního ředitelství pro evropskou politiku sousedství a jednání o rozšíření a Generálního ředitelství pro mezinárodní partnerství, při podpoře parlamentní demokracie na celém světě a posílení institucionální podpory parlamentů; navrhuje, aby se síť s vnitrostátními parlamenty na</w:t>
      </w:r>
      <w:r w:rsidR="00B61D84" w:rsidRPr="00A453FA">
        <w:t> </w:t>
      </w:r>
      <w:r w:rsidRPr="00A453FA">
        <w:t xml:space="preserve">podporu demokracie, kterou Parlament zřídil, stala pravidelným institucionálním místem pro koordinaci činností a využívání odborných znalostí; </w:t>
      </w:r>
    </w:p>
    <w:p w:rsidR="00AF4100" w:rsidRPr="00A453FA" w:rsidRDefault="00AF4100" w:rsidP="00B61D84">
      <w:pPr>
        <w:pStyle w:val="NormalHanging12a"/>
      </w:pPr>
      <w:r w:rsidRPr="00A453FA">
        <w:t>17.</w:t>
      </w:r>
      <w:r w:rsidRPr="00A453FA">
        <w:tab/>
        <w:t>zdůrazňuje, že je zapotřebí dosáhnout genderové vyváženosti ve všech činnostech a misích, včetně zastoupení Parlamentu, a rozšířit odborné znalostí v oblasti rovnosti žen a mužů prostřednictvím nasazení odborníků na rovnost žen a mužů v rámci činností a programů parlamentní pomoci;</w:t>
      </w:r>
    </w:p>
    <w:p w:rsidR="00AF4100" w:rsidRPr="00A453FA" w:rsidRDefault="00AF4100" w:rsidP="00B61D84">
      <w:pPr>
        <w:pStyle w:val="Normal12a24b"/>
        <w:spacing w:before="0"/>
        <w:ind w:left="567" w:hanging="567"/>
      </w:pPr>
      <w:r w:rsidRPr="00A453FA">
        <w:rPr>
          <w:rStyle w:val="BoldItalic"/>
        </w:rPr>
        <w:t>Příspěvek Parlamentu k zahraniční a bezpečnostní politice EU</w:t>
      </w:r>
    </w:p>
    <w:p w:rsidR="00AF4100" w:rsidRPr="00A453FA" w:rsidRDefault="00AF4100" w:rsidP="00B61D84">
      <w:pPr>
        <w:pStyle w:val="NormalHanging12a"/>
      </w:pPr>
      <w:r w:rsidRPr="00A453FA">
        <w:lastRenderedPageBreak/>
        <w:t>18.</w:t>
      </w:r>
      <w:r w:rsidRPr="00A453FA">
        <w:tab/>
        <w:t>domnívá se, že příští volební období a jmenování budoucí Komise by měly být příležitostí k utužení rámce interinstitucionálních vztahů mezi Parlamentem, ESVČ a Komisí, včetně delegací EU, s cílem posílit parlamentní diplomacii a soubor nástrojů EU pro vnější činnost;</w:t>
      </w:r>
    </w:p>
    <w:p w:rsidR="00AF4100" w:rsidRPr="00A453FA" w:rsidRDefault="00AF4100" w:rsidP="00B61D84">
      <w:pPr>
        <w:pStyle w:val="NormalHanging12a"/>
      </w:pPr>
      <w:r w:rsidRPr="00A453FA">
        <w:t>19.</w:t>
      </w:r>
      <w:r w:rsidRPr="00A453FA">
        <w:tab/>
        <w:t>požaduje zejména, aby byl posílen dohled Parlamentu nad činnostmi prováděnými v</w:t>
      </w:r>
      <w:r w:rsidR="00B61D84" w:rsidRPr="00A453FA">
        <w:t> </w:t>
      </w:r>
      <w:r w:rsidRPr="00A453FA">
        <w:t>rámci zahraniční a bezpečnostní politiky EU prostřednictvím zvýšení úrovně odpovědnosti a transparentnosti ESVČ a útvarů Komise pro vnější činnost; v této souvislosti zdůrazňuje, že je nutné aktualizovat prohlášení o politické odpovědnosti z</w:t>
      </w:r>
      <w:r w:rsidR="00B61D84" w:rsidRPr="00A453FA">
        <w:t> </w:t>
      </w:r>
      <w:r w:rsidRPr="00A453FA">
        <w:t>roku 2010 a nově definovat vztahy mezi ESVČ a Parlamentem;</w:t>
      </w:r>
    </w:p>
    <w:p w:rsidR="00AF4100" w:rsidRPr="00A453FA" w:rsidRDefault="00AF4100" w:rsidP="00B61D84">
      <w:pPr>
        <w:pStyle w:val="NormalHanging12a"/>
      </w:pPr>
      <w:r w:rsidRPr="00A453FA">
        <w:t>20.</w:t>
      </w:r>
      <w:r w:rsidRPr="00A453FA">
        <w:tab/>
        <w:t>vyzývá Komisi, Radu a členské státy, aby skutečně zapojovaly Parlament do provádění a kontroly záležitostí strategického významu v oblasti zahraničních věcí EU, včetně uplatňování omezujících opatření, jakož i do kontroly nástrojů financování vnější činnosti;</w:t>
      </w:r>
    </w:p>
    <w:p w:rsidR="00AF4100" w:rsidRPr="00A453FA" w:rsidRDefault="00AF4100" w:rsidP="00B61D84">
      <w:pPr>
        <w:pStyle w:val="NormalHanging12a"/>
      </w:pPr>
      <w:r w:rsidRPr="00A453FA">
        <w:t>21.</w:t>
      </w:r>
      <w:r w:rsidRPr="00A453FA">
        <w:tab/>
        <w:t>trvá na právu Parlamentu na informace v záležitostech SZBP podle článku 36 S</w:t>
      </w:r>
      <w:r w:rsidR="005161EB">
        <w:t>mlouvy o</w:t>
      </w:r>
      <w:r w:rsidR="005161EB" w:rsidRPr="00A453FA">
        <w:t> </w:t>
      </w:r>
      <w:r w:rsidRPr="00A453FA">
        <w:t>EU, včetně včasného přístupu ke zprávám, strategiím jednotlivých zemí a dalším důvěrným informacím, jimiž se řídí SZBP EU; v této souvislosti zdůrazňuje, že je důležité co nejdříve dokončit aktualizaci interinstitucionální dohody ze dne 20. listopadu 2002 mezi</w:t>
      </w:r>
      <w:r w:rsidR="00B61D84" w:rsidRPr="00A453FA">
        <w:t> </w:t>
      </w:r>
      <w:r w:rsidRPr="00A453FA">
        <w:t>Evropským parlamentem a Radou o přístupu Evropského parlamentu k citlivým informacím Rady v oblasti bezpečnostní a obranné politiky;</w:t>
      </w:r>
    </w:p>
    <w:p w:rsidR="00AF4100" w:rsidRPr="00A453FA" w:rsidRDefault="00AF4100" w:rsidP="00B61D84">
      <w:pPr>
        <w:pStyle w:val="NormalHanging12a"/>
      </w:pPr>
      <w:r w:rsidRPr="00A453FA">
        <w:t>22.</w:t>
      </w:r>
      <w:r w:rsidRPr="00A453FA">
        <w:tab/>
        <w:t>zdůrazňuje, že Parlament by měl díky své kontrolní funkci a pravomoci monitorovat sjednávání a provádění mezinárodních dohod hrát klíčovou úlohu při utváření spolupráce Unie se zeměmi mimo EU a mezinárodními organizacemi a její celkové činnosti na mezinárodní scéně, což by mělo EU umožňovat dále prosazovat zohledňování genderového hlediska a klimatickou diplomacii v mezinárodních vztazích; v této souvislosti odsuzuje tzv. neformální nebo ad hoc ujednání, která nevyžadují souhlas Parlamentu, a tudíž podkopávají jeho autoritu jakožto spolunormotvůrce a jeho kontrolní úlohu;</w:t>
      </w:r>
    </w:p>
    <w:p w:rsidR="00AF4100" w:rsidRPr="00A453FA" w:rsidRDefault="00AF4100" w:rsidP="00B61D84">
      <w:pPr>
        <w:pStyle w:val="NormalHanging12a"/>
      </w:pPr>
      <w:r w:rsidRPr="00A453FA">
        <w:t>23.</w:t>
      </w:r>
      <w:r w:rsidRPr="00A453FA">
        <w:tab/>
        <w:t>zastává názor, že velvyslanci EU ve strategických zemích a zvláštní zástupci EU by měli být potvrzeni až po kladném hodnocení Výborem Evropského parlamentu pro</w:t>
      </w:r>
      <w:r w:rsidR="00B61D84" w:rsidRPr="00A453FA">
        <w:t> </w:t>
      </w:r>
      <w:r w:rsidRPr="00A453FA">
        <w:t>zahraniční věci;</w:t>
      </w:r>
    </w:p>
    <w:p w:rsidR="00AF4100" w:rsidRPr="00A453FA" w:rsidRDefault="00AF4100" w:rsidP="00B61D84">
      <w:pPr>
        <w:pStyle w:val="NormalHanging12a"/>
      </w:pPr>
      <w:r w:rsidRPr="00A453FA">
        <w:t>24.</w:t>
      </w:r>
      <w:r w:rsidRPr="00A453FA">
        <w:tab/>
        <w:t>vyzývá k systematičtější účasti předsedů vnějších výborů Parlamentu na schůzích a akcích SZBP na vysoké úrovni, včetně Rady ve formátu pro zahraniční věci; vyzývá ke</w:t>
      </w:r>
      <w:r w:rsidR="00B61D84" w:rsidRPr="00A453FA">
        <w:t> </w:t>
      </w:r>
      <w:r w:rsidRPr="00A453FA">
        <w:t>společným delegacím ESVČ, Komise a Parlamentu na významných mnohostranných a regionálních setkáních;</w:t>
      </w:r>
    </w:p>
    <w:p w:rsidR="00AF4100" w:rsidRPr="00A453FA" w:rsidRDefault="00AF4100" w:rsidP="00B61D84">
      <w:pPr>
        <w:pStyle w:val="NormalHanging12a"/>
      </w:pPr>
      <w:r w:rsidRPr="00A453FA">
        <w:t>25.</w:t>
      </w:r>
      <w:r w:rsidRPr="00A453FA">
        <w:tab/>
        <w:t>trvá na tom, že úloha a poznatky Parlamentu by měly být začleněny do všech klíčových strategických politických dokumentů přijatých Komisí a Radou v souvislosti s</w:t>
      </w:r>
      <w:r w:rsidR="00B61D84" w:rsidRPr="00A453FA">
        <w:t> </w:t>
      </w:r>
      <w:r w:rsidRPr="00A453FA">
        <w:t>prováděním vnější politiky EU a že Parlament by měl být při vypracovávání těchto dokumentů konzultován;</w:t>
      </w:r>
    </w:p>
    <w:p w:rsidR="00AF4100" w:rsidRPr="00A453FA" w:rsidRDefault="00AF4100" w:rsidP="00B61D84">
      <w:pPr>
        <w:pStyle w:val="NormalHanging12a"/>
      </w:pPr>
      <w:r w:rsidRPr="00A453FA">
        <w:t>26.</w:t>
      </w:r>
      <w:r w:rsidRPr="00A453FA">
        <w:tab/>
        <w:t>vyzývá k posílení vztahů Parlamentu s vnitrostátními parlamenty členských států, které mají dobré předpoklady k tomu, aby hrály úlohu prostředníka při kontaktu s výkonnými orgány členských států; zdůrazňuje proto, že meziparlamentní konference o</w:t>
      </w:r>
      <w:r w:rsidR="00B61D84" w:rsidRPr="00A453FA">
        <w:t> </w:t>
      </w:r>
      <w:r w:rsidRPr="00A453FA">
        <w:t xml:space="preserve">SZBP/SBOP, jakož i meziparlamentní konference, které každoročně pořádá Podvýbor pro lidská práva, představují významné fórum pro výměnu informací a osvědčených </w:t>
      </w:r>
      <w:r w:rsidRPr="00A453FA">
        <w:lastRenderedPageBreak/>
        <w:t>postupů mezi vnitrostátními parlamenty a Evropským parlamentem v daných oblastech a měly by být posíleny;</w:t>
      </w:r>
    </w:p>
    <w:p w:rsidR="00AF4100" w:rsidRPr="00A453FA" w:rsidRDefault="00AF4100" w:rsidP="00B61D84">
      <w:pPr>
        <w:pStyle w:val="NormalHanging12a"/>
      </w:pPr>
      <w:r w:rsidRPr="00A453FA">
        <w:t>27.</w:t>
      </w:r>
      <w:r w:rsidRPr="00A453FA">
        <w:tab/>
        <w:t>domnívá se, že Parlament může hrát jedinečnou úlohu, pokud jde o přibližování zahraniční politiky EU evropským občanům a posilování její demokratické legitimity, mimo jiné prostřednictvím spolupráce se subjekty na nižší než celostátní úrovni, jako jsou regionální vlády a parlamenty, čímž umožní víceúrovňové diplomacii na základě příslušných právních a institucionálních rámců zahraniční politiky EU i členských států, aby se promítla do vnější činnosti na úrovni EU a navázala na ni;</w:t>
      </w:r>
    </w:p>
    <w:p w:rsidR="00AF4100" w:rsidRPr="00A453FA" w:rsidRDefault="00AF4100" w:rsidP="00B61D84">
      <w:pPr>
        <w:pStyle w:val="NormalHanging12a"/>
      </w:pPr>
      <w:r w:rsidRPr="00A453FA">
        <w:t>28.</w:t>
      </w:r>
      <w:r w:rsidRPr="00A453FA">
        <w:tab/>
        <w:t>opakuje svou výzvu k rozvoji autonomní diplomacie EU určené společnou diplomatickou kulturou z pohledu EU a zdůrazňuje úlohu Parlamentu v tomto ohledu; domnívá se, že realizace pilotního projektu Parlamentu o vytvoření Evropské diplomatické akademie, a zejména její budoucí a stálé struktury, je v tomto ohledu konkrétním krokem; vyzývá k zajištění stálé účasti a aktivního zapojení Parlamentu do</w:t>
      </w:r>
      <w:r w:rsidR="00B61D84" w:rsidRPr="00A453FA">
        <w:t> </w:t>
      </w:r>
      <w:r w:rsidRPr="00A453FA">
        <w:t>budoucích řídících nebo správních orgánů Evropské diplomatické akademie, jakož i do jejích vzdělávacích programů a činností;</w:t>
      </w:r>
    </w:p>
    <w:p w:rsidR="00AF4100" w:rsidRPr="00A453FA" w:rsidRDefault="00AF4100" w:rsidP="00B61D84">
      <w:pPr>
        <w:pStyle w:val="NormalHanging12a"/>
      </w:pPr>
      <w:r w:rsidRPr="00A453FA">
        <w:t>29.</w:t>
      </w:r>
      <w:r w:rsidRPr="00A453FA">
        <w:tab/>
        <w:t>je toho názoru, že v souvislosti s celosvětovým zhoršováním situace v oblasti dodržování lidských práv a demokracie musí Parlament sehrávat zvláštní úlohu, pokud jde o obranu mnohostranného řádu založeného na pravidlech, demokracie a právního státu, podporu lidských práv a politického pluralismu, boj proti desinformacím a zahraničnímu vměšování v zemích mimo EU a dále o pomoc demokraticky zvoleným parlamentům na celém světě, aby konsolidovaly svou institucionální úlohu a vnitřní pracovní metody skrze nabízení cílených programů; konstatuje, že poslanci Evropského parlamentu se mohou zabývat citlivějšími otázkami, jako je porušování lidských práv, vydávat k nim veřejná prohlášení, navazovat veřejné i neveřejné komunikační cesty nebo spolupracovat s místními partnery, pokud je prostor tradiční diplomacie omezenější;</w:t>
      </w:r>
    </w:p>
    <w:p w:rsidR="00AF4100" w:rsidRPr="00A453FA" w:rsidRDefault="00AF4100" w:rsidP="00B61D84">
      <w:pPr>
        <w:pStyle w:val="NormalHanging12a"/>
      </w:pPr>
      <w:r w:rsidRPr="00A453FA">
        <w:t>30.</w:t>
      </w:r>
      <w:r w:rsidRPr="00A453FA">
        <w:tab/>
        <w:t>zdůrazňuje specifickou úlohu parlamentních orgánů, pokud jde o pomoc partnerským zemím, a zejména zemím procesu rozšíření a potenciálním kandidátským zemím na</w:t>
      </w:r>
      <w:r w:rsidR="00B61D84" w:rsidRPr="00A453FA">
        <w:t> </w:t>
      </w:r>
      <w:r w:rsidRPr="00A453FA">
        <w:t>západním Balkáně a ve východním sousedství; vyzývá, aby se posílila jejich úloha v</w:t>
      </w:r>
      <w:r w:rsidR="00B61D84" w:rsidRPr="00A453FA">
        <w:t> </w:t>
      </w:r>
      <w:r w:rsidRPr="00A453FA">
        <w:t>procesu přistoupení k EU, a to vzhledem ke specifické a klíčové úloze, kterou hrají vnitrostátní parlamenty v procesu potřebných reforem mimo jiné prostřednictvím sbližování právních předpisů, dohledu a oslovování občanů; připomíná, že je zapotřebí, aby delegace EU aktivně podporovaly takovou meziparlamentní spolupráci s kandidátskými a potenciálními kandidátskými zeměmi;</w:t>
      </w:r>
    </w:p>
    <w:p w:rsidR="00AF4100" w:rsidRPr="00A453FA" w:rsidRDefault="00AF4100" w:rsidP="00B61D84">
      <w:pPr>
        <w:pStyle w:val="NormalHanging12a"/>
      </w:pPr>
      <w:r w:rsidRPr="00A453FA">
        <w:t>31.</w:t>
      </w:r>
      <w:r w:rsidRPr="00A453FA">
        <w:tab/>
        <w:t>vítá inovativní přístupy, jako je spolupráce mezi výbory, kterou nedávno zahájil Evropský parlament a Verchovna rada Ukrajiny, a vzhledem k politickému významu procesu rozšíření podporuje rozvoj dalších iniciativ v této oblasti;</w:t>
      </w:r>
    </w:p>
    <w:p w:rsidR="00AF4100" w:rsidRPr="00A453FA" w:rsidRDefault="00AF4100" w:rsidP="00B61D84">
      <w:pPr>
        <w:pStyle w:val="NormalHanging12a"/>
      </w:pPr>
      <w:r w:rsidRPr="00A453FA">
        <w:t>32.</w:t>
      </w:r>
      <w:r w:rsidRPr="00A453FA">
        <w:tab/>
        <w:t>opakuje svou výzvu k posílení institucionálních kapacit EU na poli preventivní diplomacie, předcházení konfliktům a mediace a domnívá se, že Parlament může v</w:t>
      </w:r>
      <w:r w:rsidR="00B61D84" w:rsidRPr="00A453FA">
        <w:t> </w:t>
      </w:r>
      <w:r w:rsidRPr="00A453FA">
        <w:t>tomto směru významně přispívat a poskytovat odborné znalosti prostřednictvím svých orgánů a činností v této oblasti, a to i zapojením mechanismů včasného varování a kontrol na místě;</w:t>
      </w:r>
    </w:p>
    <w:p w:rsidR="00AF4100" w:rsidRPr="00A453FA" w:rsidRDefault="00AF4100" w:rsidP="00B61D84">
      <w:pPr>
        <w:pStyle w:val="NormalHanging12a"/>
      </w:pPr>
      <w:r w:rsidRPr="00A453FA">
        <w:t>33.</w:t>
      </w:r>
      <w:r w:rsidRPr="00A453FA">
        <w:tab/>
        <w:t xml:space="preserve">zdůrazňuje, že rozsáhlá meziparlamentní síť, kterou Parlament vytvořil prostřednictvím svých stálých delegací a mnohostranných shromáždění, poskytuje vynikající nástroj </w:t>
      </w:r>
      <w:r w:rsidRPr="00A453FA">
        <w:lastRenderedPageBreak/>
        <w:t>pro</w:t>
      </w:r>
      <w:r w:rsidR="00B61D84" w:rsidRPr="00A453FA">
        <w:t> </w:t>
      </w:r>
      <w:r w:rsidRPr="00A453FA">
        <w:t>diskusi a koordinaci postojů s mezinárodními partnery na mnohostranných fórech, například v souvislosti s rezolucemi OSN, začleňováním genderového hlediska, diplomacií v oblasti klimatu nebo postoji na úrovni skupiny G20, jakož i pro</w:t>
      </w:r>
      <w:r w:rsidR="00B61D84" w:rsidRPr="00A453FA">
        <w:t> </w:t>
      </w:r>
      <w:r w:rsidRPr="00A453FA">
        <w:t>vyjasňování záměrů EU partnerům a prosazování jejích opatření; vyzdvihuje významný přínos Parlamentu k práci mnohostranných fór, mimo jiné prostřednictvím jeho účasti na parlamentních summitech G7 a G20 a na zasedáních Meziparlamentní unie;</w:t>
      </w:r>
    </w:p>
    <w:p w:rsidR="00AF4100" w:rsidRPr="00A453FA" w:rsidRDefault="00AF4100" w:rsidP="00B61D84">
      <w:pPr>
        <w:pStyle w:val="NormalHanging12a"/>
      </w:pPr>
      <w:r w:rsidRPr="00A453FA">
        <w:t>34.</w:t>
      </w:r>
      <w:r w:rsidRPr="00A453FA">
        <w:tab/>
        <w:t>vyzdvihuje úlohu Evropského parlamentu v celosvětovém prosazování genderové rovnosti, včetně boje proti femicidě a genderově podmíněnému násilí, a prosazování práv osob LGBTI ve vnější činnosti EU; poukazuje na význam poslanců při</w:t>
      </w:r>
      <w:r w:rsidR="00B61D84" w:rsidRPr="00A453FA">
        <w:t> </w:t>
      </w:r>
      <w:r w:rsidRPr="00A453FA">
        <w:t>prosazování genderové citlivosti ve všech vnějších vztazích EU prostřednictvím zvyšování povědomí, budování kapacit a sdílení osvědčených postupů, mimo jiné včetně přidané hodnoty zajištění genderově vyvážených parlamentů a genderového hlediska ve fungování parlamentních orgánů; vyzývá Parlament, aby tento důležitý rozměr své parlamentní diplomacie ve vztazích s partnerskými zeměmi dále posiloval;</w:t>
      </w:r>
    </w:p>
    <w:p w:rsidR="00AF4100" w:rsidRPr="00A453FA" w:rsidRDefault="00AF4100" w:rsidP="00B61D84">
      <w:pPr>
        <w:pStyle w:val="NormalHanging12a"/>
      </w:pPr>
      <w:r w:rsidRPr="00A453FA">
        <w:t>35.</w:t>
      </w:r>
      <w:r w:rsidRPr="00A453FA">
        <w:tab/>
        <w:t>domnívá se, že s ohledem na Cíl udržitelného rozvoje č. 5 (dosáhnout rovnosti žen a mužů a posílit postavení všech žen a dívek) musí Parlament hrát významnou roli při</w:t>
      </w:r>
      <w:r w:rsidR="00B61D84" w:rsidRPr="00A453FA">
        <w:t> </w:t>
      </w:r>
      <w:r w:rsidRPr="00A453FA">
        <w:t>dosahování klíčových strategických kritérií v oblasti genderové rovnosti;</w:t>
      </w:r>
    </w:p>
    <w:p w:rsidR="00AF4100" w:rsidRPr="00A453FA" w:rsidRDefault="00AF4100" w:rsidP="00B61D84">
      <w:pPr>
        <w:pStyle w:val="NormalHanging12a"/>
      </w:pPr>
      <w:r w:rsidRPr="00A453FA">
        <w:t>36.</w:t>
      </w:r>
      <w:r w:rsidRPr="00A453FA">
        <w:tab/>
        <w:t>zdůrazňuje činnost Parlamentu při prosazování ratifikace a provádění příslušných úmluv OSN a dalších mezinárodních úmluv a opčních protokolů, jako je Pařížská dohoda a Úmluva o prevenci a potírání násilí na ženách a domácího násilí;</w:t>
      </w:r>
    </w:p>
    <w:p w:rsidR="00AF4100" w:rsidRPr="00A453FA" w:rsidRDefault="00AF4100" w:rsidP="00B61D84">
      <w:pPr>
        <w:pStyle w:val="Normal12a24b"/>
        <w:spacing w:before="0"/>
        <w:ind w:left="567" w:hanging="567"/>
      </w:pPr>
      <w:r w:rsidRPr="00A453FA">
        <w:rPr>
          <w:rStyle w:val="BoldItalic"/>
        </w:rPr>
        <w:t>Tým Evropa: Parlament jako partner v oblasti zahraniční politiky</w:t>
      </w:r>
    </w:p>
    <w:p w:rsidR="00AF4100" w:rsidRPr="00A453FA" w:rsidRDefault="00AF4100" w:rsidP="00B61D84">
      <w:pPr>
        <w:pStyle w:val="NormalHanging12a"/>
      </w:pPr>
      <w:r w:rsidRPr="00A453FA">
        <w:t>37.</w:t>
      </w:r>
      <w:r w:rsidRPr="00A453FA">
        <w:tab/>
        <w:t>domnívá se, že ačkoli by si Parlament měl při provádění svého programu vnější politiky zachovat plnou autonomii, představují společné návštěvy ad hoc, jakož i prohlášení Parlamentu týkající se klíčového vývoje v zemích mimo EU, vydávaná spolu se</w:t>
      </w:r>
      <w:r w:rsidR="00B61D84" w:rsidRPr="00A453FA">
        <w:t> </w:t>
      </w:r>
      <w:r w:rsidRPr="00A453FA">
        <w:t>zástupci Komise a Rady, slibnou oblast pro realizaci přístupu „týmu Evropa“; v této souvislosti vyzývá k zahájení interinstitucionálního pilotního programu Tým Evropa ve</w:t>
      </w:r>
      <w:r w:rsidR="00B61D84" w:rsidRPr="00A453FA">
        <w:t> </w:t>
      </w:r>
      <w:r w:rsidRPr="00A453FA">
        <w:t>vybraných zemích mimo EU; vyzývá, aby tento pilotní program zajišťoval, že nástroje Parlamentu budou plně integrovány do společného interinstitucionálního přístupu k daným zemím;</w:t>
      </w:r>
    </w:p>
    <w:p w:rsidR="00AF4100" w:rsidRPr="00A453FA" w:rsidRDefault="00AF4100" w:rsidP="00B61D84">
      <w:pPr>
        <w:pStyle w:val="NormalHanging12a"/>
      </w:pPr>
      <w:r w:rsidRPr="00A453FA">
        <w:t>38.</w:t>
      </w:r>
      <w:r w:rsidRPr="00A453FA">
        <w:tab/>
        <w:t>odsuzuje rozhodnutí některých zemí, četně některých, které mají dohody s EU, zakázat delegacím Parlamentu a jednotlivým poslancům Evropského parlamentu vstup do</w:t>
      </w:r>
      <w:r w:rsidR="00B61D84" w:rsidRPr="00A453FA">
        <w:t> </w:t>
      </w:r>
      <w:r w:rsidRPr="00A453FA">
        <w:t>některých částí nebo na celé své území; odsuzuje hrozby a sankce vůči poslancům Evropského parlamentu ze strany zemí mimo EU; trvá na tom, aby Rada a členské státy přijaly okamžitá a důrazná opatření, včetně sankcí, pokud to bude nutné, když se orgány Parlamentu nebo jednotliví poslanci Evropského parlamentu stanou terčem restriktivních opatření ze strany zemí mimo EU;</w:t>
      </w:r>
    </w:p>
    <w:p w:rsidR="00AF4100" w:rsidRPr="00A453FA" w:rsidRDefault="00AF4100" w:rsidP="00B61D84">
      <w:pPr>
        <w:pStyle w:val="NormalHanging12a"/>
      </w:pPr>
      <w:r w:rsidRPr="00A453FA">
        <w:t>39.</w:t>
      </w:r>
      <w:r w:rsidRPr="00A453FA">
        <w:tab/>
        <w:t>zdůrazňuje, že sledování průběhu voleb je oblastí, v níž je spolupráce mezi</w:t>
      </w:r>
      <w:r w:rsidR="00B61D84" w:rsidRPr="00A453FA">
        <w:t> </w:t>
      </w:r>
      <w:r w:rsidRPr="00A453FA">
        <w:t>Parlamentem a ESVČ nejstrukturovanější, přičemž oba orgány provádějí volební pozorovatelské činnosti, které jsou v několika ohledech velmi dobře propojeny;</w:t>
      </w:r>
    </w:p>
    <w:p w:rsidR="00AF4100" w:rsidRPr="00A453FA" w:rsidRDefault="00AF4100" w:rsidP="00B61D84">
      <w:pPr>
        <w:pStyle w:val="NormalHanging12a"/>
      </w:pPr>
      <w:r w:rsidRPr="00A453FA">
        <w:t>40.</w:t>
      </w:r>
      <w:r w:rsidRPr="00A453FA">
        <w:tab/>
        <w:t xml:space="preserve">opakuje svou výzvu ke strategičtější koordinaci mezi orgány EU, pokud jde o naléhavé jednotlivé případy, které se týkají obránců lidských práv, novinářů nebo příslušníků zvláště zranitelných skupin; je přesvědčen o tom, že parlamentní diplomacie se může </w:t>
      </w:r>
      <w:r w:rsidRPr="00A453FA">
        <w:lastRenderedPageBreak/>
        <w:t>ukázat jako účinný a doplňkový mechanismus pro spolupráci se zeměmi mimo EU v těchto případech; vyzývá k vytvoření interinstitucionální pracovní skupiny pro otázky týkající se obránců lidských práv, která by koordinovala evropské úsilí v prioritních případech týkajících se obránců lidských práv;</w:t>
      </w:r>
    </w:p>
    <w:p w:rsidR="00AF4100" w:rsidRPr="00A453FA" w:rsidRDefault="00AF4100" w:rsidP="00B61D84">
      <w:pPr>
        <w:pStyle w:val="NormalHanging12a"/>
      </w:pPr>
      <w:r w:rsidRPr="00A453FA">
        <w:t>41.</w:t>
      </w:r>
      <w:r w:rsidRPr="00A453FA">
        <w:tab/>
        <w:t>opakuje svou žádost, aby místopředseda Komise, vysoký představitel ve spolupráci s</w:t>
      </w:r>
      <w:r w:rsidR="00B61D84" w:rsidRPr="00A453FA">
        <w:t> </w:t>
      </w:r>
      <w:r w:rsidRPr="00A453FA">
        <w:t>členskými státy a Parlamentem přijal každoroční seznam zemí, které vzbuzují vážné obavy v souvislosti s osudem obránců lidských práv a demokratických aktivistů, což by mimo jiné umožnilo plně koordinovanou praktickou reakci týmu Evropa na místě; domnívá se, že Parlament by mohl hrát rozhodující úlohu tím, že využije své institucionální a jiné prostředky na podporu tohoto cíleného a jednotného přístupu;</w:t>
      </w:r>
    </w:p>
    <w:p w:rsidR="00AF4100" w:rsidRPr="00A453FA" w:rsidRDefault="00AF4100" w:rsidP="00B61D84">
      <w:pPr>
        <w:pStyle w:val="NormalHanging12a"/>
      </w:pPr>
      <w:r w:rsidRPr="00A453FA">
        <w:t>42.</w:t>
      </w:r>
      <w:r w:rsidRPr="00A453FA">
        <w:tab/>
        <w:t>naléhavě vyzývá všechny delegace EU, aby informovaly veřejnost o činnosti Parlamentu související s jejich hostitelskou zemí, mimo jiné na svých webových stránkách v místním jazyce, a aby získávaly zpětnou vazbu od místních orgánů a skupin občanské společnosti;</w:t>
      </w:r>
    </w:p>
    <w:p w:rsidR="00E13465" w:rsidRDefault="00E13465" w:rsidP="00B61D84">
      <w:pPr>
        <w:pStyle w:val="NormalCenter12a"/>
        <w:widowControl/>
        <w:ind w:left="567" w:hanging="567"/>
      </w:pPr>
      <w:r>
        <w:t>°</w:t>
      </w:r>
    </w:p>
    <w:p w:rsidR="00E13465" w:rsidRDefault="00E13465" w:rsidP="00B61D84">
      <w:pPr>
        <w:pStyle w:val="NormalCenter12a"/>
        <w:widowControl/>
        <w:ind w:left="567" w:hanging="567"/>
      </w:pPr>
      <w:r>
        <w:t>°     °</w:t>
      </w:r>
    </w:p>
    <w:p w:rsidR="00AF4100" w:rsidRPr="00A453FA" w:rsidRDefault="00AF4100" w:rsidP="00B61D84">
      <w:pPr>
        <w:pStyle w:val="NormalHanging12a"/>
      </w:pPr>
      <w:r w:rsidRPr="00A453FA">
        <w:t>43.</w:t>
      </w:r>
      <w:r w:rsidRPr="00A453FA">
        <w:tab/>
        <w:t>pověřuje svou předsedkyni, aby předala toto usnesení Radě, Komisi, místopředsedovi Komise, vysokému představiteli Unie pro zahraniční věci a bezpečnostní politiku a vládám a parlamentům členských států.</w:t>
      </w:r>
    </w:p>
    <w:p w:rsidR="00E365E1" w:rsidRPr="00A453FA" w:rsidRDefault="00E365E1" w:rsidP="00691FA5">
      <w:bookmarkStart w:id="9" w:name="TextBodyEnd"/>
      <w:bookmarkEnd w:id="9"/>
    </w:p>
    <w:sectPr w:rsidR="00E365E1" w:rsidRPr="00A453FA" w:rsidSect="00A453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FA5" w:rsidRPr="00A453FA" w:rsidRDefault="00691FA5">
      <w:r w:rsidRPr="00A453FA">
        <w:separator/>
      </w:r>
    </w:p>
  </w:endnote>
  <w:endnote w:type="continuationSeparator" w:id="0">
    <w:p w:rsidR="00691FA5" w:rsidRPr="00A453FA" w:rsidRDefault="00691FA5">
      <w:r w:rsidRPr="00A453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3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3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3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FA5" w:rsidRPr="00A453FA" w:rsidRDefault="00691FA5">
      <w:r w:rsidRPr="00A453FA">
        <w:separator/>
      </w:r>
    </w:p>
  </w:footnote>
  <w:footnote w:type="continuationSeparator" w:id="0">
    <w:p w:rsidR="00691FA5" w:rsidRPr="00A453FA" w:rsidRDefault="00691FA5">
      <w:r w:rsidRPr="00A453FA">
        <w:continuationSeparator/>
      </w:r>
    </w:p>
  </w:footnote>
  <w:footnote w:id="1">
    <w:p w:rsidR="00AF4100" w:rsidRPr="00A453FA" w:rsidRDefault="00AF4100" w:rsidP="00A453FA">
      <w:pPr>
        <w:pStyle w:val="FootnoteText"/>
        <w:ind w:left="567" w:hanging="567"/>
        <w:rPr>
          <w:sz w:val="24"/>
          <w:lang w:val="cs-CZ"/>
        </w:rPr>
      </w:pPr>
      <w:r w:rsidRPr="00A453FA">
        <w:rPr>
          <w:rStyle w:val="FootnoteReference"/>
          <w:sz w:val="24"/>
          <w:lang w:val="cs-CZ"/>
        </w:rPr>
        <w:footnoteRef/>
      </w:r>
      <w:r w:rsidR="00A453FA" w:rsidRPr="00A453FA">
        <w:rPr>
          <w:sz w:val="24"/>
          <w:lang w:val="cs-CZ"/>
        </w:rPr>
        <w:t xml:space="preserve"> </w:t>
      </w:r>
      <w:r w:rsidR="00A453FA" w:rsidRPr="00A453FA">
        <w:rPr>
          <w:sz w:val="24"/>
          <w:lang w:val="cs-CZ"/>
        </w:rPr>
        <w:tab/>
      </w:r>
      <w:r w:rsidRPr="00A453FA">
        <w:rPr>
          <w:sz w:val="24"/>
          <w:lang w:val="cs-CZ"/>
        </w:rPr>
        <w:t>Úř. věst. L 201, 3.8.2010, s. 30.</w:t>
      </w:r>
    </w:p>
  </w:footnote>
  <w:footnote w:id="2">
    <w:p w:rsidR="00AF4100" w:rsidRPr="00A453FA" w:rsidRDefault="00AF4100" w:rsidP="00A453FA">
      <w:pPr>
        <w:pStyle w:val="FootnoteText"/>
        <w:ind w:left="567" w:hanging="567"/>
        <w:rPr>
          <w:sz w:val="24"/>
          <w:lang w:val="cs-CZ"/>
        </w:rPr>
      </w:pPr>
      <w:r w:rsidRPr="00A453FA">
        <w:rPr>
          <w:rStyle w:val="FootnoteReference"/>
          <w:sz w:val="24"/>
          <w:lang w:val="cs-CZ"/>
        </w:rPr>
        <w:footnoteRef/>
      </w:r>
      <w:r w:rsidR="00A453FA" w:rsidRPr="00A453FA">
        <w:rPr>
          <w:sz w:val="24"/>
          <w:lang w:val="cs-CZ"/>
        </w:rPr>
        <w:t xml:space="preserve"> </w:t>
      </w:r>
      <w:r w:rsidR="00A453FA" w:rsidRPr="00A453FA">
        <w:rPr>
          <w:sz w:val="24"/>
          <w:lang w:val="cs-CZ"/>
        </w:rPr>
        <w:tab/>
      </w:r>
      <w:r w:rsidRPr="00A453FA">
        <w:rPr>
          <w:sz w:val="24"/>
          <w:lang w:val="cs-CZ"/>
        </w:rPr>
        <w:t xml:space="preserve">Úř. věst. C, C/2023/410, 23.11.2023, ELI: </w:t>
      </w:r>
      <w:hyperlink r:id="rId1" w:history="1">
        <w:r w:rsidRPr="00A453FA">
          <w:rPr>
            <w:rStyle w:val="Hyperlink"/>
            <w:sz w:val="24"/>
            <w:lang w:val="cs-CZ"/>
          </w:rPr>
          <w:t>http://data.europa.eu/eli/C/2023/410/oj</w:t>
        </w:r>
      </w:hyperlink>
      <w:r w:rsidRPr="00A453FA">
        <w:rPr>
          <w:sz w:val="24"/>
          <w:lang w:val="cs-CZ"/>
        </w:rPr>
        <w:t xml:space="preserve">. </w:t>
      </w:r>
    </w:p>
  </w:footnote>
  <w:footnote w:id="3">
    <w:p w:rsidR="00AF4100" w:rsidRPr="00A453FA" w:rsidRDefault="00AF4100" w:rsidP="00A453FA">
      <w:pPr>
        <w:pStyle w:val="FootnoteText"/>
        <w:ind w:left="567" w:hanging="567"/>
        <w:rPr>
          <w:sz w:val="24"/>
          <w:lang w:val="cs-CZ"/>
        </w:rPr>
      </w:pPr>
      <w:r w:rsidRPr="00A453FA">
        <w:rPr>
          <w:rStyle w:val="FootnoteReference"/>
          <w:sz w:val="24"/>
          <w:lang w:val="cs-CZ"/>
        </w:rPr>
        <w:footnoteRef/>
      </w:r>
      <w:r w:rsidR="00A453FA" w:rsidRPr="00A453FA">
        <w:rPr>
          <w:sz w:val="24"/>
          <w:lang w:val="cs-CZ"/>
        </w:rPr>
        <w:t xml:space="preserve"> </w:t>
      </w:r>
      <w:r w:rsidR="00A453FA" w:rsidRPr="00A453FA">
        <w:rPr>
          <w:sz w:val="24"/>
          <w:lang w:val="cs-CZ"/>
        </w:rPr>
        <w:tab/>
      </w:r>
      <w:r w:rsidRPr="00A453FA">
        <w:rPr>
          <w:sz w:val="24"/>
          <w:lang w:val="cs-CZ"/>
        </w:rPr>
        <w:t xml:space="preserve">Úř. věst. C 214, 16.6.2023, s. </w:t>
      </w:r>
      <w:r w:rsidR="00B61D84">
        <w:rPr>
          <w:sz w:val="24"/>
          <w:lang w:val="cs-CZ"/>
        </w:rPr>
        <w:t>26</w:t>
      </w:r>
      <w:r w:rsidRPr="00A453FA">
        <w:rPr>
          <w:sz w:val="24"/>
          <w:lang w:val="cs-CZ"/>
        </w:rPr>
        <w:t>.</w:t>
      </w:r>
    </w:p>
  </w:footnote>
  <w:footnote w:id="4">
    <w:p w:rsidR="00AF4100" w:rsidRPr="00A453FA" w:rsidRDefault="00AF4100" w:rsidP="00A453FA">
      <w:pPr>
        <w:pStyle w:val="FootnoteText"/>
        <w:ind w:left="567" w:hanging="567"/>
        <w:rPr>
          <w:sz w:val="24"/>
          <w:lang w:val="cs-CZ"/>
        </w:rPr>
      </w:pPr>
      <w:r w:rsidRPr="00A453FA">
        <w:rPr>
          <w:rStyle w:val="FootnoteReference"/>
          <w:sz w:val="24"/>
          <w:lang w:val="cs-CZ"/>
        </w:rPr>
        <w:footnoteRef/>
      </w:r>
      <w:r w:rsidR="00A453FA" w:rsidRPr="00A453FA">
        <w:rPr>
          <w:sz w:val="24"/>
          <w:lang w:val="cs-CZ"/>
        </w:rPr>
        <w:t xml:space="preserve"> </w:t>
      </w:r>
      <w:r w:rsidR="00A453FA" w:rsidRPr="00A453FA">
        <w:rPr>
          <w:sz w:val="24"/>
          <w:lang w:val="cs-CZ"/>
        </w:rPr>
        <w:tab/>
      </w:r>
      <w:r w:rsidRPr="00A453FA">
        <w:rPr>
          <w:sz w:val="24"/>
          <w:lang w:val="cs-CZ"/>
        </w:rPr>
        <w:t>Úř. věst. C 214, 16.6.2023, s. 54.</w:t>
      </w:r>
    </w:p>
  </w:footnote>
  <w:footnote w:id="5">
    <w:p w:rsidR="00AF4100" w:rsidRPr="00A453FA" w:rsidRDefault="00AF4100" w:rsidP="00A453FA">
      <w:pPr>
        <w:pStyle w:val="FootnoteText"/>
        <w:ind w:left="567" w:hanging="567"/>
        <w:rPr>
          <w:sz w:val="24"/>
          <w:lang w:val="cs-CZ"/>
        </w:rPr>
      </w:pPr>
      <w:r w:rsidRPr="00A453FA">
        <w:rPr>
          <w:rStyle w:val="FootnoteReference"/>
          <w:sz w:val="24"/>
          <w:lang w:val="cs-CZ"/>
        </w:rPr>
        <w:footnoteRef/>
      </w:r>
      <w:r w:rsidR="00A453FA" w:rsidRPr="00A453FA">
        <w:rPr>
          <w:sz w:val="24"/>
          <w:lang w:val="cs-CZ"/>
        </w:rPr>
        <w:t xml:space="preserve"> </w:t>
      </w:r>
      <w:r w:rsidR="00A453FA" w:rsidRPr="00A453FA">
        <w:rPr>
          <w:sz w:val="24"/>
          <w:lang w:val="cs-CZ"/>
        </w:rPr>
        <w:tab/>
      </w:r>
      <w:r w:rsidRPr="00A453FA">
        <w:rPr>
          <w:sz w:val="24"/>
          <w:lang w:val="cs-CZ"/>
        </w:rPr>
        <w:t>Úř. věst. C 23, 21.1.2021, s. 16.</w:t>
      </w:r>
    </w:p>
  </w:footnote>
  <w:footnote w:id="6">
    <w:p w:rsidR="00AF4100" w:rsidRPr="00A453FA" w:rsidRDefault="00AF4100" w:rsidP="00A453FA">
      <w:pPr>
        <w:pStyle w:val="FootnoteText"/>
        <w:ind w:left="567" w:hanging="567"/>
        <w:rPr>
          <w:sz w:val="24"/>
          <w:lang w:val="cs-CZ"/>
        </w:rPr>
      </w:pPr>
      <w:r w:rsidRPr="00A453FA">
        <w:rPr>
          <w:rStyle w:val="FootnoteReference"/>
          <w:sz w:val="24"/>
          <w:lang w:val="cs-CZ"/>
        </w:rPr>
        <w:footnoteRef/>
      </w:r>
      <w:r w:rsidR="00A453FA" w:rsidRPr="00A453FA">
        <w:rPr>
          <w:sz w:val="24"/>
          <w:lang w:val="cs-CZ"/>
        </w:rPr>
        <w:t xml:space="preserve"> </w:t>
      </w:r>
      <w:r w:rsidR="00A453FA" w:rsidRPr="00A453FA">
        <w:rPr>
          <w:sz w:val="24"/>
          <w:lang w:val="cs-CZ"/>
        </w:rPr>
        <w:tab/>
      </w:r>
      <w:r w:rsidRPr="00A453FA">
        <w:rPr>
          <w:sz w:val="24"/>
          <w:lang w:val="cs-CZ"/>
        </w:rPr>
        <w:t>Přijaté texty, P9_TA(2023)0316.</w:t>
      </w:r>
    </w:p>
  </w:footnote>
  <w:footnote w:id="7">
    <w:p w:rsidR="00AF4100" w:rsidRPr="00A453FA" w:rsidRDefault="00AF4100" w:rsidP="00A453FA">
      <w:pPr>
        <w:pStyle w:val="FootnoteText"/>
        <w:ind w:left="567" w:hanging="567"/>
        <w:rPr>
          <w:sz w:val="24"/>
          <w:lang w:val="cs-CZ"/>
        </w:rPr>
      </w:pPr>
      <w:r w:rsidRPr="00A453FA">
        <w:rPr>
          <w:rStyle w:val="FootnoteReference"/>
          <w:sz w:val="24"/>
          <w:lang w:val="cs-CZ"/>
        </w:rPr>
        <w:footnoteRef/>
      </w:r>
      <w:r w:rsidR="00A453FA" w:rsidRPr="00A453FA">
        <w:rPr>
          <w:sz w:val="24"/>
          <w:lang w:val="cs-CZ"/>
        </w:rPr>
        <w:t xml:space="preserve"> </w:t>
      </w:r>
      <w:r w:rsidR="00A453FA" w:rsidRPr="00A453FA">
        <w:rPr>
          <w:sz w:val="24"/>
          <w:lang w:val="cs-CZ"/>
        </w:rPr>
        <w:tab/>
      </w:r>
      <w:r w:rsidRPr="00A453FA">
        <w:rPr>
          <w:sz w:val="24"/>
          <w:lang w:val="cs-CZ"/>
        </w:rPr>
        <w:t>Úř. věst. C 298, 30.11.2002,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3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3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3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5/2023"/>
    <w:docVar w:name="dvlangue" w:val="CS"/>
    <w:docVar w:name="dvnumam" w:val="0"/>
    <w:docVar w:name="dvpe" w:val="753.617"/>
    <w:docVar w:name="dvrapporteur" w:val="Zpravodaj: "/>
    <w:docVar w:name="dvtitre" w:val="Usnesení Evropského parlamentu ze dne 16. ledna 2024 o úloze Evropského parlamentu a jeho parlamentní diplomacie v zahraniční a bezpečnostní politice EU(2023/2105(INI))"/>
  </w:docVars>
  <w:rsids>
    <w:rsidRoot w:val="00691F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E43"/>
    <w:rsid w:val="00471C19"/>
    <w:rsid w:val="004867E3"/>
    <w:rsid w:val="004926F6"/>
    <w:rsid w:val="00494A28"/>
    <w:rsid w:val="004C0004"/>
    <w:rsid w:val="004C5D52"/>
    <w:rsid w:val="0050519A"/>
    <w:rsid w:val="005072A1"/>
    <w:rsid w:val="00514517"/>
    <w:rsid w:val="005161EB"/>
    <w:rsid w:val="00545827"/>
    <w:rsid w:val="00560270"/>
    <w:rsid w:val="005C2568"/>
    <w:rsid w:val="006037C0"/>
    <w:rsid w:val="006631B6"/>
    <w:rsid w:val="00680577"/>
    <w:rsid w:val="00691FA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3FA"/>
    <w:rsid w:val="00A4678D"/>
    <w:rsid w:val="00A778C7"/>
    <w:rsid w:val="00AB441E"/>
    <w:rsid w:val="00AB6293"/>
    <w:rsid w:val="00AE0928"/>
    <w:rsid w:val="00AF3B82"/>
    <w:rsid w:val="00AF4100"/>
    <w:rsid w:val="00B12E95"/>
    <w:rsid w:val="00B22876"/>
    <w:rsid w:val="00B558F0"/>
    <w:rsid w:val="00B61D8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46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0DF7B"/>
  <w15:chartTrackingRefBased/>
  <w15:docId w15:val="{BF791290-5325-49EB-9743-FB028A8F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410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AF410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F4100"/>
    <w:pPr>
      <w:spacing w:after="240"/>
      <w:jc w:val="center"/>
    </w:pPr>
  </w:style>
  <w:style w:type="character" w:customStyle="1" w:styleId="BoldItalic">
    <w:name w:val="BoldItalic"/>
    <w:uiPriority w:val="1"/>
    <w:rsid w:val="00AF4100"/>
    <w:rPr>
      <w:b/>
      <w:i/>
      <w:u w:val="none"/>
    </w:rPr>
  </w:style>
  <w:style w:type="character" w:customStyle="1" w:styleId="Italic">
    <w:name w:val="Italic"/>
    <w:uiPriority w:val="1"/>
    <w:rsid w:val="00AF4100"/>
    <w:rPr>
      <w:i/>
    </w:rPr>
  </w:style>
  <w:style w:type="paragraph" w:customStyle="1" w:styleId="Normal12a24b">
    <w:name w:val="Normal12a24b"/>
    <w:basedOn w:val="Normal"/>
    <w:rsid w:val="00AF4100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AF4100"/>
    <w:rPr>
      <w:snapToGrid w:val="0"/>
      <w:sz w:val="24"/>
      <w:lang w:val="cs-CZ" w:eastAsia="en-US"/>
    </w:rPr>
  </w:style>
  <w:style w:type="character" w:styleId="Hyperlink">
    <w:name w:val="Hyperlink"/>
    <w:basedOn w:val="DefaultParagraphFont"/>
    <w:unhideWhenUsed/>
    <w:rsid w:val="00AF410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60E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0E4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4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D7574-A3CC-4B29-9B85-FD5C82AB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3971</Words>
  <Characters>23750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2024-01-16T12:17:00Z</dcterms:created>
  <dcterms:modified xsi:type="dcterms:W3CDTF">2024-01-16T12:17:00Z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A9-0405/2023</vt:lpwstr>
  </property>
  <property fmtid="{D5CDD505-2E9C-101B-9397-08002B2CF9AE}" pid="4" name="&lt;Type&gt;">
    <vt:lpwstr>RR</vt:lpwstr>
  </property>
</Properties>
</file>