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1F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1F02" w:rsidRDefault="00CF691E" w:rsidP="0010095E">
            <w:pPr>
              <w:pStyle w:val="EPName"/>
            </w:pPr>
            <w:r w:rsidRPr="002B1F02">
              <w:t>Europski parlament</w:t>
            </w:r>
          </w:p>
          <w:p w:rsidR="00751A4A" w:rsidRPr="002B1F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1F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1F02" w:rsidRDefault="00187494" w:rsidP="0010095E">
            <w:pPr>
              <w:pStyle w:val="EPLogo"/>
            </w:pPr>
            <w:r w:rsidRPr="002B1F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1F02" w:rsidRDefault="00D058B8" w:rsidP="004C5D52">
      <w:pPr>
        <w:pStyle w:val="LineTop"/>
      </w:pPr>
    </w:p>
    <w:p w:rsidR="00680577" w:rsidRPr="002B1F02" w:rsidRDefault="00CF691E" w:rsidP="00680577">
      <w:pPr>
        <w:pStyle w:val="EPBodyTA1"/>
      </w:pPr>
      <w:r w:rsidRPr="002B1F02">
        <w:t>USVOJENI TEKSTOVI</w:t>
      </w:r>
    </w:p>
    <w:p w:rsidR="00D058B8" w:rsidRPr="002B1F02" w:rsidRDefault="00D058B8" w:rsidP="00D058B8">
      <w:pPr>
        <w:pStyle w:val="LineBottom"/>
      </w:pPr>
    </w:p>
    <w:p w:rsidR="00CF691E" w:rsidRPr="002B1F02" w:rsidRDefault="00CF691E" w:rsidP="00CF691E">
      <w:pPr>
        <w:pStyle w:val="ATHeading1"/>
      </w:pPr>
      <w:bookmarkStart w:id="0" w:name="TANumber"/>
      <w:r w:rsidRPr="002B1F02">
        <w:t>P9_TA(2024)00</w:t>
      </w:r>
      <w:r w:rsidR="00445991">
        <w:t>13</w:t>
      </w:r>
      <w:bookmarkEnd w:id="0"/>
    </w:p>
    <w:p w:rsidR="00CF691E" w:rsidRPr="000F3F5E" w:rsidRDefault="000F3F5E" w:rsidP="00CF691E">
      <w:pPr>
        <w:pStyle w:val="ATHeading2"/>
        <w:rPr>
          <w:szCs w:val="28"/>
        </w:rPr>
      </w:pPr>
      <w:bookmarkStart w:id="1" w:name="title"/>
      <w:r w:rsidRPr="000F3F5E">
        <w:rPr>
          <w:bCs/>
          <w:szCs w:val="28"/>
          <w:shd w:val="clear" w:color="auto" w:fill="FFFFFF"/>
        </w:rPr>
        <w:t>Uloga Europskog parlamenta i njegove parlamentarne diplomacije u vanjskoj i sigurnosnoj politici EU-a</w:t>
      </w:r>
      <w:bookmarkEnd w:id="1"/>
    </w:p>
    <w:p w:rsidR="00CF691E" w:rsidRPr="002B1F02" w:rsidRDefault="00CF691E" w:rsidP="00CF691E">
      <w:pPr>
        <w:rPr>
          <w:i/>
          <w:vanish/>
        </w:rPr>
      </w:pPr>
      <w:r w:rsidRPr="002B1F02">
        <w:rPr>
          <w:i/>
        </w:rPr>
        <w:fldChar w:fldCharType="begin"/>
      </w:r>
      <w:r w:rsidRPr="002B1F02">
        <w:rPr>
          <w:i/>
        </w:rPr>
        <w:instrText xml:space="preserve"> TC"(</w:instrText>
      </w:r>
      <w:bookmarkStart w:id="2" w:name="DocNumber"/>
      <w:r w:rsidRPr="002B1F02">
        <w:rPr>
          <w:i/>
        </w:rPr>
        <w:instrText>A9-0405/2023</w:instrText>
      </w:r>
      <w:bookmarkEnd w:id="2"/>
      <w:r w:rsidRPr="002B1F02">
        <w:rPr>
          <w:i/>
        </w:rPr>
        <w:instrText xml:space="preserve"> - Izvjestitelj: </w:instrText>
      </w:r>
      <w:proofErr w:type="spellStart"/>
      <w:r w:rsidRPr="002B1F02">
        <w:rPr>
          <w:i/>
        </w:rPr>
        <w:instrText>Jordi</w:instrText>
      </w:r>
      <w:proofErr w:type="spellEnd"/>
      <w:r w:rsidRPr="002B1F02">
        <w:rPr>
          <w:i/>
        </w:rPr>
        <w:instrText xml:space="preserve"> Solé)"\l3 \n&gt; \* MERGEFORMAT </w:instrText>
      </w:r>
      <w:r w:rsidRPr="002B1F02">
        <w:rPr>
          <w:i/>
        </w:rPr>
        <w:fldChar w:fldCharType="end"/>
      </w:r>
    </w:p>
    <w:p w:rsidR="00CF691E" w:rsidRPr="002B1F02" w:rsidRDefault="00CF691E" w:rsidP="00CF691E">
      <w:pPr>
        <w:rPr>
          <w:vanish/>
        </w:rPr>
      </w:pPr>
      <w:bookmarkStart w:id="3" w:name="Commission"/>
      <w:r w:rsidRPr="002B1F02">
        <w:rPr>
          <w:vanish/>
        </w:rPr>
        <w:t>Odbor za vanjske poslove</w:t>
      </w:r>
      <w:bookmarkEnd w:id="3"/>
    </w:p>
    <w:p w:rsidR="00CF691E" w:rsidRPr="002B1F02" w:rsidRDefault="00CF691E" w:rsidP="00CF691E">
      <w:pPr>
        <w:rPr>
          <w:vanish/>
        </w:rPr>
      </w:pPr>
      <w:bookmarkStart w:id="4" w:name="PE"/>
      <w:r w:rsidRPr="002B1F02">
        <w:rPr>
          <w:vanish/>
        </w:rPr>
        <w:t>PE753.617</w:t>
      </w:r>
      <w:bookmarkEnd w:id="4"/>
    </w:p>
    <w:p w:rsidR="00CF691E" w:rsidRPr="002B1F02" w:rsidRDefault="00CF691E" w:rsidP="00CF691E">
      <w:pPr>
        <w:pStyle w:val="ATHeading3"/>
      </w:pPr>
      <w:bookmarkStart w:id="5" w:name="Sujet"/>
      <w:r w:rsidRPr="002B1F02">
        <w:t>Rezolu</w:t>
      </w:r>
      <w:r w:rsidR="002B1F02">
        <w:t>cija Europskog parlamenta od 16</w:t>
      </w:r>
      <w:r w:rsidRPr="002B1F02">
        <w:t xml:space="preserve">. </w:t>
      </w:r>
      <w:r w:rsidR="002B1F02">
        <w:t xml:space="preserve">siječnja </w:t>
      </w:r>
      <w:r w:rsidRPr="002B1F02">
        <w:t>2024. o ulozi Europskog parlamenta i njegove parlamentarne diplomacije u vanjskoj i sigurnosnoj politici EU-a</w:t>
      </w:r>
      <w:bookmarkEnd w:id="5"/>
      <w:r w:rsidRPr="002B1F02">
        <w:t xml:space="preserve"> </w:t>
      </w:r>
      <w:bookmarkStart w:id="6" w:name="References"/>
      <w:r w:rsidRPr="002B1F02">
        <w:t>(2023/2105(INI))</w:t>
      </w:r>
      <w:bookmarkEnd w:id="6"/>
    </w:p>
    <w:p w:rsidR="00FC65F5" w:rsidRPr="002B1F02" w:rsidRDefault="00FC65F5" w:rsidP="00FC65F5">
      <w:pPr>
        <w:pStyle w:val="EPComma"/>
      </w:pPr>
      <w:bookmarkStart w:id="7" w:name="TextBodyBegin"/>
      <w:bookmarkEnd w:id="7"/>
      <w:r w:rsidRPr="002B1F02">
        <w:rPr>
          <w:rStyle w:val="Italic"/>
        </w:rPr>
        <w:t>Europski parlament</w:t>
      </w:r>
      <w:r w:rsidRPr="002B1F02">
        <w:t>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članke 14. stavak 1., 21. i 36. Ugovora o Europskoj uniji (UEU),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Deklaraciju potpredsjednice Komisije / Visoke predstavnice Unije za vanjske poslove i sigurnosnu politiku od 20. srpnja 2010. o političkoj odgovornosti,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zaključke Vijeća od 28. lipnja 2016. o usvajanju izvješća naslovljenog „Zajednička vizija, zajedničko djelovanje: jača Europa – Globalna strategija Europske unije za vanjsku i sigurnosnu politiku”,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zajedničku komunikaciju Komisije i Visokog predstavnika Unije za vanjske poslove i sigurnosnu politiku od 25. ožujka 2020. naslovljenu „Akcijski plan EU-a za ljudska prava i demokraciju za razdoblje 2020. – 2024.” (JOIN(2020)0005),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„Strateški kompas za sigurnost i obranu – za Europsku uniju koja štiti svoje građane, vrijednosti i interese te doprinosi međunarodnom miru i sigurnosti” usvojen 21. ožujka 2022.,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zajedničku komunikaciju Komisije i Visokog predstavnika Unije za vanjske poslove i sigurnosnu politiku od 25. studenoga 2020. naslovljenu „Akcijski plan EU-a za rodnu ravnopravnost (GAP) III – ambiciozan plan za rodnu ravnopravnost i jačanje položaja žena u okviru vanjskog djelovanja EU-a” (JOIN(2020)0017),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Odluku Vijeća 2010/427/EU od 26. srpnja 2010. o uspostavi organizacije i funkcioniranju Europske službe za vanjsko djelovanje</w:t>
      </w:r>
      <w:r w:rsidRPr="002B1F02">
        <w:rPr>
          <w:rStyle w:val="FootnoteReference"/>
        </w:rPr>
        <w:footnoteReference w:id="1"/>
      </w:r>
      <w:r w:rsidRPr="002B1F02">
        <w:t>,</w:t>
      </w:r>
    </w:p>
    <w:p w:rsidR="00FC65F5" w:rsidRPr="002B1F02" w:rsidRDefault="00FC65F5" w:rsidP="00FC65F5">
      <w:pPr>
        <w:pStyle w:val="NormalHanging12a"/>
      </w:pPr>
      <w:r w:rsidRPr="002B1F02">
        <w:lastRenderedPageBreak/>
        <w:t>–</w:t>
      </w:r>
      <w:r w:rsidRPr="002B1F02">
        <w:tab/>
        <w:t>uzimajući u obzir stavak 34. Izjave sa sastanka na vrhu EU-a i Zajednice latinoameričkih i karipskih država održanog 18. srpnja 2023. u kojoj se parlamentarna diplomacija priznaje kao važna dimenzija uzajamnih odnosa,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svoju preporuku od 15. ožujka 2023. Vijeću i potpredsjedniku Komisije / Visokom predstavniku Unije za vanjske poslove i sigurnosnu politiku kojom se sagledava djelovanje ESVD-a i zalaže za snažniju ulogu EU-a u svijetu</w:t>
      </w:r>
      <w:r w:rsidRPr="002B1F02">
        <w:rPr>
          <w:rStyle w:val="FootnoteReference"/>
        </w:rPr>
        <w:footnoteReference w:id="2"/>
      </w:r>
      <w:r w:rsidRPr="002B1F02">
        <w:t>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svoju Rezoluciju od 18. siječnja 2023. o provedbi zajedničke vanjske i sigurnosne politike – godišnje izvješće za 2022.</w:t>
      </w:r>
      <w:r w:rsidRPr="002B1F02">
        <w:rPr>
          <w:rStyle w:val="FootnoteReference"/>
        </w:rPr>
        <w:footnoteReference w:id="3"/>
      </w:r>
      <w:r w:rsidRPr="002B1F02">
        <w:t>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svoju Rezoluciju od 18. siječnja 2023. o provedbi zajedničke sigurnosne i obrambene politike – godišnje izvješće za 2022.</w:t>
      </w:r>
      <w:r w:rsidRPr="002B1F02">
        <w:rPr>
          <w:rStyle w:val="FootnoteReference"/>
        </w:rPr>
        <w:footnoteReference w:id="4"/>
      </w:r>
      <w:r w:rsidRPr="002B1F02">
        <w:t>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svoju Rezoluciju od 12. ožujka 2019. o izgradnji kapaciteta EU-a za sprečavanje sukoba i posredovanje</w:t>
      </w:r>
      <w:r w:rsidRPr="002B1F02">
        <w:rPr>
          <w:rStyle w:val="FootnoteReference"/>
        </w:rPr>
        <w:footnoteReference w:id="5"/>
      </w:r>
      <w:r w:rsidRPr="002B1F02">
        <w:t>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svoju odluku od 13. rujna 2023. o izmjenama Poslovnika Europskog parlamenta radi jačanja integriteta, neovisnosti i odgovornosti</w:t>
      </w:r>
      <w:r w:rsidRPr="002B1F02">
        <w:rPr>
          <w:rStyle w:val="FootnoteReference"/>
        </w:rPr>
        <w:footnoteReference w:id="6"/>
      </w:r>
      <w:r w:rsidRPr="002B1F02">
        <w:t>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članak 54. Poslovnika,</w:t>
      </w:r>
    </w:p>
    <w:p w:rsidR="00FC65F5" w:rsidRPr="002B1F02" w:rsidRDefault="00FC65F5" w:rsidP="00FC65F5">
      <w:pPr>
        <w:pStyle w:val="NormalHanging12a"/>
      </w:pPr>
      <w:r w:rsidRPr="002B1F02">
        <w:t>–</w:t>
      </w:r>
      <w:r w:rsidRPr="002B1F02">
        <w:tab/>
        <w:t>uzimajući u obzir izvješće Odbora za vanjske poslove (A9</w:t>
      </w:r>
      <w:r w:rsidRPr="002B1F02">
        <w:noBreakHyphen/>
        <w:t>0405/2023),</w:t>
      </w:r>
    </w:p>
    <w:p w:rsidR="00FC65F5" w:rsidRPr="002B1F02" w:rsidRDefault="00FC65F5" w:rsidP="00FC65F5">
      <w:pPr>
        <w:pStyle w:val="NormalHanging12a"/>
      </w:pPr>
      <w:r w:rsidRPr="002B1F02">
        <w:t>A.</w:t>
      </w:r>
      <w:r w:rsidRPr="002B1F02">
        <w:tab/>
        <w:t xml:space="preserve">budući da uloga Parlamenta kao </w:t>
      </w:r>
      <w:proofErr w:type="spellStart"/>
      <w:r w:rsidRPr="002B1F02">
        <w:t>suzakonodavca</w:t>
      </w:r>
      <w:proofErr w:type="spellEnd"/>
      <w:r w:rsidRPr="002B1F02">
        <w:t xml:space="preserve"> i jedne grane proračunskog tijela ne obuhvaća samo unutarnje politike EU-a, nego i, u velikoj mjeri, vanjsko djelovanje EU-a;</w:t>
      </w:r>
    </w:p>
    <w:p w:rsidR="00FC65F5" w:rsidRPr="002B1F02" w:rsidRDefault="00FC65F5" w:rsidP="00FC65F5">
      <w:pPr>
        <w:pStyle w:val="NormalHanging12a"/>
      </w:pPr>
      <w:r w:rsidRPr="002B1F02">
        <w:t>B.</w:t>
      </w:r>
      <w:r w:rsidRPr="002B1F02">
        <w:tab/>
        <w:t>budući da se člankom 36. UEU-a zahtijeva da se potpredsjednik Komisije / Visoki predstavnik Unije za vanjske poslove i sigurnosnu politiku redovito savjetuje s Parlamentom o glavnim aspektima i opredjeljenjima u okviru zajedničke vanjske i sigurnosne politike (ZVSP) te da informira Parlament o razvoju te politike;</w:t>
      </w:r>
    </w:p>
    <w:p w:rsidR="00FC65F5" w:rsidRPr="002B1F02" w:rsidRDefault="00FC65F5" w:rsidP="00FC65F5">
      <w:pPr>
        <w:pStyle w:val="NormalHanging12a"/>
      </w:pPr>
      <w:r w:rsidRPr="002B1F02">
        <w:t>C.</w:t>
      </w:r>
      <w:r w:rsidRPr="002B1F02">
        <w:tab/>
        <w:t>budući da je za stupanje na snagu većine međunarodnih sporazuma potrebna suglasnost Parlamenta; budući da se u članku 218. stavku 10. Ugovora o funkcioniranju Europske unije navodi da se Europski parlament odmah i u potpunosti izvješćuje o svim fazama postupka pregovora o tim sporazumima;</w:t>
      </w:r>
    </w:p>
    <w:p w:rsidR="00FC65F5" w:rsidRPr="002B1F02" w:rsidRDefault="00FC65F5" w:rsidP="00FC65F5">
      <w:pPr>
        <w:pStyle w:val="NormalHanging12a"/>
      </w:pPr>
      <w:r w:rsidRPr="002B1F02">
        <w:t>D.</w:t>
      </w:r>
      <w:r w:rsidRPr="002B1F02">
        <w:tab/>
        <w:t xml:space="preserve">budući da Parlament nadzire vanjske poslova EU-a i raspravlja o njima, posebno u okviru Odbora za vanjske poslove i njegovih dvaju pododbora, za ljudska prava te za sigurnost i obranu, kao i u okviru Odbora za međunarodnu trgovinu i Odbora za razvoj; budući da ta nadzorna uloga uključuje pitanja koja se odnose na donošenje, provedbu i preispitivanje tematskih, regionalnih i strategija EU-a za pojedine zemlje i drugih dokumenata povezanih s javnim politikama, primjerice Akcijskog plana EU-a za rodnu </w:t>
      </w:r>
      <w:r w:rsidRPr="002B1F02">
        <w:lastRenderedPageBreak/>
        <w:t>ravnopravnost, kao i na financijsku pomoć i imenovanja na visoke položaje u vanjskim predstavništvima EU-a;</w:t>
      </w:r>
    </w:p>
    <w:p w:rsidR="00FC65F5" w:rsidRPr="002B1F02" w:rsidRDefault="00FC65F5" w:rsidP="00FC65F5">
      <w:pPr>
        <w:pStyle w:val="NormalHanging12a"/>
      </w:pPr>
      <w:r w:rsidRPr="002B1F02">
        <w:t>E.</w:t>
      </w:r>
      <w:r w:rsidRPr="002B1F02">
        <w:tab/>
        <w:t>budući da Parlament, kao jedina institucija EU-a koju građani EU-a izravno biraju, održava javne rasprave na plenarnim sjednicama i u odborima te da donosi izvješća i rezolucije u vezi s vanjskom i sigurnosnom politikom EU-a i stanjem u zemljama izvan EU-a, posebno u pogledu ljudskih prava, te tako doprinosi osviještenosti javnosti i poticanju rasprava unutar EU-a, ali i u dotičnim zemljama; budući da ta izvješća i rezolucije doprinose normativnom razvoju diljem svijeta i da ih akteri iz zemalja koje nisu članice EU-a, uključujući vlade, parlamente i predstavnike civilnog društva i medija, pomno iščitavaju te da mogu izazvati reakcije i posljedice u tim zemljama;</w:t>
      </w:r>
    </w:p>
    <w:p w:rsidR="00FC65F5" w:rsidRPr="002B1F02" w:rsidRDefault="00FC65F5" w:rsidP="00FC65F5">
      <w:pPr>
        <w:pStyle w:val="NormalHanging12a"/>
      </w:pPr>
      <w:r w:rsidRPr="002B1F02">
        <w:t>F.</w:t>
      </w:r>
      <w:r w:rsidRPr="002B1F02">
        <w:tab/>
        <w:t>budući da Parlament ima jedinstvenu mrežu od 45 stalnih izaslanstava koja održavaju i produbljuju odnose s drugim parlamentima iz zemalja, regija i organizacija izvan EU-a; budući da ta tijela često predstavljaju parlamentarnu dimenziju bilateralnih sporazuma EU-a s takvim zemljama;</w:t>
      </w:r>
    </w:p>
    <w:p w:rsidR="00FC65F5" w:rsidRPr="002B1F02" w:rsidRDefault="00FC65F5" w:rsidP="00FC65F5">
      <w:pPr>
        <w:pStyle w:val="NormalHanging12a"/>
      </w:pPr>
      <w:r w:rsidRPr="002B1F02">
        <w:t>G.</w:t>
      </w:r>
      <w:r w:rsidRPr="002B1F02">
        <w:tab/>
        <w:t>budući da je uloga Parlamenta u utvrđivanju godišnjeg proračuna Unije ključna za pružanje potpore zemljama kojima je najpotrebnija pomoć za prevladavanje dugoročnih razvojnih izazova putem Instrumenta za susjedstvo, razvoj i međunarodnu suradnju – Globalna Europa, kao i za rješavanje humanitarnih katastrofa i kriznih situacija velikih razmjera, posebno povećanjem humanitarne pomoći;</w:t>
      </w:r>
    </w:p>
    <w:p w:rsidR="00FC65F5" w:rsidRPr="002B1F02" w:rsidRDefault="00FC65F5" w:rsidP="00FC65F5">
      <w:pPr>
        <w:pStyle w:val="NormalHanging12a"/>
      </w:pPr>
      <w:r w:rsidRPr="002B1F02">
        <w:t>H.</w:t>
      </w:r>
      <w:r w:rsidRPr="002B1F02">
        <w:tab/>
        <w:t>budući da je promicanje rodne ravnopravnosti cilj vanjske politike EU-a; budući da su se sve države članice EU-a i Europski parlament obvezali na provedbu Rezolucije Vijeća sigurnosti UN-a 1325 (2000) o ženama i miru i sigurnosti;</w:t>
      </w:r>
    </w:p>
    <w:p w:rsidR="00FC65F5" w:rsidRPr="002B1F02" w:rsidRDefault="00FC65F5" w:rsidP="00FC65F5">
      <w:pPr>
        <w:pStyle w:val="NormalHanging12a"/>
      </w:pPr>
      <w:r w:rsidRPr="002B1F02">
        <w:t>I.</w:t>
      </w:r>
      <w:r w:rsidRPr="002B1F02">
        <w:tab/>
        <w:t>budući da je Europski parlament postao jedan od najaktivnijih parlamenata u pogledu svojih parlamentarnih diplomatskih aktivnosti i sredstava koja se u tu svrhu izdvajaju; budući da parlamentarna diplomacija doprinosi postizanju ciljeva EU-a i promicanju vrijednosti, interesa i politika EU-a, uključujući na multilateralnoj razini, čime se ostvaruje dodana vrijednost promicanjem dosljednijeg i povezanijeg vanjskog djelovanja EU-a; budući da se parlamentarnom diplomacijom može poboljšati strateška komunikacija te vidljivost i učinkovitost odluka i provedbenih mjera u okviru zajedničke vanjske i sigurnosne politike (ZVSP) te zajedničke sigurnosne i obrambene politike (ZSOP) EU-a;</w:t>
      </w:r>
    </w:p>
    <w:p w:rsidR="00FC65F5" w:rsidRPr="002B1F02" w:rsidRDefault="00FC65F5" w:rsidP="00FC65F5">
      <w:pPr>
        <w:pStyle w:val="NormalHanging12a"/>
      </w:pPr>
      <w:r w:rsidRPr="002B1F02">
        <w:t>J.</w:t>
      </w:r>
      <w:r w:rsidRPr="002B1F02">
        <w:tab/>
        <w:t>budući da Parlament putem parlamentarne diplomacije kontinuirano održava odnose sa svjetskim čelnicima, izabranim dužnosnicima, predstavnicima vlada i diplomatima, javnim institucijama, predstavnicima i organizacijama civilnog društva, uključujući one iz ranjivih i ugroženih dijelova stanovništva, te drugim dionicima iz zemalja izvan EU-a i multilateralnih institucija, posebno kroz rad svojih izaslanstava i odbora, među ostalim održavanjem saslušanja, usvajanjem izvješća i rezolucija te službenim putovanjima u strane zemlje;</w:t>
      </w:r>
    </w:p>
    <w:p w:rsidR="00FC65F5" w:rsidRPr="002B1F02" w:rsidRDefault="00FC65F5" w:rsidP="00FC65F5">
      <w:pPr>
        <w:pStyle w:val="NormalHanging12a"/>
      </w:pPr>
      <w:r w:rsidRPr="002B1F02">
        <w:t>K.</w:t>
      </w:r>
      <w:r w:rsidRPr="002B1F02">
        <w:tab/>
        <w:t xml:space="preserve">budući da se u skladu s člankom 36. UEU-a potpredsjednik Komisije / Visoki predstavnik mora najmanje dvaput godišnje pojaviti pred Parlamentom kako bi izvijestio o trenutačnom stanju ZVSP-a/ZSOP-a i odgovarao na pitanja; budući da treba ažurirati Međuinstitucionalni sporazum od 20. studenoga 2002. između Europskog </w:t>
      </w:r>
      <w:r w:rsidRPr="002B1F02">
        <w:lastRenderedPageBreak/>
        <w:t>parlamenta i Vijeća o pristupu Europskog parlamenta informacijama osjetljive prirode Vijeća iz područja sigurnosne i obrambene politike</w:t>
      </w:r>
      <w:r w:rsidRPr="002B1F02">
        <w:rPr>
          <w:rStyle w:val="FootnoteReference"/>
        </w:rPr>
        <w:footnoteReference w:id="7"/>
      </w:r>
      <w:r w:rsidRPr="002B1F02">
        <w:t>;</w:t>
      </w:r>
    </w:p>
    <w:p w:rsidR="00FC65F5" w:rsidRPr="002B1F02" w:rsidRDefault="00FC65F5" w:rsidP="00FC65F5">
      <w:pPr>
        <w:pStyle w:val="NormalHanging12a"/>
      </w:pPr>
      <w:r w:rsidRPr="002B1F02">
        <w:t>L.</w:t>
      </w:r>
      <w:r w:rsidRPr="002B1F02">
        <w:tab/>
        <w:t xml:space="preserve">budući da Skupina Parlamenta za podršku demokraciji i koordinaciju izbora, kojoj su na čelu predsjednici Odbora za vanjske poslove i Odbora za razvoj te čiji su članovi zastupnici u Europskom parlamentu iz cijelog političkog spektra, nadzire rad Parlamenta na podupiranju demokracije izvan EU-a, među ostalim u pogledu promatranja izbora, posredovanja i dijaloga; budući da u okviru Dijaloga Jean </w:t>
      </w:r>
      <w:proofErr w:type="spellStart"/>
      <w:r w:rsidRPr="002B1F02">
        <w:t>Monnet</w:t>
      </w:r>
      <w:proofErr w:type="spellEnd"/>
      <w:r w:rsidRPr="002B1F02">
        <w:t xml:space="preserve"> za mir i demokraciju Parlament okuplja političke vođe izvan EU-a radi promicanja međustranačke komunikacije i postizanja konsenzusa; budući da zastupnici u Europskom parlamentu mogu djelovati kao posebni izaslanici i posrednici za sprečavanje sukoba u određenim situacijama velike napetosti diljem svijeta; </w:t>
      </w:r>
    </w:p>
    <w:p w:rsidR="00FC65F5" w:rsidRPr="002B1F02" w:rsidRDefault="00FC65F5" w:rsidP="00FC65F5">
      <w:pPr>
        <w:pStyle w:val="NormalHanging12a"/>
      </w:pPr>
      <w:r w:rsidRPr="002B1F02">
        <w:t>M.</w:t>
      </w:r>
      <w:r w:rsidRPr="002B1F02">
        <w:tab/>
        <w:t xml:space="preserve">budući da Europski parlament pomaže nacionalnim parlamentima i međunarodnim regionalnim skupštinama izvan granica EU-a u poboljšanju njihovih institucionalnih kapaciteta; budući da je Parlament uspostavio kontinuirani dijalog s tim zakonodavnim tijelima i da se redovito razmjenjuju najbolje prakse; </w:t>
      </w:r>
    </w:p>
    <w:p w:rsidR="00FC65F5" w:rsidRPr="002B1F02" w:rsidRDefault="00FC65F5" w:rsidP="00FC65F5">
      <w:pPr>
        <w:pStyle w:val="NormalHanging12a"/>
      </w:pPr>
      <w:r w:rsidRPr="002B1F02">
        <w:t>N.</w:t>
      </w:r>
      <w:r w:rsidRPr="002B1F02">
        <w:tab/>
        <w:t>budući da je Parlament međunarodno priznat promatrač izbora; budući da su izaslanstva Parlamenta za promatranje izbora ili dio misija EU-a za promatranje izbora ili dio međunarodnih misija za promatranje izbora;</w:t>
      </w:r>
    </w:p>
    <w:p w:rsidR="00FC65F5" w:rsidRPr="002B1F02" w:rsidRDefault="00FC65F5" w:rsidP="00FC65F5">
      <w:pPr>
        <w:pStyle w:val="NormalHanging12a"/>
      </w:pPr>
      <w:r w:rsidRPr="002B1F02">
        <w:t>O.</w:t>
      </w:r>
      <w:r w:rsidRPr="002B1F02">
        <w:tab/>
        <w:t>budući da klubovi zastupnika i pojedinačni zastupnici u Parlamentu imaju bogatu i široko rasprostranjenu mrežu kontakata s političkim strankama, parlamentarnim zastupnicima, vladinim dužnosnicima te dionicima iz privatnog sektora i civilnog društva u zemljama izvan EU-a, posebno u zemljama pristupnicama EU-u i u susjedstvu EU-a;</w:t>
      </w:r>
    </w:p>
    <w:p w:rsidR="00FC65F5" w:rsidRPr="002B1F02" w:rsidRDefault="00FC65F5" w:rsidP="00FC65F5">
      <w:pPr>
        <w:pStyle w:val="NormalHanging12a"/>
      </w:pPr>
      <w:r w:rsidRPr="002B1F02">
        <w:t>P.</w:t>
      </w:r>
      <w:r w:rsidRPr="002B1F02">
        <w:tab/>
        <w:t>budući da, uz urede za vezu Europskog parlamenta u Londonu i Washingtonu, Parlament izvan EU-a ima područne urede pri Ujedinjenim narodima u New Yorku, pri Afričkoj uniji u Adis Abebi i pri Udruženju država jugoistočne Azije u Jakarti, čiji je cilj jačanje parlamentarne suradnje s tim multilateralnim organizacijama;</w:t>
      </w:r>
    </w:p>
    <w:p w:rsidR="00FC65F5" w:rsidRPr="002B1F02" w:rsidRDefault="00FC65F5" w:rsidP="00FC65F5">
      <w:pPr>
        <w:pStyle w:val="NormalHanging12a"/>
      </w:pPr>
      <w:r w:rsidRPr="002B1F02">
        <w:t>Q.</w:t>
      </w:r>
      <w:r w:rsidRPr="002B1F02">
        <w:tab/>
        <w:t>budući da se u članku 5. stavku 7. Odluke Vijeća 2010/427/EU navodi da „delegacije Unije mogu odgovoriti na potrebe drugih institucija Unije, posebno Europskog parlamenta, u svojim kontaktima s međunarodnim organizacijama ili trećim zemljama u kojima su delegacije akreditirane”;</w:t>
      </w:r>
    </w:p>
    <w:p w:rsidR="00FC65F5" w:rsidRPr="002B1F02" w:rsidRDefault="00FC65F5" w:rsidP="00FC65F5">
      <w:pPr>
        <w:pStyle w:val="Normal12a24b"/>
      </w:pPr>
      <w:r w:rsidRPr="002B1F02">
        <w:rPr>
          <w:rStyle w:val="BoldItalic"/>
        </w:rPr>
        <w:t>Jačanje parlamentarne diplomacije</w:t>
      </w:r>
    </w:p>
    <w:p w:rsidR="00FC65F5" w:rsidRPr="002B1F02" w:rsidRDefault="00FC65F5" w:rsidP="00FC65F5">
      <w:pPr>
        <w:pStyle w:val="NormalHanging12a"/>
      </w:pPr>
      <w:r w:rsidRPr="002B1F02">
        <w:t>1.</w:t>
      </w:r>
      <w:r w:rsidRPr="002B1F02">
        <w:tab/>
        <w:t>pozdravlja sve veću ulogu Parlamenta u vanjskom djelovanju EU-a, koja je postupno rasla i postala značajna, pri čemu se njegove zakonodavne, proračunske i nadzorne ovlasti isprepliću s višestrukim oblicima javne i tihe suradnje s međunarodnim organizacijama, zemljama, društvima i pojedincima izvan EU-a;</w:t>
      </w:r>
    </w:p>
    <w:p w:rsidR="00FC65F5" w:rsidRPr="002B1F02" w:rsidRDefault="00FC65F5" w:rsidP="00FC65F5">
      <w:pPr>
        <w:pStyle w:val="NormalHanging12a"/>
      </w:pPr>
      <w:r w:rsidRPr="002B1F02">
        <w:t>2.</w:t>
      </w:r>
      <w:r w:rsidRPr="002B1F02">
        <w:tab/>
        <w:t xml:space="preserve">ističe posebnu ulogu i vrijednost parlamentarne diplomacije EU-a u nadopunjavanju i jačanju vidljivosti i učinka vanjske i sigurnosne politike EU-a, uz bok Europskoj službi </w:t>
      </w:r>
      <w:r w:rsidRPr="002B1F02">
        <w:lastRenderedPageBreak/>
        <w:t>za vanjsko djelovanje (ESVD), Komisiji i diplomatskim službama i parlamentima država članica, uz istodobno očuvanje autonomije Parlamenta;</w:t>
      </w:r>
    </w:p>
    <w:p w:rsidR="00FC65F5" w:rsidRPr="002B1F02" w:rsidRDefault="00FC65F5" w:rsidP="00FC65F5">
      <w:pPr>
        <w:pStyle w:val="NormalHanging12a"/>
      </w:pPr>
      <w:r w:rsidRPr="002B1F02">
        <w:t>3.</w:t>
      </w:r>
      <w:r w:rsidRPr="002B1F02">
        <w:tab/>
        <w:t xml:space="preserve">ističe važnost parlamentarne diplomacije kao sredstva za dopiranje do raznolikijih dionika u partnerskim zemljama izvan EU-a s ciljem povećanja svijesti o zakonodavstvu i stajalištima EU-a, boljeg razumijevanja percepcija, učinaka i posljedica takvog zakonodavstva i stajališta u tim zemljama te stvaranja ravnopravnih saveza i čvrstih partnerstava u sve složenijem i </w:t>
      </w:r>
      <w:proofErr w:type="spellStart"/>
      <w:r w:rsidRPr="002B1F02">
        <w:t>multipolarnom</w:t>
      </w:r>
      <w:proofErr w:type="spellEnd"/>
      <w:r w:rsidRPr="002B1F02">
        <w:t xml:space="preserve"> međunarodnom kontekstu;</w:t>
      </w:r>
    </w:p>
    <w:p w:rsidR="00FC65F5" w:rsidRPr="002B1F02" w:rsidRDefault="00FC65F5" w:rsidP="00FC65F5">
      <w:pPr>
        <w:pStyle w:val="NormalHanging12a"/>
      </w:pPr>
      <w:r w:rsidRPr="002B1F02">
        <w:t>4.</w:t>
      </w:r>
      <w:r w:rsidRPr="002B1F02">
        <w:tab/>
        <w:t>žali zbog toga što, unatoč njegovu jasnom doprinosu postizanju vanjskopolitičkih i sigurnosnih ciljeva EU-a, kao i dodanoj vrijednosti i komplementarnosti parlamentarne diplomacije, Komisija, Vijeće i ESVD još uvijek nisu u potpunosti priznali Parlament kao sastavni dio pristupa Tima Europa;</w:t>
      </w:r>
    </w:p>
    <w:p w:rsidR="00FC65F5" w:rsidRPr="002B1F02" w:rsidRDefault="00FC65F5" w:rsidP="00FC65F5">
      <w:pPr>
        <w:pStyle w:val="NormalHanging12a"/>
      </w:pPr>
      <w:r w:rsidRPr="002B1F02">
        <w:t>5.</w:t>
      </w:r>
      <w:r w:rsidRPr="002B1F02">
        <w:tab/>
        <w:t>smatra da postoji znatan neiskorišteni potencijal da Parlament dodatno razvije svoju diplomatsku ulogu i doprinese postizanju ciljeva vanjske i sigurnosne politike EU-a;</w:t>
      </w:r>
    </w:p>
    <w:p w:rsidR="00FC65F5" w:rsidRPr="002B1F02" w:rsidRDefault="00FC65F5" w:rsidP="00FC65F5">
      <w:pPr>
        <w:pStyle w:val="Normal12a24b"/>
      </w:pPr>
      <w:r w:rsidRPr="002B1F02">
        <w:rPr>
          <w:rStyle w:val="BoldItalic"/>
        </w:rPr>
        <w:t>Alati, sredstva i vrijednosti parlamentarne diplomacije</w:t>
      </w:r>
    </w:p>
    <w:p w:rsidR="00FC65F5" w:rsidRPr="002B1F02" w:rsidRDefault="00FC65F5" w:rsidP="00FC65F5">
      <w:pPr>
        <w:pStyle w:val="NormalHanging12a"/>
      </w:pPr>
      <w:r w:rsidRPr="002B1F02">
        <w:t>6.</w:t>
      </w:r>
      <w:r w:rsidRPr="002B1F02">
        <w:tab/>
        <w:t>ističe specifičan, dinamičan i javni doprinos Parlamenta vanjskoj i sigurnosnoj politici EU-a i rješavanju globalnih izazova kroz rad njegovih odbora koji se bave vanjskim poslovima, uključujući njegove pododbore za ljudska prava te sigurnost i obranu, čime se doprinosi odnosima sa zemljama izvan EU-a, međunarodnim organizacijama i civilnim društvom diljem svijeta;</w:t>
      </w:r>
    </w:p>
    <w:p w:rsidR="00FC65F5" w:rsidRPr="002B1F02" w:rsidRDefault="00FC65F5" w:rsidP="00FC65F5">
      <w:pPr>
        <w:pStyle w:val="NormalHanging12a"/>
      </w:pPr>
      <w:r w:rsidRPr="002B1F02">
        <w:t>7.</w:t>
      </w:r>
      <w:r w:rsidRPr="002B1F02">
        <w:tab/>
        <w:t>ističe da stalna izaslanstva svojim važnim radom nadopunjuju rad odbora uspostavom redovitih i postojanih foruma za politički dijalog sa zemljama koje nisu države članice EU-a i međunarodnim organizacijama, među ostalim kroz zajednička parlamentarna tijela i multilateralne skupštine;</w:t>
      </w:r>
    </w:p>
    <w:p w:rsidR="00FC65F5" w:rsidRPr="002B1F02" w:rsidRDefault="00FC65F5" w:rsidP="00FC65F5">
      <w:pPr>
        <w:pStyle w:val="NormalHanging12a"/>
      </w:pPr>
      <w:r w:rsidRPr="002B1F02">
        <w:t>8.</w:t>
      </w:r>
      <w:r w:rsidRPr="002B1F02">
        <w:tab/>
        <w:t>ističe da stalna izaslanstva imaju ključnu ulogu u posredovanju između Parlamenta i njegovih partnera diljem svijeta na način da pospješuju interakciju, dosljedno pružaju informacije odborima i drugim parlamentarnim tijelima, vode rasprave o stajalištima i politikama od zajedničkog interesa te slušaju različite partnere i druge dionike i prenose njihova stajališta nadležnim tijelima u Parlamentu;</w:t>
      </w:r>
    </w:p>
    <w:p w:rsidR="00FC65F5" w:rsidRPr="002B1F02" w:rsidRDefault="00FC65F5" w:rsidP="00FC65F5">
      <w:pPr>
        <w:pStyle w:val="NormalHanging12a"/>
      </w:pPr>
      <w:r w:rsidRPr="002B1F02">
        <w:t>9.</w:t>
      </w:r>
      <w:r w:rsidRPr="002B1F02">
        <w:tab/>
        <w:t>smatra da službena putovanja Parlamenta izvan EU-a čine sastavni dio vanjske politike EU-a i da stoga moraju imati punu potporu delegacija EU-a te u tom smislu moraju dobiti najvišu razinu informacija i sigurnosti od ESVD-a; poziva da se Centru ESVD-a za odgovor na krizne situacije osiguraju sva potrebna sredstva; smatra da bi se boljom koordinacijom, planiranjem i određivanjem prioriteta između različitih tijela Parlamenta u pogledu misija povećala dosljednost, vjerodostojnost i učinak diplomatske uloge Parlamenta;</w:t>
      </w:r>
    </w:p>
    <w:p w:rsidR="00FC65F5" w:rsidRPr="002B1F02" w:rsidRDefault="00FC65F5" w:rsidP="00FC65F5">
      <w:pPr>
        <w:pStyle w:val="NormalHanging12a"/>
      </w:pPr>
      <w:r w:rsidRPr="002B1F02">
        <w:t>10.</w:t>
      </w:r>
      <w:r w:rsidRPr="002B1F02">
        <w:tab/>
        <w:t xml:space="preserve">predlaže da relevantna tijela Parlamenta uspostave unutarnju koordinaciju, među ostalim, periodičnim utvrđivanjem popisa prioritetnih zemalja s kojima će se surađivati, ovisno o predstojećim zakonodavnim predmetima te geopolitičkim ili strateškim prioritetima, održavanjem zajedničkih razmjena gledišta s tim prioritetnim zemljama o odnosima s EU-om ili o horizontalnim geopolitičkim pitanjima i žarištima sukoba te poticanjem sinergija među službenim putovanjima Parlamenta u inozemstvo kako bi se </w:t>
      </w:r>
      <w:r w:rsidRPr="002B1F02">
        <w:lastRenderedPageBreak/>
        <w:t>izbjeglo nepotrebno dupliciranje, racionalizirali resursi i poboljšala dosljednost poruka Parlamenta;</w:t>
      </w:r>
    </w:p>
    <w:p w:rsidR="00FC65F5" w:rsidRPr="002B1F02" w:rsidRDefault="00FC65F5" w:rsidP="00FC65F5">
      <w:pPr>
        <w:pStyle w:val="NormalHanging12a"/>
      </w:pPr>
      <w:r w:rsidRPr="002B1F02">
        <w:t>11.</w:t>
      </w:r>
      <w:r w:rsidRPr="002B1F02">
        <w:tab/>
        <w:t>ističe da bi zastupnici uoči službenog putovanja trebali biti u potpunosti pripremljeni u pogledu dimenzija kulturnih i međunarodnih kulturnih odnosa određene treće zemlje, kako bi mogli potaknuti kulturu dijaloga u kontekstu dijaloga kultura; u tom pogledu poziva ESVD, a posebno njegov Odjel za stratešku komunikaciju i predviđanja, da u potpunosti podupire službena putovanja Parlamenta u treće zemlje;</w:t>
      </w:r>
    </w:p>
    <w:p w:rsidR="00FC65F5" w:rsidRPr="002B1F02" w:rsidRDefault="00FC65F5" w:rsidP="00FC65F5">
      <w:pPr>
        <w:pStyle w:val="NormalHanging12a"/>
      </w:pPr>
      <w:r w:rsidRPr="002B1F02">
        <w:t>12.</w:t>
      </w:r>
      <w:r w:rsidRPr="002B1F02">
        <w:tab/>
        <w:t xml:space="preserve">smatra da politički dijalog koji Parlament i njegovi pojedinačni zastupnici diljem svijeta vode s akterima iz vlada i parlamenata te s akterima iz civilnog društva doprinosi promicanju stajališta i vrijednosti EU-a u pogledu globalnih standarda u područjima kao što su univerzalna ljudska prava i demokracija, prava pripadnika LGBTI zajednice, ženska prava i rodna ravnopravnost, klimatska i energetska diplomacija, </w:t>
      </w:r>
      <w:proofErr w:type="spellStart"/>
      <w:r w:rsidRPr="002B1F02">
        <w:t>povezivost</w:t>
      </w:r>
      <w:proofErr w:type="spellEnd"/>
      <w:r w:rsidRPr="002B1F02">
        <w:t>, umjetna inteligencija te digitalne i tehnološke politike;</w:t>
      </w:r>
    </w:p>
    <w:p w:rsidR="00FC65F5" w:rsidRPr="002B1F02" w:rsidRDefault="00FC65F5" w:rsidP="00FC65F5">
      <w:pPr>
        <w:pStyle w:val="NormalHanging12a"/>
      </w:pPr>
      <w:r w:rsidRPr="002B1F02">
        <w:t>13.</w:t>
      </w:r>
      <w:r w:rsidRPr="002B1F02">
        <w:tab/>
        <w:t>ističe dosljednu predanost Parlamenta stavljanju ljudskih prava, vladavine prava i demokracije u središte vanjskog djelovanja EU-a i pružanju ključnog foruma na kojem se može čuti i proširiti glas dionika civilnog društva i demokratskih aktera iz cijelog svijeta; u tom pogledu ističe svoje djelovanje za potporu borcima za ljudska prava, ugroženim parlamentarnim zastupnicima i mladim političkim vođama, kao i za potporu sudjelovanju žena u političkom životu i borbi protiv dezinformacija; poziva na to da se u sljedećem parlamentarnom sazivu aktivnosti Parlamenta dodatno razviju i da se omogući da se čuje glas onih čija su prava ugrožena;</w:t>
      </w:r>
    </w:p>
    <w:p w:rsidR="00FC65F5" w:rsidRPr="002B1F02" w:rsidRDefault="00FC65F5" w:rsidP="00FC65F5">
      <w:pPr>
        <w:pStyle w:val="NormalHanging12a"/>
      </w:pPr>
      <w:r w:rsidRPr="002B1F02">
        <w:t>14.</w:t>
      </w:r>
      <w:r w:rsidRPr="002B1F02">
        <w:tab/>
        <w:t>ističe ključnu važnost rasprava i rezolucija o slučajevima kršenja ljudskih prava, demokracije i vladavine prava kao jednog od alata Parlamenta s najvećim učinkom u inozemstvu kad je riječ o reagiranju na stanje ljudskih prava u zemljama koje nisu članice EU-a; stoga poziva na veću vidljivost tih rasprava i rezolucija, među ostalim u pogledu dnevnog reda plenarnih sjednica, u skladu s radom odbora i drugih stalnih parlamentarnih tijela;</w:t>
      </w:r>
    </w:p>
    <w:p w:rsidR="00FC65F5" w:rsidRPr="002B1F02" w:rsidRDefault="00FC65F5" w:rsidP="00FC65F5">
      <w:pPr>
        <w:pStyle w:val="NormalHanging12a"/>
      </w:pPr>
      <w:r w:rsidRPr="002B1F02">
        <w:t>15.</w:t>
      </w:r>
      <w:r w:rsidRPr="002B1F02">
        <w:tab/>
        <w:t>naglašava važnost i jedinstvenu prirodu uloge Parlamenta u misijama za promatranje izbora i, u širem smislu, programima potpore demokraciji, kao što je jačanje parlamentarne demokracije u zemljama izvan EU-a, te u inicijativama koje se odnose na posredovanje, olakšavanje izgradnje kapaciteta, sprečavanje sukoba, poticanje sporazumne i demokratske parlamentarne kulture i promicanje ljudskih prava; poziva na to da se rezultati aktivnosti Skupine za potporu demokraciji i koordinaciju izbora u određenim zemljama, kao i oni koji proizlaze iz misija EU-a za promatranje izbora, bolje integriraju u relevantan rad odbora i izaslanstava, kao i plenarnih sjednica kada se usredotočuju na te iste zemlje;</w:t>
      </w:r>
    </w:p>
    <w:p w:rsidR="00FC65F5" w:rsidRPr="002B1F02" w:rsidRDefault="00FC65F5" w:rsidP="00FC65F5">
      <w:pPr>
        <w:pStyle w:val="NormalHanging12a"/>
      </w:pPr>
      <w:r w:rsidRPr="002B1F02">
        <w:t>16.</w:t>
      </w:r>
      <w:r w:rsidRPr="002B1F02">
        <w:tab/>
        <w:t xml:space="preserve">poziva na pojačanu koordinaciju s Komisijom, uključujući Glavnu upravu za europsku susjedsku politiku i pregovore o proširenju i Glavnu upravu za međunarodna partnerstva, u podupiranju parlamentarne demokracije diljem svijeta i jačanju institucionalne potpore parlamentima; predlaže da mreža s nacionalnim parlamentima za potporu demokraciji, koju je uspostavio Parlament, postane redovito institucionalno mjesto za koordinaciju aktivnosti i korištenje stručnog znanja; </w:t>
      </w:r>
    </w:p>
    <w:p w:rsidR="00FC65F5" w:rsidRPr="002B1F02" w:rsidRDefault="00FC65F5" w:rsidP="00FC65F5">
      <w:pPr>
        <w:pStyle w:val="NormalHanging12a"/>
      </w:pPr>
      <w:r w:rsidRPr="002B1F02">
        <w:t>17.</w:t>
      </w:r>
      <w:r w:rsidRPr="002B1F02">
        <w:tab/>
        <w:t xml:space="preserve">naglašava potrebu postizanja rodne ravnoteže u svim aktivnostima i službenim putovanjima izvan EU-a, što se odnosi i na predstavnike Parlamenta, te proširenja </w:t>
      </w:r>
      <w:r w:rsidRPr="002B1F02">
        <w:lastRenderedPageBreak/>
        <w:t>stručnog znanja o rodnoj ravnopravnosti raspoređivanjem stručnjaka za rodnu ravnopravnost u okviru aktivnosti i programa parlamentarne pomoći;</w:t>
      </w:r>
    </w:p>
    <w:p w:rsidR="00FC65F5" w:rsidRPr="002B1F02" w:rsidRDefault="00FC65F5" w:rsidP="00FC65F5">
      <w:pPr>
        <w:pStyle w:val="Normal12a24b"/>
      </w:pPr>
      <w:r w:rsidRPr="002B1F02">
        <w:rPr>
          <w:rStyle w:val="BoldItalic"/>
        </w:rPr>
        <w:t>Doprinos Parlamenta vanjskoj i sigurnosnoj politici EU-a</w:t>
      </w:r>
    </w:p>
    <w:p w:rsidR="00FC65F5" w:rsidRPr="002B1F02" w:rsidRDefault="00FC65F5" w:rsidP="00FC65F5">
      <w:pPr>
        <w:pStyle w:val="NormalHanging12a"/>
      </w:pPr>
      <w:r w:rsidRPr="002B1F02">
        <w:t>18.</w:t>
      </w:r>
      <w:r w:rsidRPr="002B1F02">
        <w:tab/>
        <w:t xml:space="preserve">smatra da bi sljedeći parlamentarni saziv i uspostava novog sastava Komisije trebali biti prilika za jačanje okvira </w:t>
      </w:r>
      <w:proofErr w:type="spellStart"/>
      <w:r w:rsidRPr="002B1F02">
        <w:t>međuinstitucijskih</w:t>
      </w:r>
      <w:proofErr w:type="spellEnd"/>
      <w:r w:rsidRPr="002B1F02">
        <w:t xml:space="preserve"> odnosa između Parlamenta, ESVD-a i Komisije, što uključuje i delegacije EU-a, kako bi se poboljšala parlamentarna diplomacija i ojačali instrumenti EU-a za vanjsko djelovanje;</w:t>
      </w:r>
    </w:p>
    <w:p w:rsidR="00FC65F5" w:rsidRPr="002B1F02" w:rsidRDefault="00FC65F5" w:rsidP="00FC65F5">
      <w:pPr>
        <w:pStyle w:val="NormalHanging12a"/>
      </w:pPr>
      <w:r w:rsidRPr="002B1F02">
        <w:t>19.</w:t>
      </w:r>
      <w:r w:rsidRPr="002B1F02">
        <w:tab/>
        <w:t>posebno poziva na to da se nadzor Parlamenta nad djelovanjima u okviru aktivnosti vanjske i sigurnosne politike EU-a poboljša na način da se poveća razina odgovornosti i transparentnosti ESVD-a i vanjskih službi Komisije; u tom kontekstu ističe da je potrebno ažurirati Deklaraciju o političkoj odgovornosti iz 2010. kako bi se redefinirali odnosi između ESVD-a i Parlamenta;</w:t>
      </w:r>
    </w:p>
    <w:p w:rsidR="00FC65F5" w:rsidRPr="002B1F02" w:rsidRDefault="00FC65F5" w:rsidP="00FC65F5">
      <w:pPr>
        <w:pStyle w:val="NormalHanging12a"/>
      </w:pPr>
      <w:r w:rsidRPr="002B1F02">
        <w:t>20.</w:t>
      </w:r>
      <w:r w:rsidRPr="002B1F02">
        <w:tab/>
        <w:t>poziva Komisiju, Vijeće i države članice da istinski uključe Parlament u provedbu i nadzor pitanja od strateške važnosti u vanjskim poslovima EU-a, među ostalim i u primjenu mjera ograničavanja, kao i u nadzor instrumenata za vanjsko financiranje;</w:t>
      </w:r>
    </w:p>
    <w:p w:rsidR="00FC65F5" w:rsidRPr="002B1F02" w:rsidRDefault="00FC65F5" w:rsidP="00FC65F5">
      <w:pPr>
        <w:pStyle w:val="NormalHanging12a"/>
      </w:pPr>
      <w:r w:rsidRPr="002B1F02">
        <w:t>21.</w:t>
      </w:r>
      <w:r w:rsidRPr="002B1F02">
        <w:tab/>
        <w:t>ustraje u pravu Parlamenta na informacije u području ZVSP-a u skladu s člankom 36.UEU-a, što se odnosi i na pristup izvješćima i strategijama za pojedine zemlje te drugim povjerljivim informacijama na kojima se temelji provedba ZVSP-a EU-a; u tom smislu naglašava važnost dovršetka, što je prije moguće, ažuriranja Međuinstitucionalnog sporazuma od 20. studenoga 2002. između Europskog parlamenta i Vijeća o pristupu Europskog parlamenta informacijama osjetljive prirode Vijeća iz područja sigurnosne i obrambene politike;</w:t>
      </w:r>
    </w:p>
    <w:p w:rsidR="00FC65F5" w:rsidRPr="002B1F02" w:rsidRDefault="00FC65F5" w:rsidP="00FC65F5">
      <w:pPr>
        <w:pStyle w:val="NormalHanging12a"/>
      </w:pPr>
      <w:r w:rsidRPr="002B1F02">
        <w:t>22.</w:t>
      </w:r>
      <w:r w:rsidRPr="002B1F02">
        <w:tab/>
        <w:t xml:space="preserve">naglašava da bi njegova nadzorna funkcija i ovlasti u pogledu praćenja pregovora o međunarodnim sporazumima i njihove provedbe Parlamentu trebala dati ključnu ulogu u oblikovanju suradnje Unije sa zemljama izvan EU-a i međunarodnim organizacijama te njezina općenitoga djelovanja na međunarodnoj sceni, čime bi se EU-u omogućilo da nastavi s rodno osviještenom politikom i klimatskom diplomacijom u međunarodnim odnosima; u tom pogledu izražava žaljenje zbog takozvanih neformalnih ili </w:t>
      </w:r>
      <w:r w:rsidRPr="002B1F02">
        <w:rPr>
          <w:i/>
          <w:iCs/>
        </w:rPr>
        <w:t xml:space="preserve">ad </w:t>
      </w:r>
      <w:proofErr w:type="spellStart"/>
      <w:r w:rsidRPr="002B1F02">
        <w:rPr>
          <w:i/>
          <w:iCs/>
        </w:rPr>
        <w:t>hoc</w:t>
      </w:r>
      <w:proofErr w:type="spellEnd"/>
      <w:r w:rsidRPr="002B1F02">
        <w:t xml:space="preserve"> aranžmana za koje nije potrebna suglasnost Parlamenta, čime se potkopavaju ovlasti Parlamenta kao </w:t>
      </w:r>
      <w:proofErr w:type="spellStart"/>
      <w:r w:rsidRPr="002B1F02">
        <w:t>suzakonodavca</w:t>
      </w:r>
      <w:proofErr w:type="spellEnd"/>
      <w:r w:rsidRPr="002B1F02">
        <w:t xml:space="preserve"> i njegova nadzorna uloga;</w:t>
      </w:r>
    </w:p>
    <w:p w:rsidR="00FC65F5" w:rsidRPr="002B1F02" w:rsidRDefault="00FC65F5" w:rsidP="00FC65F5">
      <w:pPr>
        <w:pStyle w:val="NormalHanging12a"/>
      </w:pPr>
      <w:r w:rsidRPr="002B1F02">
        <w:t>23.</w:t>
      </w:r>
      <w:r w:rsidRPr="002B1F02">
        <w:tab/>
        <w:t>smatra da bi veleposlanike EU-a u strateškim zemljama i posebne predstavnike EU-a trebalo potvrditi tek nakon pozitivne ocjene Odbora za vanjske poslove Parlamenta;</w:t>
      </w:r>
    </w:p>
    <w:p w:rsidR="00FC65F5" w:rsidRPr="002B1F02" w:rsidRDefault="00FC65F5" w:rsidP="00FC65F5">
      <w:pPr>
        <w:pStyle w:val="NormalHanging12a"/>
      </w:pPr>
      <w:r w:rsidRPr="002B1F02">
        <w:t>24.</w:t>
      </w:r>
      <w:r w:rsidRPr="002B1F02">
        <w:tab/>
        <w:t>poziva na sustavnije sudjelovanje predsjednika vanjskih odbora Parlamenta na sastancima i događanjima u okviru ZVSP-a na visokoj razini, uključujući Vijeće za vanjske poslove; poziva na zajednička izaslanstva ESVD-a, Komisije i Parlamenata na velikim multilateralnim i regionalnim okupljanjima;</w:t>
      </w:r>
    </w:p>
    <w:p w:rsidR="00FC65F5" w:rsidRPr="002B1F02" w:rsidRDefault="00FC65F5" w:rsidP="00FC65F5">
      <w:pPr>
        <w:pStyle w:val="NormalHanging12a"/>
      </w:pPr>
      <w:r w:rsidRPr="002B1F02">
        <w:t>25.</w:t>
      </w:r>
      <w:r w:rsidRPr="002B1F02">
        <w:tab/>
        <w:t xml:space="preserve">ustraje u tome da bi sve ključne strateške dokumente o politikama koje Komisija i Vijeće donose u vezi s vođenjem vanjske politike EU-a trebalo pripremati uz savjetovanje s Parlamentom te u njih integrirati ulogu i doprinose Parlamenta; </w:t>
      </w:r>
    </w:p>
    <w:p w:rsidR="00FC65F5" w:rsidRPr="002B1F02" w:rsidRDefault="00FC65F5" w:rsidP="00FC65F5">
      <w:pPr>
        <w:pStyle w:val="NormalHanging12a"/>
      </w:pPr>
      <w:r w:rsidRPr="002B1F02">
        <w:t>26.</w:t>
      </w:r>
      <w:r w:rsidRPr="002B1F02">
        <w:tab/>
        <w:t xml:space="preserve">poziva na jačanje odnosa Parlamenta s nacionalnim parlamentima država članica, kao dobro pozicioniranim tijelima za ulogu posrednika prema izvršnim tijelima država </w:t>
      </w:r>
      <w:r w:rsidRPr="002B1F02">
        <w:lastRenderedPageBreak/>
        <w:t>članica; stoga naglašava da međuparlamentarna konferencija o ZVSP-u/ZSOP-u i međuparlamentarne konferencije koje svake godine održava Pododbor za ljudska prava predstavljaju važne forume za razmjenu informacija i najboljih praksi između nacionalnih parlamenata i Europskog parlamenta u dotičnim područjima te da bi ih trebalo ojačati;</w:t>
      </w:r>
    </w:p>
    <w:p w:rsidR="00FC65F5" w:rsidRPr="002B1F02" w:rsidRDefault="00FC65F5" w:rsidP="00FC65F5">
      <w:pPr>
        <w:pStyle w:val="NormalHanging12a"/>
      </w:pPr>
      <w:r w:rsidRPr="002B1F02">
        <w:t>27.</w:t>
      </w:r>
      <w:r w:rsidRPr="002B1F02">
        <w:tab/>
        <w:t xml:space="preserve">smatra da Parlament može imati jedinstvenu ulogu u približavanju vanjske politike EU-a europskim građanima i jačanju demokratskog legitimiteta, uključujući suradnjom s tijelima na </w:t>
      </w:r>
      <w:proofErr w:type="spellStart"/>
      <w:r w:rsidRPr="002B1F02">
        <w:t>poddržavnoj</w:t>
      </w:r>
      <w:proofErr w:type="spellEnd"/>
      <w:r w:rsidRPr="002B1F02">
        <w:t xml:space="preserve"> razini kao što su regionalne vlade i parlamenti, čime se omogućuje da „višerazinska diplomacija” u skladu s pravnim i institucionalnim okvirima EU-a i država članica bude dio vanjskog djelovanja na razini EU-a i da se na njemu temelji;</w:t>
      </w:r>
    </w:p>
    <w:p w:rsidR="00FC65F5" w:rsidRPr="002B1F02" w:rsidRDefault="00FC65F5" w:rsidP="00FC65F5">
      <w:pPr>
        <w:pStyle w:val="NormalHanging12a"/>
      </w:pPr>
      <w:r w:rsidRPr="002B1F02">
        <w:t>28.</w:t>
      </w:r>
      <w:r w:rsidRPr="002B1F02">
        <w:tab/>
        <w:t>ponovno apelira na razvoj autonomne diplomacije EU-a koju određuje zajednička diplomatska kultura iz perspektive EU-a i naglašava ulogu Parlamenta u tom pogledu; smatra da je provedba pilot-projekta Parlamenta o osnivanju Europske diplomatske akademije, a posebno njezine budućnosti i stalne strukture, konkretan korak u tom pogledu; poziva da se zajamči trajno i aktivno sudjelovanje Parlamenta u upravljačkim tijelima buduće Europske diplomatske akademije, kao i u njezinim programima i aktivnostima osposobljavanja;</w:t>
      </w:r>
    </w:p>
    <w:p w:rsidR="00FC65F5" w:rsidRPr="002B1F02" w:rsidRDefault="00FC65F5" w:rsidP="00FC65F5">
      <w:pPr>
        <w:pStyle w:val="NormalHanging12a"/>
      </w:pPr>
      <w:r w:rsidRPr="002B1F02">
        <w:t>29.</w:t>
      </w:r>
      <w:r w:rsidRPr="002B1F02">
        <w:tab/>
        <w:t xml:space="preserve">smatra da, u kontekstu nazadovanja u pogledu ljudskih prava i demokracije diljem svijeta, Parlament ima posebnu ulogu u obrani </w:t>
      </w:r>
      <w:proofErr w:type="spellStart"/>
      <w:r w:rsidRPr="002B1F02">
        <w:t>multilateralizma</w:t>
      </w:r>
      <w:proofErr w:type="spellEnd"/>
      <w:r w:rsidRPr="002B1F02">
        <w:t xml:space="preserve"> utemeljenog na pravilima, demokracije i vladavine prava, u promicanju ljudskih prava i političkog pluralizma, u borbi protiv dezinformacija i vanjskog upletanja u zemljama izvan EU-a te na globalnoj razini u pomaganju demokratski izabranim parlamentima da putem ciljanih programa konsolidiraju svoje institucionalne uloge i interne metode rada; napominje da se zastupnici u Europskom parlamentu mogu baviti osjetljivijim pitanjima, kao što su kršenja ljudskih prava, javno davati izjave o njima, koristiti javne ili privatne komunikacijske kanale ili surađivati s lokalnim partnerima u slučajevima kada je prostor za tradicionalnu diplomaciju </w:t>
      </w:r>
      <w:proofErr w:type="spellStart"/>
      <w:r w:rsidRPr="002B1F02">
        <w:t>ograničeniji</w:t>
      </w:r>
      <w:proofErr w:type="spellEnd"/>
      <w:r w:rsidRPr="002B1F02">
        <w:t>;</w:t>
      </w:r>
    </w:p>
    <w:p w:rsidR="00FC65F5" w:rsidRPr="002B1F02" w:rsidRDefault="00FC65F5" w:rsidP="00FC65F5">
      <w:pPr>
        <w:pStyle w:val="NormalHanging12a"/>
      </w:pPr>
      <w:r w:rsidRPr="002B1F02">
        <w:t>30.</w:t>
      </w:r>
      <w:r w:rsidRPr="002B1F02">
        <w:tab/>
        <w:t>ističe specifičnu ulogu parlamentarnih tijela u pomaganju partnerskim zemljama, a posebno u zemljama proširenja i potencijalnim zemljama kandidatkinjama na zapadnom Balkanu i u istočnom susjedstvu; poziva da se ojača njihova uloga u procesu pristupanja EU-u, s obzirom na posebnu i ključnu ulogu koju nacionalni parlamenti imaju u zahtijevanom procesu reformi, među ostalim u pogledu usklađivanja zakonodavstva, parlamentarnog nadzora i informiranja građana; podsjeća da delegacije EU-a trebaju aktivno podupirati takvu međuparlamentarnu suradnju u zemljama kandidatkinjama i potencijalnim zemljama kandidatkinjama;</w:t>
      </w:r>
    </w:p>
    <w:p w:rsidR="00FC65F5" w:rsidRPr="002B1F02" w:rsidRDefault="00FC65F5" w:rsidP="00FC65F5">
      <w:pPr>
        <w:pStyle w:val="NormalHanging12a"/>
      </w:pPr>
      <w:r w:rsidRPr="002B1F02">
        <w:t>31.</w:t>
      </w:r>
      <w:r w:rsidRPr="002B1F02">
        <w:tab/>
        <w:t>pozdravlja inovativne pristupe kao što je suradnja na razini odbora koja je nedavno pokrenuta između Europskog parlamenta i Vrhovne Rade Ukrajine te potiče razvoj daljnjih inicijativa u tom području s obzirom na političku važnost procesa proširenja;</w:t>
      </w:r>
    </w:p>
    <w:p w:rsidR="00FC65F5" w:rsidRPr="002B1F02" w:rsidRDefault="00FC65F5" w:rsidP="00FC65F5">
      <w:pPr>
        <w:pStyle w:val="NormalHanging12a"/>
      </w:pPr>
      <w:r w:rsidRPr="002B1F02">
        <w:t>32.</w:t>
      </w:r>
      <w:r w:rsidRPr="002B1F02">
        <w:tab/>
        <w:t>ponovno upućuje poziv da se ojačaju institucionalni kapaciteti EU-a za preventivnu diplomaciju, sprečavanje sukoba i posredovanje te smatra da Parlament putem svojih tijela i djelovanja u tom području može pružiti stručno znanje i znatan doprinos, među ostalim u okviru mehanizama ranog upozoravanja i terenskih posjeta;</w:t>
      </w:r>
    </w:p>
    <w:p w:rsidR="00FC65F5" w:rsidRPr="002B1F02" w:rsidRDefault="00FC65F5" w:rsidP="00FC65F5">
      <w:pPr>
        <w:pStyle w:val="NormalHanging12a"/>
      </w:pPr>
      <w:r w:rsidRPr="002B1F02">
        <w:lastRenderedPageBreak/>
        <w:t>33.</w:t>
      </w:r>
      <w:r w:rsidRPr="002B1F02">
        <w:tab/>
        <w:t>naglašava da široka međuparlamentarna mreža koju je Parlament razvio preko svojih stalnih izaslanstava i multilateralnih skupština predstavlja odlično sredstvo za raspravu i koordinaciju stajališta s međunarodnim partnerima na multilateralnim forumima, primjerice u vezi s rezolucijama UN-a, uključivanjem rodnih pitanja, klimatskom diplomacijom ili stajalištima na sastancima skupine G20, kao i za pojašnjavanje namjera EU-a partnerima i promicanje njegova djelovanja; ističe značajan doprinos Parlamenta radu multilateralnih foruma, zahvaljujući njegovu sudjelovanju, među ostalim, na parlamentarnim sastancima na vrhu skupina G7 i G20 te na sastancima Međuparlamentarne unije;</w:t>
      </w:r>
    </w:p>
    <w:p w:rsidR="00FC65F5" w:rsidRPr="002B1F02" w:rsidRDefault="00FC65F5" w:rsidP="00FC65F5">
      <w:pPr>
        <w:pStyle w:val="NormalHanging12a"/>
      </w:pPr>
      <w:r w:rsidRPr="002B1F02">
        <w:t>34.</w:t>
      </w:r>
      <w:r w:rsidRPr="002B1F02">
        <w:tab/>
        <w:t xml:space="preserve">ističe ulogu Europskog parlamenta u globalnom promicanju rodne ravnopravnosti, uključujući borbu protiv </w:t>
      </w:r>
      <w:proofErr w:type="spellStart"/>
      <w:r w:rsidRPr="002B1F02">
        <w:t>femicida</w:t>
      </w:r>
      <w:proofErr w:type="spellEnd"/>
      <w:r w:rsidRPr="002B1F02">
        <w:t xml:space="preserve"> i rodno uvjetovanog nasilja te pitanje prava LGBTI osoba u vanjskom djelovanju EU-a; ističe važnost parlamentarnih zastupnika u promicanju rodne osjetljivosti diljem vanjskih odnosa EU-a podizanjem razine osviještenosti, izgradnjom kapaciteta i razmjenom dobrih praksi, uključujući, ali ne ograničavajući se na dodanu vrijednost jamčenja rodno uravnoteženih parlamenata i rodne perspektive u funkcioniranju parlamentarnih tijela; poziva Parlament da dodatno ojača tu relevantnu dimenziju svoje parlamentarne diplomacije u svojim interakcijama s partnerskim zemljama;</w:t>
      </w:r>
    </w:p>
    <w:p w:rsidR="00FC65F5" w:rsidRPr="002B1F02" w:rsidRDefault="00FC65F5" w:rsidP="00FC65F5">
      <w:pPr>
        <w:pStyle w:val="NormalHanging12a"/>
      </w:pPr>
      <w:r w:rsidRPr="002B1F02">
        <w:t>35.</w:t>
      </w:r>
      <w:r w:rsidRPr="002B1F02">
        <w:tab/>
        <w:t>smatra da, s obzirom na cilj održivog razvoja br. 5 (postizanje rodne ravnopravnosti i osnaživanje svih žena i djevojčica), Parlament mora imati značajnu ulogu u postizanju ključnih strateških mjerila za rodnu ravnopravnost;</w:t>
      </w:r>
    </w:p>
    <w:p w:rsidR="00FC65F5" w:rsidRPr="002B1F02" w:rsidRDefault="00FC65F5" w:rsidP="00FC65F5">
      <w:pPr>
        <w:pStyle w:val="NormalHanging12a"/>
      </w:pPr>
      <w:r w:rsidRPr="002B1F02">
        <w:t>36.</w:t>
      </w:r>
      <w:r w:rsidRPr="002B1F02">
        <w:tab/>
        <w:t>ističe zalaganje Parlamenta za ratifikaciju i provedbu relevantnih međunarodnih konvencija i konvencija UN-a te njihovih fakultativnih protokola, kao što su Pariški sporazum i Konvencija o sprečavanju i borbi protiv nasilja nad ženama i nasilja u obitelji;</w:t>
      </w:r>
    </w:p>
    <w:p w:rsidR="00FC65F5" w:rsidRPr="002B1F02" w:rsidRDefault="00FC65F5" w:rsidP="00FC65F5">
      <w:pPr>
        <w:pStyle w:val="Normal12a24b"/>
      </w:pPr>
      <w:r w:rsidRPr="002B1F02">
        <w:rPr>
          <w:rStyle w:val="BoldItalic"/>
        </w:rPr>
        <w:t>Tim Europa: Parlament kao partner u području vanjske politike</w:t>
      </w:r>
    </w:p>
    <w:p w:rsidR="00FC65F5" w:rsidRPr="002B1F02" w:rsidRDefault="00FC65F5" w:rsidP="00FC65F5">
      <w:pPr>
        <w:pStyle w:val="NormalHanging12a"/>
      </w:pPr>
      <w:r w:rsidRPr="002B1F02">
        <w:t>37.</w:t>
      </w:r>
      <w:r w:rsidRPr="002B1F02">
        <w:tab/>
        <w:t xml:space="preserve">smatra da, iako bi Parlament trebao zadržati potpunu autonomiju u provedbi svojega vanjskopolitičkog programa, zajednički </w:t>
      </w:r>
      <w:r w:rsidRPr="002B1F02">
        <w:rPr>
          <w:i/>
          <w:iCs/>
        </w:rPr>
        <w:t xml:space="preserve">ad </w:t>
      </w:r>
      <w:proofErr w:type="spellStart"/>
      <w:r w:rsidRPr="002B1F02">
        <w:rPr>
          <w:i/>
          <w:iCs/>
        </w:rPr>
        <w:t>hoc</w:t>
      </w:r>
      <w:proofErr w:type="spellEnd"/>
      <w:r w:rsidRPr="002B1F02">
        <w:t xml:space="preserve"> posjeti i izjave s predstavnicima Komisije i Vijeća u vezi s ključnim zbivanjima u zemljama koje nisu članice EU-a predstavljaju obećavajuće područje za provedbu pristupa Tima Europa; u tom pogledu poziva na pokretanje </w:t>
      </w:r>
      <w:proofErr w:type="spellStart"/>
      <w:r w:rsidRPr="002B1F02">
        <w:t>međuinstitucijskog</w:t>
      </w:r>
      <w:proofErr w:type="spellEnd"/>
      <w:r w:rsidRPr="002B1F02">
        <w:t xml:space="preserve"> pilot-programa Tima Europa u odabranom broju trećih zemalja; poziva na to da se tim pilot-programom osigura potpuna integracija alata Parlamenta u zajednički </w:t>
      </w:r>
      <w:proofErr w:type="spellStart"/>
      <w:r w:rsidRPr="002B1F02">
        <w:t>međuinstitucijski</w:t>
      </w:r>
      <w:proofErr w:type="spellEnd"/>
      <w:r w:rsidRPr="002B1F02">
        <w:t xml:space="preserve"> pristup dotičnim zemljama;</w:t>
      </w:r>
    </w:p>
    <w:p w:rsidR="00FC65F5" w:rsidRPr="002B1F02" w:rsidRDefault="00FC65F5" w:rsidP="00FC65F5">
      <w:pPr>
        <w:pStyle w:val="NormalHanging12a"/>
      </w:pPr>
      <w:r w:rsidRPr="002B1F02">
        <w:t>38.</w:t>
      </w:r>
      <w:r w:rsidRPr="002B1F02">
        <w:tab/>
        <w:t>osuđuje odluku nekih zemalja, uključujući neke koje imaju sporazume s EU-om, da se izaslanstvima Parlamenta i pojedinačnim zastupnicima u Europskom parlamentu zabrani ulazak na neka ili sva njihova državna područja; osuđuje prijetnje i sankcije usmjerene protiv zastupnika u Europskom parlamentu iz zemalja koje nisu članice EU-a; ustraje u tome da Vijeće i države članice poduzmu hitne i snažne mjere, uključujući, prema potrebi, sankcije, u slučajevima kada tijela Parlamenta ili pojedinačni zastupnici u Europskom parlamentu postanu mete mjera ograničavanja iz trećih zemalja;</w:t>
      </w:r>
    </w:p>
    <w:p w:rsidR="00FC65F5" w:rsidRPr="002B1F02" w:rsidRDefault="00FC65F5" w:rsidP="00FC65F5">
      <w:pPr>
        <w:pStyle w:val="NormalHanging12a"/>
      </w:pPr>
      <w:r w:rsidRPr="002B1F02">
        <w:t>39.</w:t>
      </w:r>
      <w:r w:rsidRPr="002B1F02">
        <w:tab/>
        <w:t xml:space="preserve">ističe da je promatranje izbora područje u kojem je suradnja između Parlamenta i ESVD-a </w:t>
      </w:r>
      <w:proofErr w:type="spellStart"/>
      <w:r w:rsidRPr="002B1F02">
        <w:t>najstrukturiranija</w:t>
      </w:r>
      <w:proofErr w:type="spellEnd"/>
      <w:r w:rsidRPr="002B1F02">
        <w:t>, pri čemu obje institucije provode aktivnosti promatranja izbora koje su na više načina međusobno dobro integrirane;</w:t>
      </w:r>
    </w:p>
    <w:p w:rsidR="00FC65F5" w:rsidRPr="002B1F02" w:rsidRDefault="00FC65F5" w:rsidP="00FC65F5">
      <w:pPr>
        <w:pStyle w:val="NormalHanging12a"/>
      </w:pPr>
      <w:r w:rsidRPr="002B1F02">
        <w:lastRenderedPageBreak/>
        <w:t>40.</w:t>
      </w:r>
      <w:r w:rsidRPr="002B1F02">
        <w:tab/>
        <w:t xml:space="preserve">ponovno poziva na bolju stratešku koordinaciju među institucijama EU-a u vezi s hitnim pojedinačnim slučajevima u koje su uključeni borci za ljudska prava, novinari ili članovi posebno ranjivih skupina; uvjeren je da bi se parlamentarna diplomacija u takvim slučajevima mogla pokazati djelotvornim i komplementarnim mehanizmom za suradnju sa zemljama koje nisu države članice EU-a; poziva na osnivanje </w:t>
      </w:r>
      <w:proofErr w:type="spellStart"/>
      <w:r w:rsidRPr="002B1F02">
        <w:t>međuinstitucijske</w:t>
      </w:r>
      <w:proofErr w:type="spellEnd"/>
      <w:r w:rsidRPr="002B1F02">
        <w:t xml:space="preserve"> radne skupine za borce za ljudska prava koja bi koordinirala europske napore u prioritetnim slučajevima boraca za ljudska prava;</w:t>
      </w:r>
    </w:p>
    <w:p w:rsidR="00FC65F5" w:rsidRPr="002B1F02" w:rsidRDefault="00FC65F5" w:rsidP="00FC65F5">
      <w:pPr>
        <w:pStyle w:val="NormalHanging12a"/>
      </w:pPr>
      <w:r w:rsidRPr="002B1F02">
        <w:t>41.</w:t>
      </w:r>
      <w:r w:rsidRPr="002B1F02">
        <w:tab/>
        <w:t>ponavlja svoj zahtjev da potpredsjednik Komisije</w:t>
      </w:r>
      <w:r w:rsidR="000F3F5E" w:rsidRPr="002B1F02">
        <w:t> </w:t>
      </w:r>
      <w:r w:rsidRPr="002B1F02">
        <w:t>/</w:t>
      </w:r>
      <w:r w:rsidR="000F3F5E" w:rsidRPr="002B1F02">
        <w:t> </w:t>
      </w:r>
      <w:r w:rsidRPr="002B1F02">
        <w:t>Visoki predstavnik Unije za vanjske poslove i sigurnosnu politiku u suradnji s državama članicama i Parlamentom donese godišnji popis zemalja koje izazivaju ozbiljnu zabrinutost zbog teškog položaja boraca za ljudska prava i aktivista za demokraciju, čime bi se, među ostalim, omogućio potpuno koordiniran praktični odgovor Tima Europa na terenu; smatra da bi Parlament mogao imati odlučujuću ulogu zahvaljujući svojim institucionalnim i drugim sredstvima za potporu tom ciljanom i zajedničkom pristupu;</w:t>
      </w:r>
    </w:p>
    <w:p w:rsidR="00FC65F5" w:rsidRPr="002B1F02" w:rsidRDefault="00FC65F5" w:rsidP="00FC65F5">
      <w:pPr>
        <w:pStyle w:val="NormalHanging12a"/>
      </w:pPr>
      <w:r w:rsidRPr="002B1F02">
        <w:t>42.</w:t>
      </w:r>
      <w:r w:rsidRPr="002B1F02">
        <w:tab/>
        <w:t>potiče sve delegacije EU-a da promoviraju rad Parlamenta relevantan za zemlje domaćine, među ostalim na lokalnim jezicima na svojim internetskim stranicama, te da se uključe u popratne aktivnosti u suradnji s lokalnim vlastima i skupinama civilnog društva;</w:t>
      </w:r>
    </w:p>
    <w:p w:rsidR="00FC65F5" w:rsidRPr="002B1F02" w:rsidRDefault="00FC65F5" w:rsidP="00FC65F5">
      <w:pPr>
        <w:pStyle w:val="NormalCenter12a"/>
      </w:pPr>
      <w:r w:rsidRPr="002B1F02">
        <w:t>°</w:t>
      </w:r>
    </w:p>
    <w:p w:rsidR="00FC65F5" w:rsidRPr="002B1F02" w:rsidRDefault="00FC65F5" w:rsidP="00FC65F5">
      <w:pPr>
        <w:pStyle w:val="NormalCenter12a"/>
      </w:pPr>
      <w:r w:rsidRPr="002B1F02">
        <w:t>°</w:t>
      </w:r>
      <w:r w:rsidRPr="002B1F02">
        <w:tab/>
        <w:t>°</w:t>
      </w:r>
    </w:p>
    <w:p w:rsidR="00FC65F5" w:rsidRPr="002B1F02" w:rsidRDefault="00FC65F5" w:rsidP="00FC65F5">
      <w:pPr>
        <w:pStyle w:val="NormalHanging12a"/>
      </w:pPr>
      <w:r w:rsidRPr="002B1F02">
        <w:t>43.</w:t>
      </w:r>
      <w:r w:rsidRPr="002B1F02">
        <w:tab/>
        <w:t>nalaže svojoj predsjednici da ovu Rezoluciju proslijedi Vijeću, Komisiji, potpredsjedniku Komisije / Visokom predstavniku Unije za vanjske poslove i sigurnosnu politiku te vladama i parlamentima država članica.</w:t>
      </w:r>
    </w:p>
    <w:p w:rsidR="00FC65F5" w:rsidRPr="002B1F02" w:rsidRDefault="00FC65F5" w:rsidP="00FC65F5"/>
    <w:sectPr w:rsidR="00FC65F5" w:rsidRPr="002B1F02" w:rsidSect="00F55B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91E" w:rsidRPr="00F55B8B" w:rsidRDefault="00CF691E">
      <w:r w:rsidRPr="00F55B8B">
        <w:separator/>
      </w:r>
    </w:p>
  </w:endnote>
  <w:endnote w:type="continuationSeparator" w:id="0">
    <w:p w:rsidR="00CF691E" w:rsidRPr="00F55B8B" w:rsidRDefault="00CF691E">
      <w:r w:rsidRPr="00F55B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5B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5B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5B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91E" w:rsidRPr="00F55B8B" w:rsidRDefault="00CF691E">
      <w:r w:rsidRPr="00F55B8B">
        <w:separator/>
      </w:r>
    </w:p>
  </w:footnote>
  <w:footnote w:type="continuationSeparator" w:id="0">
    <w:p w:rsidR="00CF691E" w:rsidRPr="00F55B8B" w:rsidRDefault="00CF691E">
      <w:r w:rsidRPr="00F55B8B">
        <w:continuationSeparator/>
      </w:r>
    </w:p>
  </w:footnote>
  <w:footnote w:id="1">
    <w:p w:rsidR="00FC65F5" w:rsidRPr="00F55B8B" w:rsidRDefault="00FC65F5" w:rsidP="00F55B8B">
      <w:pPr>
        <w:pStyle w:val="FootnoteText"/>
        <w:ind w:left="567" w:hanging="567"/>
        <w:rPr>
          <w:sz w:val="24"/>
          <w:lang w:val="hr-HR"/>
        </w:rPr>
      </w:pPr>
      <w:r w:rsidRPr="00F55B8B">
        <w:rPr>
          <w:rStyle w:val="FootnoteReference"/>
          <w:sz w:val="24"/>
          <w:lang w:val="hr-HR"/>
        </w:rPr>
        <w:footnoteRef/>
      </w:r>
      <w:r w:rsidR="00F55B8B" w:rsidRPr="00F55B8B">
        <w:rPr>
          <w:sz w:val="24"/>
          <w:lang w:val="hr-HR"/>
        </w:rPr>
        <w:t xml:space="preserve"> </w:t>
      </w:r>
      <w:r w:rsidR="00F55B8B" w:rsidRPr="00F55B8B">
        <w:rPr>
          <w:sz w:val="24"/>
          <w:lang w:val="hr-HR"/>
        </w:rPr>
        <w:tab/>
      </w:r>
      <w:r w:rsidR="00545EA7">
        <w:rPr>
          <w:sz w:val="24"/>
          <w:lang w:val="hr-HR"/>
        </w:rPr>
        <w:t>SL L 201, 3.8.2010</w:t>
      </w:r>
      <w:bookmarkStart w:id="8" w:name="_GoBack"/>
      <w:bookmarkEnd w:id="8"/>
      <w:r w:rsidRPr="00F55B8B">
        <w:rPr>
          <w:sz w:val="24"/>
          <w:lang w:val="hr-HR"/>
        </w:rPr>
        <w:t>., str. 30.</w:t>
      </w:r>
    </w:p>
  </w:footnote>
  <w:footnote w:id="2">
    <w:p w:rsidR="00FC65F5" w:rsidRPr="00F55B8B" w:rsidRDefault="00FC65F5" w:rsidP="00F55B8B">
      <w:pPr>
        <w:pStyle w:val="FootnoteText"/>
        <w:ind w:left="567" w:hanging="567"/>
        <w:rPr>
          <w:sz w:val="24"/>
          <w:lang w:val="hr-HR"/>
        </w:rPr>
      </w:pPr>
      <w:r w:rsidRPr="00F55B8B">
        <w:rPr>
          <w:rStyle w:val="FootnoteReference"/>
          <w:sz w:val="24"/>
          <w:lang w:val="hr-HR"/>
        </w:rPr>
        <w:footnoteRef/>
      </w:r>
      <w:r w:rsidR="00F55B8B" w:rsidRPr="00F55B8B">
        <w:rPr>
          <w:sz w:val="24"/>
          <w:lang w:val="hr-HR"/>
        </w:rPr>
        <w:t xml:space="preserve"> </w:t>
      </w:r>
      <w:r w:rsidR="00F55B8B" w:rsidRPr="00F55B8B">
        <w:rPr>
          <w:sz w:val="24"/>
          <w:lang w:val="hr-HR"/>
        </w:rPr>
        <w:tab/>
      </w:r>
      <w:r w:rsidRPr="00F55B8B">
        <w:rPr>
          <w:sz w:val="24"/>
          <w:lang w:val="hr-HR"/>
        </w:rPr>
        <w:t xml:space="preserve">SL C, C/2023/410, 23.11.2023., ELI: </w:t>
      </w:r>
      <w:hyperlink r:id="rId1" w:history="1">
        <w:r w:rsidRPr="00F55B8B">
          <w:rPr>
            <w:rStyle w:val="Hyperlink"/>
            <w:sz w:val="24"/>
            <w:lang w:val="hr-HR"/>
          </w:rPr>
          <w:t>http://data.europa.eu/eli/C/2023/410/oj</w:t>
        </w:r>
      </w:hyperlink>
      <w:r w:rsidRPr="00F55B8B">
        <w:rPr>
          <w:sz w:val="24"/>
          <w:lang w:val="hr-HR"/>
        </w:rPr>
        <w:t xml:space="preserve">. </w:t>
      </w:r>
    </w:p>
  </w:footnote>
  <w:footnote w:id="3">
    <w:p w:rsidR="00FC65F5" w:rsidRPr="00F55B8B" w:rsidRDefault="00FC65F5" w:rsidP="00F55B8B">
      <w:pPr>
        <w:pStyle w:val="FootnoteText"/>
        <w:ind w:left="567" w:hanging="567"/>
        <w:rPr>
          <w:sz w:val="24"/>
          <w:lang w:val="hr-HR"/>
        </w:rPr>
      </w:pPr>
      <w:r w:rsidRPr="00F55B8B">
        <w:rPr>
          <w:rStyle w:val="FootnoteReference"/>
          <w:sz w:val="24"/>
          <w:lang w:val="hr-HR"/>
        </w:rPr>
        <w:footnoteRef/>
      </w:r>
      <w:r w:rsidR="00F55B8B" w:rsidRPr="00F55B8B">
        <w:rPr>
          <w:sz w:val="24"/>
          <w:lang w:val="hr-HR"/>
        </w:rPr>
        <w:t xml:space="preserve"> </w:t>
      </w:r>
      <w:r w:rsidR="00F55B8B" w:rsidRPr="00F55B8B">
        <w:rPr>
          <w:sz w:val="24"/>
          <w:lang w:val="hr-HR"/>
        </w:rPr>
        <w:tab/>
      </w:r>
      <w:r w:rsidRPr="00F55B8B">
        <w:rPr>
          <w:sz w:val="24"/>
          <w:lang w:val="hr-HR"/>
        </w:rPr>
        <w:t>SL C 214, 16.6.2023., str. </w:t>
      </w:r>
      <w:r w:rsidR="000F3F5E">
        <w:rPr>
          <w:sz w:val="24"/>
          <w:lang w:val="hr-HR"/>
        </w:rPr>
        <w:t>26</w:t>
      </w:r>
      <w:r w:rsidRPr="00F55B8B">
        <w:rPr>
          <w:sz w:val="24"/>
          <w:lang w:val="hr-HR"/>
        </w:rPr>
        <w:t>.</w:t>
      </w:r>
    </w:p>
  </w:footnote>
  <w:footnote w:id="4">
    <w:p w:rsidR="00FC65F5" w:rsidRPr="00F55B8B" w:rsidRDefault="00FC65F5" w:rsidP="00F55B8B">
      <w:pPr>
        <w:pStyle w:val="FootnoteText"/>
        <w:ind w:left="567" w:hanging="567"/>
        <w:rPr>
          <w:sz w:val="24"/>
          <w:lang w:val="hr-HR"/>
        </w:rPr>
      </w:pPr>
      <w:r w:rsidRPr="00F55B8B">
        <w:rPr>
          <w:rStyle w:val="FootnoteReference"/>
          <w:sz w:val="24"/>
          <w:lang w:val="hr-HR"/>
        </w:rPr>
        <w:footnoteRef/>
      </w:r>
      <w:r w:rsidR="00F55B8B" w:rsidRPr="00F55B8B">
        <w:rPr>
          <w:sz w:val="24"/>
          <w:lang w:val="hr-HR"/>
        </w:rPr>
        <w:t xml:space="preserve"> </w:t>
      </w:r>
      <w:r w:rsidR="00F55B8B" w:rsidRPr="00F55B8B">
        <w:rPr>
          <w:sz w:val="24"/>
          <w:lang w:val="hr-HR"/>
        </w:rPr>
        <w:tab/>
      </w:r>
      <w:r w:rsidRPr="00F55B8B">
        <w:rPr>
          <w:sz w:val="24"/>
          <w:lang w:val="hr-HR"/>
        </w:rPr>
        <w:t>SL C 214, 16.6.2023., str. 54.</w:t>
      </w:r>
    </w:p>
  </w:footnote>
  <w:footnote w:id="5">
    <w:p w:rsidR="00FC65F5" w:rsidRPr="002B1F02" w:rsidRDefault="00FC65F5" w:rsidP="00F55B8B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F55B8B">
        <w:rPr>
          <w:rStyle w:val="FootnoteReference"/>
          <w:sz w:val="24"/>
          <w:lang w:val="hr-HR"/>
        </w:rPr>
        <w:footnoteRef/>
      </w:r>
      <w:r w:rsidR="00F55B8B" w:rsidRPr="00F55B8B">
        <w:rPr>
          <w:sz w:val="24"/>
          <w:lang w:val="hr-HR"/>
        </w:rPr>
        <w:t xml:space="preserve"> </w:t>
      </w:r>
      <w:r w:rsidR="00F55B8B" w:rsidRPr="00F55B8B">
        <w:rPr>
          <w:sz w:val="24"/>
          <w:lang w:val="hr-HR"/>
        </w:rPr>
        <w:tab/>
      </w:r>
      <w:r w:rsidRPr="00F55B8B">
        <w:rPr>
          <w:sz w:val="24"/>
          <w:lang w:val="hr-HR"/>
        </w:rPr>
        <w:t>SL C 23, 21.1.2021., str. 16.</w:t>
      </w:r>
    </w:p>
  </w:footnote>
  <w:footnote w:id="6">
    <w:p w:rsidR="00FC65F5" w:rsidRPr="00F55B8B" w:rsidRDefault="00FC65F5" w:rsidP="00F55B8B">
      <w:pPr>
        <w:pStyle w:val="FootnoteText"/>
        <w:ind w:left="567" w:hanging="567"/>
        <w:rPr>
          <w:sz w:val="24"/>
          <w:lang w:val="hr-HR"/>
        </w:rPr>
      </w:pPr>
      <w:r w:rsidRPr="00F55B8B">
        <w:rPr>
          <w:rStyle w:val="FootnoteReference"/>
          <w:sz w:val="24"/>
          <w:lang w:val="hr-HR"/>
        </w:rPr>
        <w:footnoteRef/>
      </w:r>
      <w:r w:rsidR="00F55B8B" w:rsidRPr="00F55B8B">
        <w:rPr>
          <w:sz w:val="24"/>
          <w:lang w:val="hr-HR"/>
        </w:rPr>
        <w:t xml:space="preserve"> </w:t>
      </w:r>
      <w:r w:rsidR="00F55B8B" w:rsidRPr="00F55B8B">
        <w:rPr>
          <w:sz w:val="24"/>
          <w:lang w:val="hr-HR"/>
        </w:rPr>
        <w:tab/>
      </w:r>
      <w:r w:rsidRPr="00F55B8B">
        <w:rPr>
          <w:sz w:val="24"/>
          <w:lang w:val="hr-HR"/>
        </w:rPr>
        <w:t>Usvojeni tekstovi, P9_TA(2023)0316.</w:t>
      </w:r>
    </w:p>
  </w:footnote>
  <w:footnote w:id="7">
    <w:p w:rsidR="00FC65F5" w:rsidRPr="00F55B8B" w:rsidRDefault="00FC65F5" w:rsidP="00F55B8B">
      <w:pPr>
        <w:pStyle w:val="FootnoteText"/>
        <w:ind w:left="567" w:hanging="567"/>
        <w:rPr>
          <w:sz w:val="24"/>
          <w:lang w:val="hr-HR"/>
        </w:rPr>
      </w:pPr>
      <w:r w:rsidRPr="00F55B8B">
        <w:rPr>
          <w:rStyle w:val="FootnoteReference"/>
          <w:sz w:val="24"/>
          <w:lang w:val="hr-HR"/>
        </w:rPr>
        <w:footnoteRef/>
      </w:r>
      <w:r w:rsidR="00F55B8B" w:rsidRPr="00F55B8B">
        <w:rPr>
          <w:sz w:val="24"/>
          <w:lang w:val="hr-HR"/>
        </w:rPr>
        <w:t xml:space="preserve"> </w:t>
      </w:r>
      <w:r w:rsidR="00F55B8B" w:rsidRPr="00F55B8B">
        <w:rPr>
          <w:sz w:val="24"/>
          <w:lang w:val="hr-HR"/>
        </w:rPr>
        <w:tab/>
      </w:r>
      <w:r w:rsidRPr="00F55B8B">
        <w:rPr>
          <w:sz w:val="24"/>
          <w:lang w:val="hr-HR"/>
        </w:rPr>
        <w:t>SL C 298, 30.11.2002.,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5B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5B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5B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5/2023"/>
    <w:docVar w:name="dvlangue" w:val="HR"/>
    <w:docVar w:name="dvnumam" w:val="0"/>
    <w:docVar w:name="dvpe" w:val="753.617"/>
    <w:docVar w:name="dvrapporteur" w:val="Izvjestitelj: "/>
    <w:docVar w:name="dvtitre" w:val="Rezolucija Europskog parlamenta od .... 2024. o ulozi Europskog parlamenta i njegove parlamentarne diplomacije u vanjskoj i sigurnosnoj politici EU-a(2023/2105(INI))"/>
  </w:docVars>
  <w:rsids>
    <w:rsidRoot w:val="00CF691E"/>
    <w:rsid w:val="00002272"/>
    <w:rsid w:val="00064002"/>
    <w:rsid w:val="000677B9"/>
    <w:rsid w:val="000831BA"/>
    <w:rsid w:val="000A42CC"/>
    <w:rsid w:val="000E7DD9"/>
    <w:rsid w:val="000F3F5E"/>
    <w:rsid w:val="0010095E"/>
    <w:rsid w:val="00125B37"/>
    <w:rsid w:val="00187494"/>
    <w:rsid w:val="001F32AE"/>
    <w:rsid w:val="002767FF"/>
    <w:rsid w:val="002B18FE"/>
    <w:rsid w:val="002B1F02"/>
    <w:rsid w:val="002B5493"/>
    <w:rsid w:val="00343214"/>
    <w:rsid w:val="00361C00"/>
    <w:rsid w:val="00395FA1"/>
    <w:rsid w:val="003E15D4"/>
    <w:rsid w:val="00411CCE"/>
    <w:rsid w:val="0041666E"/>
    <w:rsid w:val="00421060"/>
    <w:rsid w:val="0044599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5EA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91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B8B"/>
    <w:rsid w:val="00F74202"/>
    <w:rsid w:val="00F87713"/>
    <w:rsid w:val="00FB4360"/>
    <w:rsid w:val="00FC65F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7649F2"/>
  <w15:chartTrackingRefBased/>
  <w15:docId w15:val="{21D18F7E-0D6A-4F97-837C-655A2E2C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C65F5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C65F5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C65F5"/>
    <w:pPr>
      <w:spacing w:after="240"/>
      <w:jc w:val="center"/>
    </w:pPr>
  </w:style>
  <w:style w:type="character" w:customStyle="1" w:styleId="BoldItalic">
    <w:name w:val="BoldItalic"/>
    <w:uiPriority w:val="1"/>
    <w:rsid w:val="00FC65F5"/>
    <w:rPr>
      <w:b/>
      <w:i/>
      <w:u w:val="none"/>
    </w:rPr>
  </w:style>
  <w:style w:type="character" w:customStyle="1" w:styleId="Italic">
    <w:name w:val="Italic"/>
    <w:uiPriority w:val="1"/>
    <w:rsid w:val="00FC65F5"/>
    <w:rPr>
      <w:i/>
    </w:rPr>
  </w:style>
  <w:style w:type="paragraph" w:customStyle="1" w:styleId="Normal12a24b">
    <w:name w:val="Normal12a24b"/>
    <w:basedOn w:val="Normal"/>
    <w:rsid w:val="00FC65F5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C65F5"/>
    <w:rPr>
      <w:snapToGrid w:val="0"/>
      <w:sz w:val="24"/>
      <w:lang w:val="hr-HR" w:eastAsia="en-US"/>
    </w:rPr>
  </w:style>
  <w:style w:type="character" w:styleId="Hyperlink">
    <w:name w:val="Hyperlink"/>
    <w:basedOn w:val="DefaultParagraphFont"/>
    <w:unhideWhenUsed/>
    <w:rsid w:val="00FC65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4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53893-E7C7-44D2-BA09-CA2CC0062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3896</Words>
  <Characters>24455</Characters>
  <Application>Microsoft Office Word</Application>
  <DocSecurity>0</DocSecurity>
  <Lines>203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2024-02-15T08:05:00Z</dcterms:created>
  <dcterms:modified xsi:type="dcterms:W3CDTF">2024-02-15T08:05:00Z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A9-0405/2023</vt:lpwstr>
  </property>
  <property fmtid="{D5CDD505-2E9C-101B-9397-08002B2CF9AE}" pid="4" name="&lt;Type&gt;">
    <vt:lpwstr>RR</vt:lpwstr>
  </property>
</Properties>
</file>