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0C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0C3E" w:rsidRDefault="00A17875" w:rsidP="0010095E">
            <w:pPr>
              <w:pStyle w:val="EPName"/>
            </w:pPr>
            <w:r w:rsidRPr="00A10C3E">
              <w:t>Parlamento europeo</w:t>
            </w:r>
          </w:p>
          <w:p w:rsidR="00751A4A" w:rsidRPr="00A10C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C3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10C3E" w:rsidRDefault="00187494" w:rsidP="0010095E">
            <w:pPr>
              <w:pStyle w:val="EPLogo"/>
            </w:pPr>
            <w:r w:rsidRPr="00A10C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0C3E" w:rsidRDefault="00D058B8" w:rsidP="004C5D52">
      <w:pPr>
        <w:pStyle w:val="LineTop"/>
      </w:pPr>
    </w:p>
    <w:p w:rsidR="00680577" w:rsidRPr="00A10C3E" w:rsidRDefault="00A17875" w:rsidP="00680577">
      <w:pPr>
        <w:pStyle w:val="EPBodyTA1"/>
      </w:pPr>
      <w:r w:rsidRPr="00A10C3E">
        <w:t>TESTI APPROVATI</w:t>
      </w:r>
    </w:p>
    <w:p w:rsidR="00D058B8" w:rsidRPr="00A10C3E" w:rsidRDefault="00D058B8" w:rsidP="00D058B8">
      <w:pPr>
        <w:pStyle w:val="LineBottom"/>
      </w:pPr>
    </w:p>
    <w:p w:rsidR="00A17875" w:rsidRPr="00A10C3E" w:rsidRDefault="00A17875" w:rsidP="00A17875">
      <w:pPr>
        <w:pStyle w:val="ATHeading1"/>
      </w:pPr>
      <w:bookmarkStart w:id="0" w:name="TANumber"/>
      <w:r w:rsidRPr="00A10C3E">
        <w:t>P9_TA(2024)00</w:t>
      </w:r>
      <w:r w:rsidR="00403D64" w:rsidRPr="00A10C3E">
        <w:t>13</w:t>
      </w:r>
      <w:bookmarkEnd w:id="0"/>
    </w:p>
    <w:p w:rsidR="00A17875" w:rsidRPr="00A10C3E" w:rsidRDefault="00A17875" w:rsidP="00A17875">
      <w:pPr>
        <w:pStyle w:val="ATHeading2"/>
      </w:pPr>
      <w:bookmarkStart w:id="1" w:name="title"/>
      <w:r w:rsidRPr="00A10C3E">
        <w:t>Ruolo del Parlamento europeo e della sua diplomazia parlamentare nella politica estera e di sicurezza dell'UE</w:t>
      </w:r>
      <w:bookmarkEnd w:id="1"/>
    </w:p>
    <w:p w:rsidR="00A17875" w:rsidRPr="00A10C3E" w:rsidRDefault="00A17875" w:rsidP="00A17875">
      <w:pPr>
        <w:rPr>
          <w:i/>
          <w:vanish/>
        </w:rPr>
      </w:pPr>
      <w:r w:rsidRPr="00A10C3E">
        <w:rPr>
          <w:i/>
        </w:rPr>
        <w:fldChar w:fldCharType="begin"/>
      </w:r>
      <w:r w:rsidRPr="00A10C3E">
        <w:rPr>
          <w:i/>
        </w:rPr>
        <w:instrText xml:space="preserve"> TC"(</w:instrText>
      </w:r>
      <w:bookmarkStart w:id="2" w:name="DocNumber"/>
      <w:r w:rsidRPr="00A10C3E">
        <w:rPr>
          <w:i/>
        </w:rPr>
        <w:instrText>A9-0405/2023</w:instrText>
      </w:r>
      <w:bookmarkEnd w:id="2"/>
      <w:r w:rsidRPr="00A10C3E">
        <w:rPr>
          <w:i/>
        </w:rPr>
        <w:instrText xml:space="preserve"> - Relatore: Jordi Solé)"\l3 \n&gt; \* MERGEFORMAT </w:instrText>
      </w:r>
      <w:r w:rsidRPr="00A10C3E">
        <w:rPr>
          <w:i/>
        </w:rPr>
        <w:fldChar w:fldCharType="end"/>
      </w:r>
    </w:p>
    <w:p w:rsidR="00A17875" w:rsidRPr="00A10C3E" w:rsidRDefault="00A17875" w:rsidP="00A17875">
      <w:pPr>
        <w:rPr>
          <w:vanish/>
        </w:rPr>
      </w:pPr>
      <w:bookmarkStart w:id="3" w:name="Commission"/>
      <w:r w:rsidRPr="00A10C3E">
        <w:rPr>
          <w:vanish/>
        </w:rPr>
        <w:t>Commissione per gli affari esteri</w:t>
      </w:r>
      <w:bookmarkEnd w:id="3"/>
    </w:p>
    <w:p w:rsidR="00A17875" w:rsidRPr="00A10C3E" w:rsidRDefault="00A17875" w:rsidP="00A17875">
      <w:pPr>
        <w:rPr>
          <w:vanish/>
        </w:rPr>
      </w:pPr>
      <w:bookmarkStart w:id="4" w:name="PE"/>
      <w:r w:rsidRPr="00A10C3E">
        <w:rPr>
          <w:vanish/>
        </w:rPr>
        <w:t>PE753.617</w:t>
      </w:r>
      <w:bookmarkEnd w:id="4"/>
    </w:p>
    <w:p w:rsidR="00A17875" w:rsidRPr="00A10C3E" w:rsidRDefault="00A17875" w:rsidP="00A17875">
      <w:pPr>
        <w:pStyle w:val="ATHeading3"/>
      </w:pPr>
      <w:bookmarkStart w:id="5" w:name="Sujet"/>
      <w:r w:rsidRPr="00A10C3E">
        <w:t xml:space="preserve">Risoluzione del Parlamento europeo del </w:t>
      </w:r>
      <w:r w:rsidR="00403D64" w:rsidRPr="00A10C3E">
        <w:t>16</w:t>
      </w:r>
      <w:r w:rsidRPr="00A10C3E">
        <w:t xml:space="preserve"> gennaio 2024 sul ruolo del Parlamento europeo e della sua diplomazia parlamentare nella politica estera e di sicurezza dell'UE</w:t>
      </w:r>
      <w:bookmarkEnd w:id="5"/>
      <w:r w:rsidRPr="00A10C3E">
        <w:t xml:space="preserve"> </w:t>
      </w:r>
      <w:bookmarkStart w:id="6" w:name="References"/>
      <w:r w:rsidRPr="00A10C3E">
        <w:t>(2023/2105(INI))</w:t>
      </w:r>
      <w:bookmarkEnd w:id="6"/>
    </w:p>
    <w:p w:rsidR="00041CC4" w:rsidRPr="00A10C3E" w:rsidRDefault="00041CC4" w:rsidP="00041CC4">
      <w:pPr>
        <w:pStyle w:val="EPComma"/>
      </w:pPr>
      <w:bookmarkStart w:id="7" w:name="TextBodyBegin"/>
      <w:bookmarkEnd w:id="7"/>
      <w:r w:rsidRPr="00A10C3E">
        <w:rPr>
          <w:i/>
        </w:rPr>
        <w:t>Il Parlamento europeo</w:t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visti l'articolo 14, paragrafo 1, e gli articoli 21 e 36 del trattato sull'Unione europea (TUE),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dichiarazione in data 20 luglio 2010 del vicepresidente della Commissione/alto rappresentante dell'Unione per gli affari esteri e la politica di sicurezza (VP/AR) sulla responsabilità politica,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viste le conclusioni del Consiglio del 28 giugno 2016 che adottano la relazione dal titolo "Shared Vision, Common Action: A Stronger Europe – A Global Strategy for the European Union's Foreign and Security Policy" (Visione condivisa, azione comune: Un'Europa più forte – Una strategia globale per la politica estera e di sicurezza dell'Unione europea),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comunicazione congiunta della Commissione e dell'alto rappresentante dell'Unione per gli affari esteri e la politica di sicurezza, del 25 marzo 2020, dal titolo "Piano d'azione dell'UE per i diritti umani e la democrazia 2020-2024" (JOIN(2020)0005),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"Bussola strategica per la sicurezza e la difesa – Per un'Unione europea che protegge i suoi cittadini, i suoi valori e i suoi interessi e contribuisce alla pace e alla sicurezza internazionali", adottata il 21 marzo 2022,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comunicazione congiunta della Commissione e dell'alto rappresentante dell'Unione per gli affari esteri e la politica di sicurezza, del 25 novembre 2020, dal titolo "Piano d'azione dell'Unione europea sulla parità di genere III - Un'agenda ambiziosa per la parità di genere e l'emancipazione femminile nell'azione esterna dell'UE" (JOIN(2020)0017),</w:t>
      </w:r>
    </w:p>
    <w:p w:rsidR="00041CC4" w:rsidRPr="00A10C3E" w:rsidRDefault="00041CC4" w:rsidP="00041CC4">
      <w:pPr>
        <w:pStyle w:val="NormalHanging12a"/>
      </w:pPr>
      <w:r w:rsidRPr="00A10C3E">
        <w:lastRenderedPageBreak/>
        <w:t>–</w:t>
      </w:r>
      <w:r w:rsidRPr="00A10C3E">
        <w:tab/>
        <w:t>vista la decisione del Consiglio 2010/427/UE, del 26 luglio 2010, che fissa l'organizzazione e il funzionamento del Servizio europeo per l'azione esterna</w:t>
      </w:r>
      <w:r w:rsidRPr="00A10C3E">
        <w:rPr>
          <w:rStyle w:val="FootnoteReference"/>
        </w:rPr>
        <w:footnoteReference w:id="1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visto il paragrafo 34 della dichiarazione del vertice del 2023 tra l'UE e la Comunità degli Stati latinoamericani e caraibici, del 18 luglio 2023, che riconosce la diplomazia parlamentare come una dimensione importante della relazione,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sua raccomandazione del 15 marzo 2023 al Consiglio e al vicepresidente della Commissione/alto rappresentante dell'Unione per gli affari esteri e la politica di sicurezza contenente un bilancio del funzionamento del SEAE e a favore di un'UE più forte a livello mondiale</w:t>
      </w:r>
      <w:r w:rsidRPr="00A10C3E">
        <w:rPr>
          <w:rStyle w:val="FootnoteReference"/>
        </w:rPr>
        <w:footnoteReference w:id="2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sua risoluzione del 18 gennaio 2023 sull'attuazione della politica estera e di sicurezza comune – relazione annuale 2022</w:t>
      </w:r>
      <w:r w:rsidRPr="00A10C3E">
        <w:rPr>
          <w:rStyle w:val="FootnoteReference"/>
        </w:rPr>
        <w:footnoteReference w:id="3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sua risoluzione del 18 gennaio 2023 sull'attuazione della politica di sicurezza e di difesa comune - relazione annuale 2022</w:t>
      </w:r>
      <w:r w:rsidRPr="00A10C3E">
        <w:rPr>
          <w:rStyle w:val="FootnoteReference"/>
        </w:rPr>
        <w:footnoteReference w:id="4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sua risoluzione del 12 marzo 2019 sul tema "Costruire una capacità dell'Unione in materia di prevenzione dei conflitti e di mediazione"</w:t>
      </w:r>
      <w:r w:rsidRPr="00A10C3E">
        <w:rPr>
          <w:rStyle w:val="FootnoteReference"/>
        </w:rPr>
        <w:footnoteReference w:id="5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sua decisione del 13 settembre 2023 sulle modifiche al regolamento del Parlamento al fine di rafforzare l'integrità, l'indipendenza e la responsabilità</w:t>
      </w:r>
      <w:r w:rsidRPr="00A10C3E">
        <w:rPr>
          <w:rStyle w:val="FootnoteReference"/>
        </w:rPr>
        <w:footnoteReference w:id="6"/>
      </w:r>
      <w:r w:rsidRPr="00A10C3E">
        <w:t>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visto l'articolo 54 del suo regolamento,</w:t>
      </w:r>
    </w:p>
    <w:p w:rsidR="00041CC4" w:rsidRPr="00A10C3E" w:rsidRDefault="00041CC4" w:rsidP="00041CC4">
      <w:pPr>
        <w:pStyle w:val="NormalHanging12a"/>
      </w:pPr>
      <w:r w:rsidRPr="00A10C3E">
        <w:t>–</w:t>
      </w:r>
      <w:r w:rsidRPr="00A10C3E">
        <w:tab/>
        <w:t>vista la relazione della commissione per gli affari esteri (A9-0405/2023),</w:t>
      </w:r>
    </w:p>
    <w:p w:rsidR="00041CC4" w:rsidRPr="00A10C3E" w:rsidRDefault="00041CC4" w:rsidP="00041CC4">
      <w:pPr>
        <w:pStyle w:val="NormalHanging12a"/>
      </w:pPr>
      <w:r w:rsidRPr="00A10C3E">
        <w:t>A.</w:t>
      </w:r>
      <w:r w:rsidRPr="00A10C3E">
        <w:tab/>
        <w:t>considerando che il ruolo del Parlamento di colegislatore e co-autorità di bilancio non riguarda soltanto le politiche interne dell'UE ma anche, in larga parte, l'azione esterna dell'Unione;</w:t>
      </w:r>
    </w:p>
    <w:p w:rsidR="00041CC4" w:rsidRPr="00A10C3E" w:rsidRDefault="00041CC4" w:rsidP="00041CC4">
      <w:pPr>
        <w:pStyle w:val="NormalHanging12a"/>
      </w:pPr>
      <w:r w:rsidRPr="00A10C3E">
        <w:t>B.</w:t>
      </w:r>
      <w:r w:rsidRPr="00A10C3E">
        <w:tab/>
        <w:t>considerando che l'articolo 36 TUE impone al VP/AR di consultare regolarmente il Parlamento europeo sui principali aspetti e sulle scelte adottate nel quadro della politica estera e di sicurezza comune (PESC) e di informarlo in merito all'evoluzione di tali politiche;</w:t>
      </w:r>
    </w:p>
    <w:p w:rsidR="00041CC4" w:rsidRPr="00A10C3E" w:rsidRDefault="00041CC4" w:rsidP="00041CC4">
      <w:pPr>
        <w:pStyle w:val="NormalHanging12a"/>
      </w:pPr>
      <w:r w:rsidRPr="00A10C3E">
        <w:t>C.</w:t>
      </w:r>
      <w:r w:rsidRPr="00A10C3E">
        <w:tab/>
        <w:t>considerando che è necessaria l'approvazione del Parlamento ai fini dell'entrata in vigore della maggior parte degli accordi internazionali; che l'articolo 218, paragrafo 10, del Trattato sul funzionamento dell'Unione europea prevede che il Parlamento europeo sia "immediatamente e pienamente informato in tutte le fasi della procedura" in relazione alla negoziazione di tali accordi;</w:t>
      </w:r>
    </w:p>
    <w:p w:rsidR="00041CC4" w:rsidRPr="00A10C3E" w:rsidRDefault="00041CC4" w:rsidP="00041CC4">
      <w:pPr>
        <w:pStyle w:val="NormalHanging12a"/>
      </w:pPr>
      <w:r w:rsidRPr="00A10C3E">
        <w:t>D.</w:t>
      </w:r>
      <w:r w:rsidRPr="00A10C3E">
        <w:tab/>
        <w:t xml:space="preserve">considerando che il Parlamento controlla e discute la conduzione degli affari esterni dell'UE, in particolare attraverso i lavori della sua commissione per gli affari esteri e </w:t>
      </w:r>
      <w:r w:rsidRPr="00A10C3E">
        <w:lastRenderedPageBreak/>
        <w:t>delle sue due sottocommissioni per i diritti dell'uomo e per la sicurezza e la difesa, nonché tramite la commissione per il commercio internazionale e la commissione per lo sviluppo; che suddetta funzione di controllo comprende le questioni relative all'adozione, all'attuazione e alla revisione delle strategie tematiche, regionali e nazionali dell'UE e di altri documenti politici, come il piano d'azione dell'Unione europea sulla parità di genere, nonché l'assistenza finanziaria e le nomine ad alte cariche all'interno della rappresentanza esterna dell'UE;</w:t>
      </w:r>
    </w:p>
    <w:p w:rsidR="00041CC4" w:rsidRPr="00A10C3E" w:rsidRDefault="00041CC4" w:rsidP="00041CC4">
      <w:pPr>
        <w:pStyle w:val="NormalHanging12a"/>
      </w:pPr>
      <w:r w:rsidRPr="00A10C3E">
        <w:t>E.</w:t>
      </w:r>
      <w:r w:rsidRPr="00A10C3E">
        <w:tab/>
        <w:t>considerando che il Parlamento, quale unica istituzione dell'UE direttamente eletta dai cittadini, tiene discussioni pubbliche in seduta plenaria e nelle commissioni e che adotta relazioni e risoluzioni legate alla politica estera e di sicurezza comune e alla situazione nei paesi terzi, soprattutto per quanto concerne i diritti umani, e pertanto contribuisce a sensibilizzare l'opinione pubblica e a stimolare il dibattito, sia all'interno dell'UE che nei paesi interessati; che tali relazioni e risoluzioni contribuiscono agli sviluppi normativi in tutto il mondo e sono oggetto di un attento controllo da parte di attori di paesi terzi, compresi i governi, i parlamenti e i rappresentanti della società civile e dei media, e possono generare reazioni e ripercussioni in tali paesi;</w:t>
      </w:r>
    </w:p>
    <w:p w:rsidR="00041CC4" w:rsidRPr="00A10C3E" w:rsidRDefault="00041CC4" w:rsidP="00041CC4">
      <w:pPr>
        <w:pStyle w:val="NormalHanging12a"/>
      </w:pPr>
      <w:r w:rsidRPr="00A10C3E">
        <w:t>F.</w:t>
      </w:r>
      <w:r w:rsidRPr="00A10C3E">
        <w:tab/>
        <w:t>considerando che il Parlamento dispone di una rete unica di 45 delegazioni permanenti che mantengono e approfondiscono le relazioni con altri parlamenti di paesi, regioni e organizzazioni non appartenenti all'UE; che tali organismi costituiscono spesso la dimensione parlamentare degli accordi bilaterali dell'UE con tali paesi;</w:t>
      </w:r>
    </w:p>
    <w:p w:rsidR="00041CC4" w:rsidRPr="00A10C3E" w:rsidRDefault="00041CC4" w:rsidP="00041CC4">
      <w:pPr>
        <w:pStyle w:val="NormalHanging12a"/>
      </w:pPr>
      <w:r w:rsidRPr="00A10C3E">
        <w:t>G.</w:t>
      </w:r>
      <w:r w:rsidRPr="00A10C3E">
        <w:tab/>
        <w:t>considerando che il ruolo del Parlamento di stabilire il bilancio annuale dell'Unione è fondamentale per il sostegno alle nazioni per le quali è più necessario superare le sfide di sviluppo a lungo termine mediante lo strumento di vicinato, cooperazione allo sviluppo e cooperazione internazionale – Europa globale e per la risposta in caso di disastro ed emergenza, in particolare tramite il rafforzamento degli aiuti umanitari;</w:t>
      </w:r>
    </w:p>
    <w:p w:rsidR="00041CC4" w:rsidRPr="00A10C3E" w:rsidRDefault="00041CC4" w:rsidP="00041CC4">
      <w:pPr>
        <w:pStyle w:val="NormalHanging12a"/>
      </w:pPr>
      <w:r w:rsidRPr="00A10C3E">
        <w:t>H.</w:t>
      </w:r>
      <w:r w:rsidRPr="00A10C3E">
        <w:tab/>
        <w:t>considerando che la promozione della parità di genere è un obiettivo della politica esterna dell'UE; che tutti gli Stati membri dell'UE e il Parlamento europeo si sono impegnati ad attuare la risoluzione 1325 (2000) del Consiglio di sicurezza delle Nazioni Unite sulle donne, la pace e la sicurezza;</w:t>
      </w:r>
    </w:p>
    <w:p w:rsidR="00041CC4" w:rsidRPr="00A10C3E" w:rsidRDefault="00041CC4" w:rsidP="00041CC4">
      <w:pPr>
        <w:pStyle w:val="NormalHanging12a"/>
      </w:pPr>
      <w:r w:rsidRPr="00A10C3E">
        <w:t>I.</w:t>
      </w:r>
      <w:r w:rsidRPr="00A10C3E">
        <w:tab/>
        <w:t>considerando che il Parlamento europeo è diventato uno dei parlamenti più attivi in termini di attività diplomatica parlamentare e di risorse ad essa dedicate; che la diplomazia parlamentare contribuisce al conseguimento degli obiettivi dell'UE e alla promozione dei valori, degli interessi e delle politiche dell'UE, anche a livello multilaterale, e che, in tal modo, apporta un valore aggiunto incentivando un'azione esterna dell'UE più coerente e coesa; che la diplomazia parlamentare può migliorare la comunicazione strategica, la visibilità e l'efficacia delle decisioni e ad adottare misure nell'ambito della PESC e della politica di sicurezza e di difesa comune (PSDC) dell'UE;</w:t>
      </w:r>
    </w:p>
    <w:p w:rsidR="00041CC4" w:rsidRPr="00A10C3E" w:rsidRDefault="00041CC4" w:rsidP="00041CC4">
      <w:pPr>
        <w:pStyle w:val="NormalHanging12a"/>
      </w:pPr>
      <w:r w:rsidRPr="00A10C3E">
        <w:t>J.</w:t>
      </w:r>
      <w:r w:rsidRPr="00A10C3E">
        <w:tab/>
        <w:t>considerando che, tramite la diplomazia parlamentare, il Parlamento dialoga con leader mondiali, funzionari eletti, rappresentanti dei governi e diplomatici, istituzioni pubbliche, organizzazioni e rappresentanti della società civile, anche di popolazioni vulnerabili e a rischio, e altre parti interessate di paesi terzi e istituzioni multilaterali su base continuativa, in particolare attraverso il lavoro delle sue delegazioni e commissioni, anche attraverso l'organizzazione di audizioni l'adozione di relazioni e risoluzioni e lo svolgimento di visite nei paesi;</w:t>
      </w:r>
    </w:p>
    <w:p w:rsidR="00041CC4" w:rsidRPr="00A10C3E" w:rsidRDefault="00041CC4" w:rsidP="00041CC4">
      <w:pPr>
        <w:pStyle w:val="NormalHanging12a"/>
      </w:pPr>
      <w:r w:rsidRPr="00A10C3E">
        <w:lastRenderedPageBreak/>
        <w:t>K.</w:t>
      </w:r>
      <w:r w:rsidRPr="00A10C3E">
        <w:tab/>
        <w:t>considerando che l'articolo 36 TUE incarica il vicepresidente/alto rappresentante di comparire dinanzi al Parlamento almeno due volte all'anno per riferire sulla situazione attuale in merito alla PESC/PSDC e per rispondere alle domande; che è necessario aggiornare l'accordo interistituzionale del 20 novembre 2002 tra il Parlamento europeo e il Consiglio relativo all'accesso da parte del Parlamento europeo alle informazioni sensibili del Consiglio nel settore della politica di sicurezza e di difesa</w:t>
      </w:r>
      <w:r w:rsidRPr="00A10C3E">
        <w:rPr>
          <w:rStyle w:val="FootnoteReference"/>
        </w:rPr>
        <w:footnoteReference w:id="7"/>
      </w:r>
      <w:r w:rsidRPr="00A10C3E">
        <w:t>;</w:t>
      </w:r>
    </w:p>
    <w:p w:rsidR="00041CC4" w:rsidRPr="00A10C3E" w:rsidRDefault="00041CC4" w:rsidP="00041CC4">
      <w:pPr>
        <w:pStyle w:val="NormalHanging12a"/>
      </w:pPr>
      <w:r w:rsidRPr="00A10C3E">
        <w:t>L.</w:t>
      </w:r>
      <w:r w:rsidRPr="00A10C3E">
        <w:tab/>
        <w:t xml:space="preserve">considerando che il gruppo per il sostegno alla democrazia e il coordinamento elettorale del Parlamento, presieduto dal presidente della commissione per gli affari esteri e dal presidente della commissione per lo sviluppo, e che include deputati al Parlamento di ogni orientamento politico, supervisiona l'impegno del Parlamento a supporto della democrazia oltre i confini dell'UE, anche in termini di osservazione elettorale, mediazione e dialogo; che, attraverso il dialogo Jean Monnet per la pace e la democrazia, il Parlamento riunisce i leader politici non europei nell'intento di promuovere la comunicazione tra le parti e il raggiungimento di un consenso; che i membri del Parlamento possono agire in qualità di rappresentanti speciali e mediatori per la prevenzione dei conflitti in talune situazioni di forte tensione in tutto il mondo; </w:t>
      </w:r>
    </w:p>
    <w:p w:rsidR="00041CC4" w:rsidRPr="00A10C3E" w:rsidRDefault="00041CC4" w:rsidP="00041CC4">
      <w:pPr>
        <w:pStyle w:val="NormalHanging12a"/>
      </w:pPr>
      <w:r w:rsidRPr="00A10C3E">
        <w:t>M.</w:t>
      </w:r>
      <w:r w:rsidRPr="00A10C3E">
        <w:tab/>
        <w:t xml:space="preserve">considerando che il Parlamento europeo assiste i parlamenti nazionali e le assemblee regionali internazionali al di là dei confini dell'UE al fine di migliorare la loro capacità istituzionale; che ha instaurato un dialogo costante con tali legislatori e scambia regolarmente le migliori pratiche; </w:t>
      </w:r>
    </w:p>
    <w:p w:rsidR="00041CC4" w:rsidRPr="00A10C3E" w:rsidRDefault="00041CC4" w:rsidP="00041CC4">
      <w:pPr>
        <w:pStyle w:val="NormalHanging12a"/>
      </w:pPr>
      <w:r w:rsidRPr="00A10C3E">
        <w:t>N.</w:t>
      </w:r>
      <w:r w:rsidRPr="00A10C3E">
        <w:tab/>
        <w:t>considerando che il Parlamento è un osservatore elettorale riconosciuto a livello internazionale; che le delegazioni del Parlamento che si occupano di osservazione elettorale sono impegnate in missioni per l'osservazione elettorale nell'UE o in missioni per l'osservazione elettorale internazionale;</w:t>
      </w:r>
    </w:p>
    <w:p w:rsidR="00041CC4" w:rsidRPr="00A10C3E" w:rsidRDefault="00041CC4" w:rsidP="00041CC4">
      <w:pPr>
        <w:pStyle w:val="NormalHanging12a"/>
      </w:pPr>
      <w:r w:rsidRPr="00A10C3E">
        <w:t>O.</w:t>
      </w:r>
      <w:r w:rsidRPr="00A10C3E">
        <w:tab/>
        <w:t>considerando che i gruppi politici e i singoli membri del Parlamento godono di una densa e variegata rete di contatti con i partiti politici, i parlamentari, i funzionari governativi e parti interessate del settore privato e della società civile dei paesi terzi, soprattutto quelli in fase di adesione all'UE e i paesi confinanti;</w:t>
      </w:r>
    </w:p>
    <w:p w:rsidR="00041CC4" w:rsidRPr="00A10C3E" w:rsidRDefault="00041CC4" w:rsidP="00041CC4">
      <w:pPr>
        <w:pStyle w:val="NormalHanging12a"/>
      </w:pPr>
      <w:r w:rsidRPr="00A10C3E">
        <w:t>P.</w:t>
      </w:r>
      <w:r w:rsidRPr="00A10C3E">
        <w:tab/>
        <w:t>considerando che, oltre agli Uffici di collegamento del Parlamento europeo al di fuori dell'UE a Londra e a Washington, il Parlamento dispone di uffici antenna presso le Nazioni Unite a New York, presso l'Unione africana ad Addis Abeba e presso l'Associazione delle nazioni del Sud-Est asiatico a Giacarta, che hanno l'obiettivo di rafforzare la cooperazione parlamentare con tali organizzazioni multilaterali;</w:t>
      </w:r>
    </w:p>
    <w:p w:rsidR="00041CC4" w:rsidRPr="00A10C3E" w:rsidRDefault="00041CC4" w:rsidP="00041CC4">
      <w:pPr>
        <w:pStyle w:val="NormalHanging12a"/>
      </w:pPr>
      <w:r w:rsidRPr="00A10C3E">
        <w:t>Q.</w:t>
      </w:r>
      <w:r w:rsidRPr="00A10C3E">
        <w:tab/>
        <w:t>considerando che l'articolo 5, paragrafo 7 della decisione del Consiglio 2010/427/UE afferma che "Le delegazioni dell'Unione hanno la capacità di rispondere alle esigenze di altre istituzioni dell'Unione, in particolare il Parlamento europeo, nei loro contatti con le organizzazioni internazionali o i paesi terzi presso cui le delegazioni sono accreditate";</w:t>
      </w:r>
    </w:p>
    <w:p w:rsidR="00041CC4" w:rsidRPr="00A10C3E" w:rsidRDefault="00041CC4" w:rsidP="00041CC4">
      <w:pPr>
        <w:pStyle w:val="Normal12a24b"/>
      </w:pPr>
      <w:r w:rsidRPr="00A10C3E">
        <w:rPr>
          <w:rStyle w:val="BoldItalic"/>
        </w:rPr>
        <w:t>Rafforzare la diplomazia parlamentare</w:t>
      </w:r>
    </w:p>
    <w:p w:rsidR="00041CC4" w:rsidRPr="00A10C3E" w:rsidRDefault="00041CC4" w:rsidP="00041CC4">
      <w:pPr>
        <w:pStyle w:val="NormalHanging12a"/>
      </w:pPr>
      <w:r w:rsidRPr="00A10C3E">
        <w:t>1.</w:t>
      </w:r>
      <w:r w:rsidRPr="00A10C3E">
        <w:tab/>
        <w:t xml:space="preserve">si compiace del crescente ruolo del Parlamento nell'azione esterna dell'UE, che si è evoluto gradualmente in un ruolo sostanziale, combinando i suoi poteri legislativi, di </w:t>
      </w:r>
      <w:r w:rsidRPr="00A10C3E">
        <w:lastRenderedPageBreak/>
        <w:t>bilancio e di controllo con molteplici forme di dialogo pubblico e silente con organizzazioni internazionali, paesi, società e individui esterni all'UE;</w:t>
      </w:r>
    </w:p>
    <w:p w:rsidR="00041CC4" w:rsidRPr="00A10C3E" w:rsidRDefault="00041CC4" w:rsidP="00041CC4">
      <w:pPr>
        <w:pStyle w:val="NormalHanging12a"/>
      </w:pPr>
      <w:r w:rsidRPr="00A10C3E">
        <w:t>2.</w:t>
      </w:r>
      <w:r w:rsidRPr="00A10C3E">
        <w:tab/>
        <w:t>sottolinea il ruolo e il valore particolari della diplomazia parlamentare dell'UE per quanto concerne l'integrazione e il rafforzamento della visibilità e dell'impatto della politica estera e di sicurezza dell'UE, congiuntamente al Servizio europeo per l'azione esterna (SEAE), alla Commissione e ai servizi e ai parlamenti diplomatici degli Stati membri, preservando al contempo l'autonomia del Parlamento;</w:t>
      </w:r>
    </w:p>
    <w:p w:rsidR="00041CC4" w:rsidRPr="00A10C3E" w:rsidRDefault="00041CC4" w:rsidP="00041CC4">
      <w:pPr>
        <w:pStyle w:val="NormalHanging12a"/>
      </w:pPr>
      <w:r w:rsidRPr="00A10C3E">
        <w:t>3.</w:t>
      </w:r>
      <w:r w:rsidRPr="00A10C3E">
        <w:tab/>
        <w:t>sottolinea l'importanza della diplomazia parlamentare come strumento per raggiungere portatori di interessi diversificati nei paesi partner e nei paesi terzi, allo scopo di aumentare la consapevolezza sulla legislazione e le posizioni dell'Unione, per comprendere meglio le percezioni, gli effetti e le conseguenze di tali legislazione e posizioni su tali paesi e stringere alleanze tra pari e collaborazioni solide in un contesto internazionale sempre più complesso e multipolare;</w:t>
      </w:r>
    </w:p>
    <w:p w:rsidR="00041CC4" w:rsidRPr="00A10C3E" w:rsidRDefault="00041CC4" w:rsidP="00041CC4">
      <w:pPr>
        <w:pStyle w:val="NormalHanging12a"/>
      </w:pPr>
      <w:r w:rsidRPr="00A10C3E">
        <w:t>4.</w:t>
      </w:r>
      <w:r w:rsidRPr="00A10C3E">
        <w:tab/>
        <w:t>deplora il fatto che, nonostante contribuisca chiaramente al conseguimento degli obiettivi di politica estera e di sicurezza dell'UE, nonché il valore aggiunto e la complementarietà della diplomazia parlamentare, il Parlamento non sia ancora pienamente riconosciuto dalla Commissione, dal Consiglio e dal SEAE quale attore a pieno titolo dell'approccio "Team Europa";</w:t>
      </w:r>
    </w:p>
    <w:p w:rsidR="00041CC4" w:rsidRPr="00A10C3E" w:rsidRDefault="00041CC4" w:rsidP="00041CC4">
      <w:pPr>
        <w:pStyle w:val="NormalHanging12a"/>
      </w:pPr>
      <w:r w:rsidRPr="00A10C3E">
        <w:t>5.</w:t>
      </w:r>
      <w:r w:rsidRPr="00A10C3E">
        <w:tab/>
        <w:t>ritiene che il Parlamento disponga di un grande potenziale non ancora sfruttato per sviluppare ulteriormente il suo ruolo diplomatico e il suo contributo al conseguimento degli obiettivi di politica estera e di sicurezza dell'UE;</w:t>
      </w:r>
    </w:p>
    <w:p w:rsidR="00041CC4" w:rsidRPr="00A10C3E" w:rsidRDefault="00041CC4" w:rsidP="00041CC4">
      <w:pPr>
        <w:pStyle w:val="Normal12a24b"/>
      </w:pPr>
      <w:r w:rsidRPr="00A10C3E">
        <w:rPr>
          <w:rStyle w:val="BoldItalic"/>
        </w:rPr>
        <w:t>Strumenti, mezzi e valori della diplomazia parlamentare</w:t>
      </w:r>
    </w:p>
    <w:p w:rsidR="00041CC4" w:rsidRPr="00A10C3E" w:rsidRDefault="00041CC4" w:rsidP="00041CC4">
      <w:pPr>
        <w:pStyle w:val="NormalHanging12a"/>
      </w:pPr>
      <w:r w:rsidRPr="00A10C3E">
        <w:t>6.</w:t>
      </w:r>
      <w:r w:rsidRPr="00A10C3E">
        <w:tab/>
        <w:t>sottolinea il contributo specifico, dinamico e pubblico che il Parlamento apporta alla politica estera e di sicurezza dell'UE alla lotta contro le sfide globali attraverso il lavoro delle sue commissioni che si occupano di affari esterni, incluse le sottocommissioni per i diritti dell'uomo e per la sicurezza e la difesa, e che contribuiscono alle relazioni con i paesi terzi, le organizzazioni internazionali e la società civile a livello mondiale;</w:t>
      </w:r>
    </w:p>
    <w:p w:rsidR="00041CC4" w:rsidRPr="00A10C3E" w:rsidRDefault="00041CC4" w:rsidP="00041CC4">
      <w:pPr>
        <w:pStyle w:val="NormalHanging12a"/>
      </w:pPr>
      <w:r w:rsidRPr="00A10C3E">
        <w:t>7.</w:t>
      </w:r>
      <w:r w:rsidRPr="00A10C3E">
        <w:tab/>
        <w:t>sottolinea che le delegazioni permanenti svolgono un lavoro importante e complementare rispetto a quello delle commissioni in quanto costituiscono un consesso regolare e continuativo per il dialogo politico con i paesi terzi e le organizzazioni internazionali, anche tramite organi parlamentari misti e assemblee multilaterali;</w:t>
      </w:r>
    </w:p>
    <w:p w:rsidR="00041CC4" w:rsidRPr="00A10C3E" w:rsidRDefault="00041CC4" w:rsidP="00041CC4">
      <w:pPr>
        <w:pStyle w:val="NormalHanging12a"/>
      </w:pPr>
      <w:r w:rsidRPr="00A10C3E">
        <w:t>8.</w:t>
      </w:r>
      <w:r w:rsidRPr="00A10C3E">
        <w:tab/>
        <w:t>sottolinea che le delegazioni permanenti svolgono un ruolo chiave di collegamento tra il Parlamento e i suoi partner in tutto il mondo, facilitando l'interazione, fornendo informazioni in modo continuativo alle commissioni e agli altri organi del Parlamento, discutendo posizioni e politiche di interesse comune, nonché ascoltando i diversi partner e altre parti interessati e comunicando le loro opinioni agli organi competenti in seno al Parlamento;</w:t>
      </w:r>
    </w:p>
    <w:p w:rsidR="00041CC4" w:rsidRPr="00A10C3E" w:rsidRDefault="00041CC4" w:rsidP="00041CC4">
      <w:pPr>
        <w:pStyle w:val="NormalHanging12a"/>
      </w:pPr>
      <w:r w:rsidRPr="00A10C3E">
        <w:t>9.</w:t>
      </w:r>
      <w:r w:rsidRPr="00A10C3E">
        <w:tab/>
        <w:t xml:space="preserve">ritiene che le missioni ufficiali del Parlamento al di fuori dell'UE costituiscano parte integrante della politica esterna dell'UE e devono essere pertanto pienamente sostenute dalle delegazioni dell'UE, nonché il più elevato livello di informazioni e sicurezza del SEAE a tal proposito; chiede che il Centro di risposta alle crisi del SEAE sia dotato di tutte le risorse necessarie; ritiene che un miglioramento del coordinamento, della </w:t>
      </w:r>
      <w:r w:rsidRPr="00A10C3E">
        <w:lastRenderedPageBreak/>
        <w:t>pianificazione e della definizione delle priorità per le missioni tra i diversi organi del Parlamento aumenterebbero la coerenza, la credibilità e l'impatto del ruolo diplomatico del Parlamento;</w:t>
      </w:r>
    </w:p>
    <w:p w:rsidR="00041CC4" w:rsidRPr="00A10C3E" w:rsidRDefault="00041CC4" w:rsidP="00041CC4">
      <w:pPr>
        <w:pStyle w:val="NormalHanging12a"/>
      </w:pPr>
      <w:r w:rsidRPr="00A10C3E">
        <w:t>10.</w:t>
      </w:r>
      <w:r w:rsidRPr="00A10C3E">
        <w:tab/>
        <w:t>suggerisce che gli organi competenti del Parlamento istituiscano un coordinamento interno, ad esempio redigendo periodicamente un elenco di paesi prioritari da coinvolgere, in base ai fascicoli legislativi e alle priorità geopolitiche o strategiche, partecipando a scambi di opinioni con tali paesi sui rapporti dell'UE o su questioni geopolitiche o relative a conflitti orizzontali, e favorendo sinergie tra le missioni del Parlamento all'estero, per evitare duplicazioni non necessarie, razionalizzare le risorse e migliorare la coerenza dei messaggi del Parlamento;</w:t>
      </w:r>
    </w:p>
    <w:p w:rsidR="00041CC4" w:rsidRPr="00A10C3E" w:rsidRDefault="00041CC4" w:rsidP="00041CC4">
      <w:pPr>
        <w:pStyle w:val="NormalHanging12a"/>
      </w:pPr>
      <w:r w:rsidRPr="00A10C3E">
        <w:t>11.</w:t>
      </w:r>
      <w:r w:rsidRPr="00A10C3E">
        <w:tab/>
        <w:t>sottolinea che i parlamentari dovrebbero vantare una approfondita preparazione in materia di dimensioni dei rapporti culturali e internazionali dei paesi terzi nei quali si recano in missione internazionale, affinché possano promuovere una cultura del dialogo nel contesto di un dialogo tra le culture; invita, a tal proposito, il SEAE, in particolare la sua divisione per la comunicazione strategica e le previsioni, a sostenere pienamente le missioni ufficiali del Parlamento nei paesi terzi;</w:t>
      </w:r>
    </w:p>
    <w:p w:rsidR="00041CC4" w:rsidRPr="00A10C3E" w:rsidRDefault="00041CC4" w:rsidP="00041CC4">
      <w:pPr>
        <w:pStyle w:val="NormalHanging12a"/>
      </w:pPr>
      <w:r w:rsidRPr="00A10C3E">
        <w:t>12.</w:t>
      </w:r>
      <w:r w:rsidRPr="00A10C3E">
        <w:tab/>
        <w:t>ritiene che il dialogo politico condotto dal Parlamento e i suoi singoli deputati con gli attori governativi, parlamentari e della società civile in tutto il mondo contribuisca a promuovere le priorità, le opinioni e i valori dell'UE sulle norme globali in settori quali i diritti umani universali e la democrazia, i diritti delle persone LGBTI, i diritti delle donne e l'uguaglianza di genere, la diplomazia climatica ed energetica, la connettività, l'intelligenza artificiale e le politiche digitali e tecnologiche;</w:t>
      </w:r>
    </w:p>
    <w:p w:rsidR="00041CC4" w:rsidRPr="00A10C3E" w:rsidRDefault="00041CC4" w:rsidP="00041CC4">
      <w:pPr>
        <w:pStyle w:val="NormalHanging12a"/>
      </w:pPr>
      <w:r w:rsidRPr="00A10C3E">
        <w:t>13.</w:t>
      </w:r>
      <w:r w:rsidRPr="00A10C3E">
        <w:tab/>
        <w:t>sottolinea l'impegno costante del Parlamento per garantire che i diritti umani, lo Stato di diritto e la democrazia siano posti al centro dell'azione esterna dell'UE e per fornire un forum essenziale in cui la voce della società civile e degli attori democratici di tutto il mondo possa essere ascoltata e amplificata; sottolinea, a tale proposito, le sue azioni a sostegno dei difensori dei diritti umani, dei parlamentari a rischio e dei giovani leader politici, nonché a sostegno della partecipazione delle donne alla vita politica e della lotta contro la disinformazione; chiede che le azioni del Parlamento siano ulteriormente sviluppate e che si dia voce a coloro i cui diritti sono a rischio nella prossima legislatura;</w:t>
      </w:r>
    </w:p>
    <w:p w:rsidR="00041CC4" w:rsidRPr="00A10C3E" w:rsidRDefault="00041CC4" w:rsidP="00041CC4">
      <w:pPr>
        <w:pStyle w:val="NormalHanging12a"/>
      </w:pPr>
      <w:r w:rsidRPr="00A10C3E">
        <w:t>14.</w:t>
      </w:r>
      <w:r w:rsidRPr="00A10C3E">
        <w:tab/>
        <w:t>sottolinea l'importanza fondamentale delle discussioni e delle risoluzioni del Parlamento relative alle violazioni dei diritti umani, della democrazia e dello Stato di diritto, che rappresentano uno dei suoi strumenti dal maggiore impatto all'estero per affrontare le problematiche relative ai diritti umani nei paesi terzi; invita, pertanto, a conferire una maggiore visibilità a tali discussioni e risoluzioni, anche nell'agenda delle sessioni plenarie, in linea con il lavoro delle commissioni e altri organi parlamentari permanenti;</w:t>
      </w:r>
    </w:p>
    <w:p w:rsidR="00041CC4" w:rsidRPr="00A10C3E" w:rsidRDefault="00041CC4" w:rsidP="00041CC4">
      <w:pPr>
        <w:pStyle w:val="NormalHanging12a"/>
      </w:pPr>
      <w:r w:rsidRPr="00A10C3E">
        <w:t>15.</w:t>
      </w:r>
      <w:r w:rsidRPr="00A10C3E">
        <w:tab/>
        <w:t xml:space="preserve">sottolinea l'importanza e la natura unica del ruolo del Parlamento nelle missioni di osservazione elettorale e, più in generale, nei programmi di sostegno alla democrazia, come il rafforzamento della democrazia parlamentare nei paesi terzi e nelle iniziative che prevedono la mediazione, la facilitazione dello sviluppo delle capacità, la prevenzione dei conflitti, la promozione di una cultura parlamentare consensuale e democratica e la promozione dei diritti umani; invita a integrare meglio i risultati delle attività del gruppo per il sostegno alla democrazia e il coordinamento elettorale su determinati paesi e i risultati derivanti dalle missioni di osservazione elettorale dell'UE </w:t>
      </w:r>
      <w:r w:rsidRPr="00A10C3E">
        <w:lastRenderedPageBreak/>
        <w:t>nel lavoro di commissioni e delegazioni, come pure nelle sessioni plenarie che si occupano degli stessi paesi;</w:t>
      </w:r>
    </w:p>
    <w:p w:rsidR="00041CC4" w:rsidRPr="00A10C3E" w:rsidRDefault="00041CC4" w:rsidP="00041CC4">
      <w:pPr>
        <w:pStyle w:val="NormalHanging12a"/>
      </w:pPr>
      <w:r w:rsidRPr="00A10C3E">
        <w:t>16.</w:t>
      </w:r>
      <w:r w:rsidRPr="00A10C3E">
        <w:tab/>
        <w:t xml:space="preserve">chiede un coordinamento rafforzato con la Commissione, comprese la direzione generale della Politica europea di vicinato e dei negoziati di allargamento e la direzione generale per i Partenariati internazionali, per sostenere la democrazia parlamentare in tutto il mondo e rafforzare il sostegno istituzionale ai parlamenti; suggerisce che la rete dei parlamenti nazionali sul sostegno alla democrazia, stabilita dal Parlamento, potrebbe trasformarsi in un regolare punto di incontro istituzionale volto a coordinare le attività e a sfruttare le competenze; </w:t>
      </w:r>
    </w:p>
    <w:p w:rsidR="00041CC4" w:rsidRPr="00A10C3E" w:rsidRDefault="00041CC4" w:rsidP="00041CC4">
      <w:pPr>
        <w:pStyle w:val="NormalHanging12a"/>
      </w:pPr>
      <w:r w:rsidRPr="00A10C3E">
        <w:t>17.</w:t>
      </w:r>
      <w:r w:rsidRPr="00A10C3E">
        <w:tab/>
        <w:t>sottolinea la necessità di pervenire a un equilibrio di genere in tutte le attività e missioni, anche a livello di rappresentanze del Parlamento, nei viaggi al di fuori dell'UE, e di ampliare le competenze in materia di uguaglianza di genere, affidandosi a esperti del settore come parte delle azioni e dei programmi di supporto del Parlamento;</w:t>
      </w:r>
    </w:p>
    <w:p w:rsidR="00041CC4" w:rsidRPr="00A10C3E" w:rsidRDefault="00041CC4" w:rsidP="00041CC4">
      <w:pPr>
        <w:pStyle w:val="Normal12a24b"/>
      </w:pPr>
      <w:r w:rsidRPr="00A10C3E">
        <w:rPr>
          <w:rStyle w:val="BoldItalic"/>
        </w:rPr>
        <w:t>Contributo del Parlamento alla politica estera e di sicurezza dell'UE</w:t>
      </w:r>
    </w:p>
    <w:p w:rsidR="00041CC4" w:rsidRPr="00A10C3E" w:rsidRDefault="00041CC4" w:rsidP="00041CC4">
      <w:pPr>
        <w:pStyle w:val="NormalHanging12a"/>
      </w:pPr>
      <w:r w:rsidRPr="00A10C3E">
        <w:t>18.</w:t>
      </w:r>
      <w:r w:rsidRPr="00A10C3E">
        <w:tab/>
        <w:t>ritiene che la prossima legislatura e l'istituzione della futura Commissione dovrebbero rappresentare un'opportunità per rafforzare il quadro delle relazioni interistituzionali tra il Parlamento, il SEAE e la Commissione, comprese le delegazioni dell'UE, al fine di potenziare la diplomazia parlamentare e rafforzare il pacchetto di strumenti dell'UE per l'azione esterna;</w:t>
      </w:r>
    </w:p>
    <w:p w:rsidR="00041CC4" w:rsidRPr="00A10C3E" w:rsidRDefault="00041CC4" w:rsidP="00041CC4">
      <w:pPr>
        <w:pStyle w:val="NormalHanging12a"/>
      </w:pPr>
      <w:r w:rsidRPr="00A10C3E">
        <w:t>19.</w:t>
      </w:r>
      <w:r w:rsidRPr="00A10C3E">
        <w:tab/>
        <w:t>chiede, in particolare, che il controllo del Parlamento sul lavoro svolto nell'ambito delle attività della politica estera e di sicurezza dell'UE sia rafforzato, migliorando il livello di responsabilità e la trasparenza del SEAE e dei servizi esterni della Commissione; sottolinea, in tale contesto, la necessità di aggiornare la dichiarazione del 2010 sulla responsabilità politica di ridefinire le relazioni tra il SEAE e il Parlamento;</w:t>
      </w:r>
    </w:p>
    <w:p w:rsidR="00041CC4" w:rsidRPr="00A10C3E" w:rsidRDefault="00041CC4" w:rsidP="00041CC4">
      <w:pPr>
        <w:pStyle w:val="NormalHanging12a"/>
      </w:pPr>
      <w:r w:rsidRPr="00A10C3E">
        <w:t>20.</w:t>
      </w:r>
      <w:r w:rsidRPr="00A10C3E">
        <w:tab/>
        <w:t>invita la Commissione, il Consiglio e gli Stati membri a coinvolgere realmente il Parlamento nell'attuazione e nel controllo delle questioni di rilevanza strategica negli affari esteri dell'UE, compresa l'applicazione di misure restrittive, nonché nel controllo degli strumenti di finanziamento esterno;</w:t>
      </w:r>
    </w:p>
    <w:p w:rsidR="00041CC4" w:rsidRPr="00A10C3E" w:rsidRDefault="00041CC4" w:rsidP="00041CC4">
      <w:pPr>
        <w:pStyle w:val="NormalHanging12a"/>
      </w:pPr>
      <w:r w:rsidRPr="00A10C3E">
        <w:t>21.</w:t>
      </w:r>
      <w:r w:rsidRPr="00A10C3E">
        <w:tab/>
        <w:t xml:space="preserve">insiste sul diritto del Parlamento all'informazione in materia di PESC a norma dell'articolo 36 TUE, compreso l'accesso tempestivo a relazioni e strategie nazionali e ad altre informazioni riservate che orientano la PESC dell'UE; sottolinea, a tal proposito, l'importanza di finalizzare quanto prima l'aggiornamento </w:t>
      </w:r>
      <w:bookmarkStart w:id="8" w:name="_GoBack"/>
      <w:r w:rsidRPr="00A10C3E">
        <w:t>dell'accordo interistituzionale del 20 novembre 20</w:t>
      </w:r>
      <w:r w:rsidR="00567732">
        <w:t>0</w:t>
      </w:r>
      <w:r w:rsidRPr="00A10C3E">
        <w:t>2 tra il Parlamento europeo e il Consiglio in merito all'accesso del Parlamento europeo a informazioni sensibili del Consiglio nell'ambito della politica di sicurezza e di difesa</w:t>
      </w:r>
      <w:bookmarkEnd w:id="8"/>
      <w:r w:rsidRPr="00A10C3E">
        <w:t>;</w:t>
      </w:r>
    </w:p>
    <w:p w:rsidR="00041CC4" w:rsidRPr="00A10C3E" w:rsidRDefault="00041CC4" w:rsidP="00041CC4">
      <w:pPr>
        <w:pStyle w:val="NormalHanging12a"/>
      </w:pPr>
      <w:r w:rsidRPr="00A10C3E">
        <w:t>22.</w:t>
      </w:r>
      <w:r w:rsidRPr="00A10C3E">
        <w:tab/>
        <w:t xml:space="preserve">sottolinea che la funzione di controllo e il potere del Parlamento di monitorare la negoziazione e l'attuazione degli accordi internazionali dovrebbero conferirgli un ruolo fondamentale nella definizione dell'impegno dell'Unione nei confronti dei paesi terzi e delle organizzazioni internazionali e della sua azione globale sulla scena internazionale, il che consentirebbe anche all'UE di promuovere il principio dell'integrazione di genere e la diplomazia climatica nelle relazioni internazionali; deplora a tal proposito gli accordi cosiddetti informali o ad hoc che non richiedono il consenso del Parlamento e </w:t>
      </w:r>
      <w:r w:rsidRPr="00A10C3E">
        <w:lastRenderedPageBreak/>
        <w:t>pertanto compromettono l'autorità dello stesso come colegislatore, nonché la sua funzione di sorveglianza;</w:t>
      </w:r>
    </w:p>
    <w:p w:rsidR="00041CC4" w:rsidRPr="00A10C3E" w:rsidRDefault="00041CC4" w:rsidP="00041CC4">
      <w:pPr>
        <w:pStyle w:val="NormalHanging12a"/>
      </w:pPr>
      <w:r w:rsidRPr="00A10C3E">
        <w:t>23.</w:t>
      </w:r>
      <w:r w:rsidRPr="00A10C3E">
        <w:tab/>
        <w:t>ritiene che gli ambasciatori dell'UE in paesi strategici e i rappresentanti speciali dell'UE dovrebbero essere confermati solo a seguito di una valutazione positiva da parte della Commissione per gli affari esteri del Parlamento;</w:t>
      </w:r>
    </w:p>
    <w:p w:rsidR="00041CC4" w:rsidRPr="00A10C3E" w:rsidRDefault="00041CC4" w:rsidP="00041CC4">
      <w:pPr>
        <w:pStyle w:val="NormalHanging12a"/>
      </w:pPr>
      <w:r w:rsidRPr="00A10C3E">
        <w:t>24.</w:t>
      </w:r>
      <w:r w:rsidRPr="00A10C3E">
        <w:tab/>
        <w:t>invita a una partecipazione più sistematica dei presidenti delle commissioni esterne del Parlamento agli incontri e agli eventi di alto livello sulla politica estera e di sicurezza comune, compreso il Consiglio "Affari esteri"; invita alla creazione di delegazioni congiunte del SEAE, della Commissione e del Parlamento per i principali incontri multilaterali e regionali;</w:t>
      </w:r>
    </w:p>
    <w:p w:rsidR="00041CC4" w:rsidRPr="00A10C3E" w:rsidRDefault="00041CC4" w:rsidP="00041CC4">
      <w:pPr>
        <w:pStyle w:val="NormalHanging12a"/>
      </w:pPr>
      <w:r w:rsidRPr="00A10C3E">
        <w:t>25.</w:t>
      </w:r>
      <w:r w:rsidRPr="00A10C3E">
        <w:tab/>
        <w:t>insiste sul fatto che tutti i principali documenti politici strategici adottati dalla Commissione e dal Consiglio in relazione alla conduzione della politica esterna dell'UE dovrebbero essere redatti in consultazione con il Parlamento e dovrebbero integrarvi il ruolo e il contributo del Parlamento;</w:t>
      </w:r>
    </w:p>
    <w:p w:rsidR="00041CC4" w:rsidRPr="00A10C3E" w:rsidRDefault="00041CC4" w:rsidP="00041CC4">
      <w:pPr>
        <w:pStyle w:val="NormalHanging12a"/>
      </w:pPr>
      <w:r w:rsidRPr="00A10C3E">
        <w:t>26.</w:t>
      </w:r>
      <w:r w:rsidRPr="00A10C3E">
        <w:tab/>
        <w:t>chiede un ulteriore rafforzamento delle relazioni del Parlamento con i parlamenti nazionali degli Stati membri, che sono organismi che si trovano nella posizione ideale per fungere da collegamento con i rami esecutivi degli Stati membri; sottolinea, pertanto, che la conferenza interparlamentare per la PESC/PSDC e le conferenze interparlamentari tenute annualmente dalla sottocommissione per i diritti dell'uomo, rappresentano un consesso importante per lo scambio di informazioni e migliori prassi tra i parlamenti nazionali e il Parlamento europeo nei settori di interesse e dovrebbero essere rafforzate;</w:t>
      </w:r>
    </w:p>
    <w:p w:rsidR="00041CC4" w:rsidRPr="00A10C3E" w:rsidRDefault="00041CC4" w:rsidP="00041CC4">
      <w:pPr>
        <w:pStyle w:val="NormalHanging12a"/>
      </w:pPr>
      <w:r w:rsidRPr="00A10C3E">
        <w:t>27.</w:t>
      </w:r>
      <w:r w:rsidRPr="00A10C3E">
        <w:tab/>
        <w:t>ritiene che il Parlamento possa svolgere un ruolo unico nell'avvicinare la politica estera dell'UE ai cittadini europei e nel rafforzare la sua legittimità democratica, in particolare dialogando con enti substatali quali i governi e i parlamenti regionali, consentendo così alla diplomazia multil</w:t>
      </w:r>
      <w:r w:rsidR="00403D64" w:rsidRPr="00A10C3E">
        <w:t>i</w:t>
      </w:r>
      <w:r w:rsidRPr="00A10C3E">
        <w:t>vello nei rispettivi quadri giuridici e istituzionali per la politica estera dell'UE e degli Stati membri di alimentare e incrementare l'azione esterna a livello dell'UE;</w:t>
      </w:r>
    </w:p>
    <w:p w:rsidR="00041CC4" w:rsidRPr="00A10C3E" w:rsidRDefault="00041CC4" w:rsidP="00041CC4">
      <w:pPr>
        <w:pStyle w:val="NormalHanging12a"/>
      </w:pPr>
      <w:r w:rsidRPr="00A10C3E">
        <w:t>28.</w:t>
      </w:r>
      <w:r w:rsidRPr="00A10C3E">
        <w:tab/>
        <w:t>ribadisce l'invito a sviluppare una diplomazia autonoma dell'UE fondata su una cultura diplomatica comune da una prospettiva europea e sottolinea il ruolo del Parlamento a questo proposito; ritiene che l'applicazione del progetto pilota del Parlamento sulla creazione di un'Accademia diplomatica europea, e soprattutto sulla sua struttura futura e permanente, rappresenti un concreto passo avanti a tal proposito; chiede garanzie in merito alla partecipazione permanente del Parlamento e al suo attivo coinvolgimento negli organi gestionali e di governo dell'Accademia diplomatica europea, nonché nei suoi programmi e attività di formazione;</w:t>
      </w:r>
    </w:p>
    <w:p w:rsidR="00041CC4" w:rsidRPr="00A10C3E" w:rsidRDefault="00041CC4" w:rsidP="00041CC4">
      <w:pPr>
        <w:pStyle w:val="NormalHanging12a"/>
      </w:pPr>
      <w:r w:rsidRPr="00A10C3E">
        <w:t>29.</w:t>
      </w:r>
      <w:r w:rsidRPr="00A10C3E">
        <w:tab/>
        <w:t xml:space="preserve">è del parere che, nel contesto della regressione in materia di diritti umani e democrazia in tutto il mondo, il Parlamento abbia un ruolo specifico da svolgere nella difesa del multilateralismo basato su regole, della democrazia e dello Stato di diritto, nella promozione dei diritti umani e del pluralismo politico, nel contrastare la disinformazione e le ingerenze straniere nei paesi terzi e nell'aiutare i parlamenti democraticamente eletti a livello globale a consolidare i loro ruoli istituzionali e i loro metodi di lavoro interni attraverso programmi mirati; osserva che i deputati al Parlamento possono occuparsi di questioni più sensibili, come le violazioni dei diritti </w:t>
      </w:r>
      <w:r w:rsidRPr="00A10C3E">
        <w:lastRenderedPageBreak/>
        <w:t>umani, rilasciare dichiarazioni pubbliche, cercare strade pubbliche o private per la comunicazione o collaborare con i partner locali quando lo spazio della diplomazia tradizionale si fa più limitato;</w:t>
      </w:r>
    </w:p>
    <w:p w:rsidR="00041CC4" w:rsidRPr="00A10C3E" w:rsidRDefault="00041CC4" w:rsidP="00041CC4">
      <w:pPr>
        <w:pStyle w:val="NormalHanging12a"/>
      </w:pPr>
      <w:r w:rsidRPr="00A10C3E">
        <w:t>30.</w:t>
      </w:r>
      <w:r w:rsidRPr="00A10C3E">
        <w:tab/>
        <w:t>sottolinea il ruolo specifico degli organi parlamentari nell'aiutare i paesi partner e, in particolare, i paesi dell'allargamento e i potenziali paesi candidati nei Balcani occidentali e nel vicinato orientale; chiede di rafforzare il loro ruolo nel processo di adesione all'UE, considerato il ruolo fondamentale e specifico dei parlamenti nel necessario processo di riforma, tramite, tra le altre cose, il ravvicinamento normativo, il controllo e la sensibilizzazione dei cittadini; ricorda la necessità che le delegazioni dell'UE sostengano attivamente tale cooperazione interparlamentare nei paesi candidati e nei paesi candidati potenziali;</w:t>
      </w:r>
    </w:p>
    <w:p w:rsidR="00041CC4" w:rsidRPr="00A10C3E" w:rsidRDefault="00041CC4" w:rsidP="00041CC4">
      <w:pPr>
        <w:pStyle w:val="NormalHanging12a"/>
      </w:pPr>
      <w:r w:rsidRPr="00A10C3E">
        <w:t>31.</w:t>
      </w:r>
      <w:r w:rsidRPr="00A10C3E">
        <w:tab/>
        <w:t>accoglie con favore approcci innovativi come la cooperazione tra commissione e commissione, recentemente lanciata tra il Parlamento europeo e la Verkhovna Rada ucraina, e incoraggia lo sviluppo di ulteriori iniziative in questo ambito, data l'importanza politica del processo di allargamento;</w:t>
      </w:r>
    </w:p>
    <w:p w:rsidR="00041CC4" w:rsidRPr="00A10C3E" w:rsidRDefault="00041CC4" w:rsidP="00041CC4">
      <w:pPr>
        <w:pStyle w:val="NormalHanging12a"/>
      </w:pPr>
      <w:r w:rsidRPr="00A10C3E">
        <w:t>32.</w:t>
      </w:r>
      <w:r w:rsidRPr="00A10C3E">
        <w:tab/>
        <w:t>ribadisce il suo invito a rafforzare le capacità istituzionali dell'UE in materia di diplomazia preventiva, prevenzione dei conflitti e mediazione e ritiene che il Parlamento possa fornire competenze e un contributo sostanziale attraverso i suoi organi e le sue azioni in questo settore, anche attraverso meccanismi di allerta precoce e visite in loco;</w:t>
      </w:r>
    </w:p>
    <w:p w:rsidR="00041CC4" w:rsidRPr="00A10C3E" w:rsidRDefault="00041CC4" w:rsidP="00041CC4">
      <w:pPr>
        <w:pStyle w:val="NormalHanging12a"/>
      </w:pPr>
      <w:r w:rsidRPr="00A10C3E">
        <w:t>33.</w:t>
      </w:r>
      <w:r w:rsidRPr="00A10C3E">
        <w:tab/>
        <w:t>sottolinea che l'ampia rete interparlamentare che il Parlamento ha sviluppato attraverso le sue delegazioni permanenti e le assemblee multilaterali rappresenta uno strumento ideale per discutere e coordinare le posizioni con i partner internazionali nei consessi multilaterali, ad esempio in relazione alle risoluzioni delle Nazioni Unite, all'integrazione della dimensione di genere, alla diplomazia climatica o alle posizioni in seno al G20, nonché per chiarire le intenzioni dell'UE nei confronti dei partner e promuovere le sue azioni; sottolinea il contributo significativo del Parlamento al lavoro dei consessi multilaterali mediante il suo coinvolgimento, tra gli altri, nel G7 e nei vertici parlamentari del G7 e nelle riunioni dell'Unione interparlamentare;</w:t>
      </w:r>
    </w:p>
    <w:p w:rsidR="00041CC4" w:rsidRPr="00A10C3E" w:rsidRDefault="00041CC4" w:rsidP="00041CC4">
      <w:pPr>
        <w:pStyle w:val="NormalHanging12a"/>
      </w:pPr>
      <w:r w:rsidRPr="00A10C3E">
        <w:t>34.</w:t>
      </w:r>
      <w:r w:rsidRPr="00A10C3E">
        <w:tab/>
        <w:t>sottolinea il ruolo del Parlamento europeo nel promuovere a livello globale la parità di genere, compresa la lotta contro il femminicidio e la violenza di genere, e i diritti delle persone LGBTI nell'azione esterna dell'UE; sottolinea l'importanza dei parlamentari nel promuovere la sensibilità alle questioni di genere in tutti i rapporti esterni dell'UE, mediante azioni di sensibilizzazione, creazione di capacità e condivisione di buone prassi, anche, a titolo esemplificativo e non esaustivo, del valore aggiunto di garantire parlamenti equilibrati in termini di genere e una prospettiva di genere nel funzionamento degli organi parlamentari; invita il Parlamento a rafforzare ulteriormente tale dimensione della diplomazia parlamentare nelle sue interazioni con i paesi partner;</w:t>
      </w:r>
    </w:p>
    <w:p w:rsidR="00041CC4" w:rsidRPr="00A10C3E" w:rsidRDefault="00041CC4" w:rsidP="00041CC4">
      <w:pPr>
        <w:pStyle w:val="NormalHanging12a"/>
      </w:pPr>
      <w:r w:rsidRPr="00A10C3E">
        <w:t>35.</w:t>
      </w:r>
      <w:r w:rsidRPr="00A10C3E">
        <w:tab/>
        <w:t>ritiene che, alla luce del quinto obiettivo di sviluppo sostenibile (raggiungere l'uguaglianza di genere e l'autodeterminazione di tutte le donne e ragazze), il Parlamento deve svolgere un ruolo significativo nel conseguimento degli obiettivi strategici di parità di genere;</w:t>
      </w:r>
    </w:p>
    <w:p w:rsidR="00041CC4" w:rsidRPr="00A10C3E" w:rsidRDefault="00041CC4" w:rsidP="00041CC4">
      <w:pPr>
        <w:pStyle w:val="NormalHanging12a"/>
      </w:pPr>
      <w:r w:rsidRPr="00A10C3E">
        <w:t>36.</w:t>
      </w:r>
      <w:r w:rsidRPr="00A10C3E">
        <w:tab/>
        <w:t xml:space="preserve">sottolinea il lavoro di sensibilizzazione del Parlamento per la ratifica e l'attuazione delle pertinenti convenzioni delle Nazioni Unite e di altre convenzioni internazionali e </w:t>
      </w:r>
      <w:r w:rsidRPr="00A10C3E">
        <w:lastRenderedPageBreak/>
        <w:t>protocolli opzionali, quali l'accordo di Parigi e la convenzione sulla prevenzione e la lotta contro la violenza nei confronti delle donne e la violenza domestica;</w:t>
      </w:r>
    </w:p>
    <w:p w:rsidR="00041CC4" w:rsidRPr="00A10C3E" w:rsidRDefault="00041CC4" w:rsidP="00041CC4">
      <w:pPr>
        <w:pStyle w:val="Normal12a24b"/>
      </w:pPr>
      <w:r w:rsidRPr="00A10C3E">
        <w:rPr>
          <w:rStyle w:val="BoldItalic"/>
        </w:rPr>
        <w:t>Team Europa: il Parlamento come partner di politica estera</w:t>
      </w:r>
    </w:p>
    <w:p w:rsidR="00041CC4" w:rsidRPr="00A10C3E" w:rsidRDefault="00041CC4" w:rsidP="00041CC4">
      <w:pPr>
        <w:pStyle w:val="NormalHanging12a"/>
      </w:pPr>
      <w:r w:rsidRPr="00A10C3E">
        <w:t>37.</w:t>
      </w:r>
      <w:r w:rsidRPr="00A10C3E">
        <w:tab/>
        <w:t>ritiene che, sebbene il Parlamento dovrebbe mantenere la sua piena autonomia nell'attuazione del suo programma di politica esterna, le visite congiunte ad hoc e le dichiarazioni del Parlamento, insieme ai rappresentanti della Commissione e del Consiglio, in relazione ai principali sviluppi nei paesi terzi, rappresentino un settore promettente per l'attuazione dell'approccio "Team Europa"; chiede, a tale proposito, l'avvio di un programma pilota interistituzionale Team Europa in un numero selezionato di paesi terzi; chiede che tale programma pilota garantisca che gli strumenti del Parlamento siano pienamente integrati in un approccio interistituzionale congiunto nei confronti dei paesi interessati;</w:t>
      </w:r>
    </w:p>
    <w:p w:rsidR="00041CC4" w:rsidRPr="00A10C3E" w:rsidRDefault="00041CC4" w:rsidP="00041CC4">
      <w:pPr>
        <w:pStyle w:val="NormalHanging12a"/>
      </w:pPr>
      <w:r w:rsidRPr="00A10C3E">
        <w:t>38.</w:t>
      </w:r>
      <w:r w:rsidRPr="00A10C3E">
        <w:tab/>
        <w:t>denuncia la decisione di alcuni paesi, compresi quelli che hanno concluso accordi con l'UE, di vietare alle delegazioni del Parlamento e ai singoli deputati di entrare in alcuni o tutti i loro territori; denuncia le minacce e le sanzioni nei confronti dei deputati al Parlamento europeo da parte di paesi terzi; insiste affinché il Consiglio e gli Stati membri intraprendano un'azione immediata e incisiva, comprese sanzioni se ritenuto necessario, laddove gli organi del Parlamento o singoli deputati del Parlamento siano oggetto di misure restrittive di paesi terzi;</w:t>
      </w:r>
    </w:p>
    <w:p w:rsidR="00041CC4" w:rsidRPr="00A10C3E" w:rsidRDefault="00041CC4" w:rsidP="00041CC4">
      <w:pPr>
        <w:pStyle w:val="NormalHanging12a"/>
      </w:pPr>
      <w:r w:rsidRPr="00A10C3E">
        <w:t>39.</w:t>
      </w:r>
      <w:r w:rsidRPr="00A10C3E">
        <w:tab/>
        <w:t>sottolinea che l'osservazione elettorale è il settore in cui la cooperazione tra il Parlamento e il SEAE è meglio strutturata e in cui entrambe le istituzioni conducono attività di osservazione elettorale ben integrate tra loro in vari modi;</w:t>
      </w:r>
    </w:p>
    <w:p w:rsidR="00041CC4" w:rsidRPr="00A10C3E" w:rsidRDefault="00041CC4" w:rsidP="00041CC4">
      <w:pPr>
        <w:pStyle w:val="NormalHanging12a"/>
      </w:pPr>
      <w:r w:rsidRPr="00A10C3E">
        <w:t>40.</w:t>
      </w:r>
      <w:r w:rsidRPr="00A10C3E">
        <w:tab/>
        <w:t>ribadisce la sua richiesta di un maggiore coordinamento strategico tra le istituzioni dell'UE in relazione a singoli casi urgenti che coinvolgono difensori dei diritti umani, giornalisti, o membri di gruppi particolarmente vulnerabili; è convinto che la diplomazia parlamentare possa rivelarsi un meccanismo efficace e complementare per dialogare con i paesi terzi su tali casi; invita alla creazione di una task force interistituzionale sui difensori dei diritti umani volta a coordinare l'impegno europeo sui casi prioritari in questo ambito;</w:t>
      </w:r>
    </w:p>
    <w:p w:rsidR="00041CC4" w:rsidRPr="00A10C3E" w:rsidRDefault="00041CC4" w:rsidP="00041CC4">
      <w:pPr>
        <w:pStyle w:val="NormalHanging12a"/>
      </w:pPr>
      <w:r w:rsidRPr="00A10C3E">
        <w:t>41.</w:t>
      </w:r>
      <w:r w:rsidRPr="00A10C3E">
        <w:tab/>
        <w:t>ribadisce la propria richiesta al VP/AR, in collaborazione con gli Stati membri e il Parlamento, di adottare un elenco annuale per concentrarsi sui paesi che rappresentano una grave preoccupazione rispetto al ginepraio di difensori dei diritti umani e attivisti per la democrazia il che, tra l'altro, aiuterebbe a coordinare la risposta pratica del Team Europa sul campo; ritiene che il Parlamento potrebbe svolgere un ruolo decisivo impiegando i propri mezzi istituzionali e di altro genere a sostegno di tale approccio mirato e congiunto;</w:t>
      </w:r>
    </w:p>
    <w:p w:rsidR="00041CC4" w:rsidRPr="00A10C3E" w:rsidRDefault="00041CC4" w:rsidP="00041CC4">
      <w:pPr>
        <w:pStyle w:val="NormalHanging12a"/>
      </w:pPr>
      <w:r w:rsidRPr="00A10C3E">
        <w:t>42.</w:t>
      </w:r>
      <w:r w:rsidRPr="00A10C3E">
        <w:tab/>
        <w:t>esorta ciascuna delegazione dell'UE a far conoscere meglio i lavori del Parlamento che presentano un interesse per il paese ospitante, anche nella lingua locale sul suo sito web, e a mantenere un dialogo con le autorità e i gruppi della società civile locali;</w:t>
      </w:r>
    </w:p>
    <w:p w:rsidR="00041CC4" w:rsidRPr="00A10C3E" w:rsidRDefault="00041CC4" w:rsidP="00041CC4">
      <w:pPr>
        <w:pStyle w:val="NormalCenter12a"/>
      </w:pPr>
      <w:r w:rsidRPr="00A10C3E">
        <w:t>°</w:t>
      </w:r>
    </w:p>
    <w:p w:rsidR="00041CC4" w:rsidRPr="00A10C3E" w:rsidRDefault="00041CC4" w:rsidP="00041CC4">
      <w:pPr>
        <w:pStyle w:val="NormalCenter12a"/>
      </w:pPr>
      <w:r w:rsidRPr="00A10C3E">
        <w:t>°</w:t>
      </w:r>
      <w:r w:rsidRPr="00A10C3E">
        <w:tab/>
        <w:t>°</w:t>
      </w:r>
    </w:p>
    <w:p w:rsidR="00041CC4" w:rsidRPr="00A10C3E" w:rsidRDefault="00041CC4" w:rsidP="00041CC4">
      <w:pPr>
        <w:pStyle w:val="NormalHanging12a"/>
      </w:pPr>
      <w:r w:rsidRPr="00A10C3E">
        <w:lastRenderedPageBreak/>
        <w:t>43.</w:t>
      </w:r>
      <w:r w:rsidRPr="00A10C3E">
        <w:tab/>
        <w:t>incarica la sua Presidente di trasmettere la presente risoluzione al Consiglio, alla Commissione, al vicepresidente della Commissione/alto rappresentante dell'Unione per gli affari esteri e la politica di sicurezza nonché ai governi e ai parlamenti degli Stati membri.</w:t>
      </w:r>
    </w:p>
    <w:p w:rsidR="00E365E1" w:rsidRPr="00A10C3E" w:rsidRDefault="00E365E1" w:rsidP="00004E7B">
      <w:pPr>
        <w:pStyle w:val="NormalHanging12a"/>
        <w:ind w:left="0" w:firstLine="0"/>
      </w:pPr>
      <w:bookmarkStart w:id="9" w:name="TextBodyEnd"/>
      <w:bookmarkEnd w:id="9"/>
    </w:p>
    <w:sectPr w:rsidR="00E365E1" w:rsidRPr="00A10C3E" w:rsidSect="00957B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75" w:rsidRPr="00957BF2" w:rsidRDefault="00A17875">
      <w:r w:rsidRPr="00957BF2">
        <w:separator/>
      </w:r>
    </w:p>
  </w:endnote>
  <w:endnote w:type="continuationSeparator" w:id="0">
    <w:p w:rsidR="00A17875" w:rsidRPr="00957BF2" w:rsidRDefault="00A17875">
      <w:r w:rsidRPr="00957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75" w:rsidRPr="00957BF2" w:rsidRDefault="00A17875">
      <w:r w:rsidRPr="00957BF2">
        <w:separator/>
      </w:r>
    </w:p>
  </w:footnote>
  <w:footnote w:type="continuationSeparator" w:id="0">
    <w:p w:rsidR="00A17875" w:rsidRPr="00957BF2" w:rsidRDefault="00A17875">
      <w:r w:rsidRPr="00957BF2">
        <w:continuationSeparator/>
      </w:r>
    </w:p>
  </w:footnote>
  <w:footnote w:id="1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>GU L 201 del 3.8.2010, pag. 30.</w:t>
      </w:r>
    </w:p>
  </w:footnote>
  <w:footnote w:id="2">
    <w:p w:rsidR="00041CC4" w:rsidRPr="00A10C3E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A10C3E">
        <w:rPr>
          <w:sz w:val="24"/>
          <w:lang w:val="it-IT"/>
        </w:rPr>
        <w:t xml:space="preserve"> </w:t>
      </w:r>
      <w:r w:rsidR="00957BF2" w:rsidRPr="00A10C3E">
        <w:rPr>
          <w:sz w:val="24"/>
          <w:lang w:val="it-IT"/>
        </w:rPr>
        <w:tab/>
      </w:r>
      <w:r w:rsidRPr="00A10C3E">
        <w:rPr>
          <w:sz w:val="24"/>
          <w:lang w:val="it-IT"/>
        </w:rPr>
        <w:t xml:space="preserve">GU C, C/2023/410, 23.11.2023, ELI: </w:t>
      </w:r>
      <w:hyperlink r:id="rId1" w:history="1">
        <w:r w:rsidRPr="00A10C3E">
          <w:rPr>
            <w:rStyle w:val="Hyperlink"/>
            <w:sz w:val="24"/>
            <w:lang w:val="it-IT"/>
          </w:rPr>
          <w:t>http://data.europa.eu/eli/C/2023/410/oj</w:t>
        </w:r>
      </w:hyperlink>
      <w:r w:rsidRPr="00A10C3E">
        <w:rPr>
          <w:sz w:val="24"/>
          <w:lang w:val="it-IT"/>
        </w:rPr>
        <w:t xml:space="preserve">. </w:t>
      </w:r>
    </w:p>
  </w:footnote>
  <w:footnote w:id="3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>GU C 214 del 16.6.2023, pag. </w:t>
      </w:r>
      <w:r w:rsidR="00004E7B">
        <w:rPr>
          <w:sz w:val="24"/>
          <w:lang w:val="it-IT"/>
        </w:rPr>
        <w:t>26</w:t>
      </w:r>
      <w:r w:rsidRPr="00957BF2">
        <w:rPr>
          <w:sz w:val="24"/>
          <w:lang w:val="it-IT"/>
        </w:rPr>
        <w:t>.</w:t>
      </w:r>
    </w:p>
  </w:footnote>
  <w:footnote w:id="4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>GU C 214 del 16.6.2023, pag. 54.</w:t>
      </w:r>
    </w:p>
  </w:footnote>
  <w:footnote w:id="5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 xml:space="preserve">GU </w:t>
      </w:r>
      <w:r w:rsidR="004C0C67">
        <w:rPr>
          <w:sz w:val="24"/>
          <w:lang w:val="it-IT"/>
        </w:rPr>
        <w:t>C</w:t>
      </w:r>
      <w:r w:rsidRPr="00957BF2">
        <w:rPr>
          <w:sz w:val="24"/>
          <w:lang w:val="it-IT"/>
        </w:rPr>
        <w:t xml:space="preserve"> 23 del 21.1.2021, pag. 16.</w:t>
      </w:r>
    </w:p>
  </w:footnote>
  <w:footnote w:id="6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>Testi approvati, P9_TA(2023)0316.</w:t>
      </w:r>
    </w:p>
  </w:footnote>
  <w:footnote w:id="7">
    <w:p w:rsidR="00041CC4" w:rsidRPr="00957BF2" w:rsidRDefault="00041CC4" w:rsidP="00957BF2">
      <w:pPr>
        <w:pStyle w:val="FootnoteText"/>
        <w:ind w:left="567" w:hanging="567"/>
        <w:rPr>
          <w:sz w:val="24"/>
          <w:lang w:val="it-IT"/>
        </w:rPr>
      </w:pPr>
      <w:r w:rsidRPr="00957BF2">
        <w:rPr>
          <w:rStyle w:val="FootnoteReference"/>
          <w:sz w:val="24"/>
          <w:lang w:val="it-IT"/>
        </w:rPr>
        <w:footnoteRef/>
      </w:r>
      <w:r w:rsidR="00957BF2" w:rsidRPr="00957BF2">
        <w:rPr>
          <w:sz w:val="24"/>
          <w:lang w:val="it-IT"/>
        </w:rPr>
        <w:t xml:space="preserve"> </w:t>
      </w:r>
      <w:r w:rsidR="00957BF2" w:rsidRPr="00957BF2">
        <w:rPr>
          <w:sz w:val="24"/>
          <w:lang w:val="it-IT"/>
        </w:rPr>
        <w:tab/>
      </w:r>
      <w:r w:rsidRPr="00957BF2">
        <w:rPr>
          <w:sz w:val="24"/>
          <w:lang w:val="it-IT"/>
        </w:rPr>
        <w:t>GU C 298 del 30.11.2002, pag.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7B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IT"/>
    <w:docVar w:name="dvnumam" w:val="0"/>
    <w:docVar w:name="dvpe" w:val="753.617"/>
    <w:docVar w:name="dvrapporteur" w:val="Relatore: "/>
    <w:docVar w:name="dvtitre" w:val="Risoluzione del Parlamento europeo del xx gennaio 2024 sul ruolo del Parlamento europeo e della sua diplomazia parlamentare nella politica estera e di sicurezza dell'UE(2023/2105(INI))"/>
  </w:docVars>
  <w:rsids>
    <w:rsidRoot w:val="00A17875"/>
    <w:rsid w:val="00002272"/>
    <w:rsid w:val="00004E7B"/>
    <w:rsid w:val="00041CC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D64"/>
    <w:rsid w:val="00411CCE"/>
    <w:rsid w:val="0041666E"/>
    <w:rsid w:val="00421060"/>
    <w:rsid w:val="00471C19"/>
    <w:rsid w:val="004867E3"/>
    <w:rsid w:val="00494A28"/>
    <w:rsid w:val="004C0004"/>
    <w:rsid w:val="004C0C67"/>
    <w:rsid w:val="004C5D52"/>
    <w:rsid w:val="0050519A"/>
    <w:rsid w:val="005072A1"/>
    <w:rsid w:val="00514517"/>
    <w:rsid w:val="00545827"/>
    <w:rsid w:val="00560270"/>
    <w:rsid w:val="0056773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BF2"/>
    <w:rsid w:val="00981893"/>
    <w:rsid w:val="00A10C3E"/>
    <w:rsid w:val="00A1687D"/>
    <w:rsid w:val="00A1787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1C82A"/>
  <w15:chartTrackingRefBased/>
  <w15:docId w15:val="{1ACCFF89-D4D5-48CC-A38A-720D8A81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1CC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041CC4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41CC4"/>
    <w:pPr>
      <w:spacing w:after="240"/>
      <w:jc w:val="center"/>
    </w:pPr>
  </w:style>
  <w:style w:type="character" w:customStyle="1" w:styleId="BoldItalic">
    <w:name w:val="BoldItalic"/>
    <w:uiPriority w:val="1"/>
    <w:rsid w:val="00041CC4"/>
    <w:rPr>
      <w:b/>
      <w:i/>
      <w:u w:val="none"/>
    </w:rPr>
  </w:style>
  <w:style w:type="paragraph" w:customStyle="1" w:styleId="Normal12a24b">
    <w:name w:val="Normal12a24b"/>
    <w:basedOn w:val="Normal"/>
    <w:rsid w:val="00041CC4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41CC4"/>
    <w:rPr>
      <w:snapToGrid w:val="0"/>
      <w:sz w:val="24"/>
      <w:lang w:val="it-IT" w:eastAsia="en-US"/>
    </w:rPr>
  </w:style>
  <w:style w:type="character" w:styleId="Hyperlink">
    <w:name w:val="Hyperlink"/>
    <w:basedOn w:val="DefaultParagraphFont"/>
    <w:unhideWhenUsed/>
    <w:rsid w:val="00041C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04E7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403D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3D6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9DDB5-7B7C-4EC2-BBA4-286BE28F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4638</Words>
  <Characters>27636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anonimo</cp:lastModifiedBy>
  <cp:revision>3</cp:revision>
  <cp:lastPrinted>2004-11-19T15:42:00Z</cp:lastPrinted>
  <dcterms:created xsi:type="dcterms:W3CDTF">2024-02-23T09:51:00Z</dcterms:created>
  <dcterms:modified xsi:type="dcterms:W3CDTF">2024-02-23T09:54:00Z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