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7D46" w:rsidTr="0010095E">
        <w:trPr>
          <w:trHeight w:hRule="exact" w:val="1418"/>
        </w:trPr>
        <w:tc>
          <w:tcPr>
            <w:tcW w:w="6804" w:type="dxa"/>
            <w:shd w:val="clear" w:color="auto" w:fill="auto"/>
            <w:vAlign w:val="center"/>
          </w:tcPr>
          <w:p w:rsidR="00751A4A" w:rsidRPr="00237D46" w:rsidRDefault="007A426F" w:rsidP="0010095E">
            <w:pPr>
              <w:pStyle w:val="EPName"/>
            </w:pPr>
            <w:r w:rsidRPr="00237D46">
              <w:t>Eiropas Parlaments</w:t>
            </w:r>
          </w:p>
          <w:p w:rsidR="00751A4A" w:rsidRPr="00237D46" w:rsidRDefault="00817416" w:rsidP="00756632">
            <w:pPr>
              <w:pStyle w:val="EPTerm"/>
              <w:rPr>
                <w:rStyle w:val="HideTWBExt"/>
                <w:noProof w:val="0"/>
                <w:vanish w:val="0"/>
                <w:color w:val="auto"/>
              </w:rPr>
            </w:pPr>
            <w:r w:rsidRPr="00237D46">
              <w:t>2019-2024</w:t>
            </w:r>
          </w:p>
        </w:tc>
        <w:tc>
          <w:tcPr>
            <w:tcW w:w="2268" w:type="dxa"/>
            <w:shd w:val="clear" w:color="auto" w:fill="auto"/>
          </w:tcPr>
          <w:p w:rsidR="00751A4A" w:rsidRPr="00237D46" w:rsidRDefault="00187494" w:rsidP="0010095E">
            <w:pPr>
              <w:pStyle w:val="EPLogo"/>
            </w:pPr>
            <w:r w:rsidRPr="00237D46">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37D46" w:rsidRDefault="00D058B8" w:rsidP="004C5D52">
      <w:pPr>
        <w:pStyle w:val="LineTop"/>
      </w:pPr>
    </w:p>
    <w:p w:rsidR="00680577" w:rsidRPr="00237D46" w:rsidRDefault="007A426F" w:rsidP="00680577">
      <w:pPr>
        <w:pStyle w:val="EPBodyTA1"/>
      </w:pPr>
      <w:r w:rsidRPr="00237D46">
        <w:t>PIEŅEMTIE TEKSTI</w:t>
      </w:r>
    </w:p>
    <w:p w:rsidR="00D058B8" w:rsidRPr="00237D46" w:rsidRDefault="00D058B8" w:rsidP="00D058B8">
      <w:pPr>
        <w:pStyle w:val="LineBottom"/>
      </w:pPr>
    </w:p>
    <w:p w:rsidR="007A426F" w:rsidRPr="00237D46" w:rsidRDefault="007A426F" w:rsidP="007A426F">
      <w:pPr>
        <w:pStyle w:val="ATHeading1"/>
      </w:pPr>
      <w:bookmarkStart w:id="0" w:name="TANumber"/>
      <w:r w:rsidRPr="00237D46">
        <w:t>P9_TA(2024)00</w:t>
      </w:r>
      <w:bookmarkEnd w:id="0"/>
      <w:r w:rsidR="00237D46" w:rsidRPr="00237D46">
        <w:t>13</w:t>
      </w:r>
    </w:p>
    <w:p w:rsidR="007A426F" w:rsidRPr="00237D46" w:rsidRDefault="007A426F" w:rsidP="007A426F">
      <w:pPr>
        <w:pStyle w:val="ATHeading2"/>
      </w:pPr>
      <w:bookmarkStart w:id="1" w:name="title"/>
      <w:r w:rsidRPr="00237D46">
        <w:t>Eiropas Parlamenta un tā parlamentārās diplomātijas loma ES ārlietu un drošības politikā</w:t>
      </w:r>
      <w:bookmarkEnd w:id="1"/>
    </w:p>
    <w:p w:rsidR="007A426F" w:rsidRPr="00237D46" w:rsidRDefault="007A426F" w:rsidP="007A426F">
      <w:pPr>
        <w:rPr>
          <w:i/>
          <w:vanish/>
        </w:rPr>
      </w:pPr>
      <w:r w:rsidRPr="00237D46">
        <w:rPr>
          <w:i/>
        </w:rPr>
        <w:fldChar w:fldCharType="begin"/>
      </w:r>
      <w:r w:rsidRPr="00237D46">
        <w:rPr>
          <w:i/>
        </w:rPr>
        <w:instrText xml:space="preserve"> TC"(</w:instrText>
      </w:r>
      <w:bookmarkStart w:id="2" w:name="DocNumber"/>
      <w:r w:rsidRPr="00237D46">
        <w:rPr>
          <w:i/>
        </w:rPr>
        <w:instrText>A9-0405/2023</w:instrText>
      </w:r>
      <w:bookmarkEnd w:id="2"/>
      <w:r w:rsidRPr="00237D46">
        <w:rPr>
          <w:i/>
        </w:rPr>
        <w:instrText xml:space="preserve"> - Referents: </w:instrText>
      </w:r>
      <w:proofErr w:type="spellStart"/>
      <w:r w:rsidRPr="00237D46">
        <w:rPr>
          <w:i/>
        </w:rPr>
        <w:instrText>Jordi</w:instrText>
      </w:r>
      <w:proofErr w:type="spellEnd"/>
      <w:r w:rsidRPr="00237D46">
        <w:rPr>
          <w:i/>
        </w:rPr>
        <w:instrText xml:space="preserve"> </w:instrText>
      </w:r>
      <w:proofErr w:type="spellStart"/>
      <w:r w:rsidRPr="00237D46">
        <w:rPr>
          <w:i/>
        </w:rPr>
        <w:instrText>Solé</w:instrText>
      </w:r>
      <w:proofErr w:type="spellEnd"/>
      <w:r w:rsidRPr="00237D46">
        <w:rPr>
          <w:i/>
        </w:rPr>
        <w:instrText xml:space="preserve">)"\l3 \n&gt; \* MERGEFORMAT </w:instrText>
      </w:r>
      <w:r w:rsidRPr="00237D46">
        <w:rPr>
          <w:i/>
        </w:rPr>
        <w:fldChar w:fldCharType="end"/>
      </w:r>
    </w:p>
    <w:p w:rsidR="007A426F" w:rsidRPr="00237D46" w:rsidRDefault="007A426F" w:rsidP="007A426F">
      <w:pPr>
        <w:rPr>
          <w:vanish/>
        </w:rPr>
      </w:pPr>
      <w:bookmarkStart w:id="3" w:name="Commission"/>
      <w:r w:rsidRPr="00237D46">
        <w:rPr>
          <w:vanish/>
        </w:rPr>
        <w:t>Ārlietu komiteja</w:t>
      </w:r>
      <w:bookmarkEnd w:id="3"/>
    </w:p>
    <w:p w:rsidR="007A426F" w:rsidRPr="00237D46" w:rsidRDefault="007A426F" w:rsidP="007A426F">
      <w:pPr>
        <w:rPr>
          <w:vanish/>
        </w:rPr>
      </w:pPr>
      <w:bookmarkStart w:id="4" w:name="PE"/>
      <w:r w:rsidRPr="00237D46">
        <w:rPr>
          <w:vanish/>
        </w:rPr>
        <w:t>PE753.617</w:t>
      </w:r>
      <w:bookmarkEnd w:id="4"/>
    </w:p>
    <w:p w:rsidR="005E04AA" w:rsidRPr="00237D46" w:rsidRDefault="007A426F" w:rsidP="00D25265">
      <w:pPr>
        <w:pStyle w:val="ATHeading3"/>
      </w:pPr>
      <w:bookmarkStart w:id="5" w:name="Sujet"/>
      <w:r w:rsidRPr="00237D46">
        <w:t xml:space="preserve">Eiropas Parlamenta 2024. gada </w:t>
      </w:r>
      <w:r w:rsidR="00F84ACB" w:rsidRPr="00237D46">
        <w:t>16</w:t>
      </w:r>
      <w:r w:rsidRPr="00237D46">
        <w:t xml:space="preserve">. </w:t>
      </w:r>
      <w:r w:rsidR="00F84ACB" w:rsidRPr="00237D46">
        <w:t>janvāra</w:t>
      </w:r>
      <w:r w:rsidRPr="00237D46">
        <w:t xml:space="preserve"> rezolūcija par Eiropas Parlamenta un tā parlamentārās diplomātijas lomu ES ārlietu un drošības politikā</w:t>
      </w:r>
      <w:bookmarkEnd w:id="5"/>
      <w:r w:rsidRPr="00237D46">
        <w:t xml:space="preserve"> </w:t>
      </w:r>
      <w:bookmarkStart w:id="6" w:name="References"/>
      <w:r w:rsidRPr="00237D46">
        <w:t>(2023/2105(INI))</w:t>
      </w:r>
      <w:bookmarkStart w:id="7" w:name="TextBodyBegin"/>
      <w:bookmarkEnd w:id="6"/>
      <w:bookmarkEnd w:id="7"/>
    </w:p>
    <w:p w:rsidR="005E04AA" w:rsidRPr="00237D46" w:rsidRDefault="005E04AA" w:rsidP="005E04AA">
      <w:pPr>
        <w:pStyle w:val="EPComma"/>
      </w:pPr>
      <w:r w:rsidRPr="00237D46">
        <w:rPr>
          <w:rStyle w:val="Italic"/>
        </w:rPr>
        <w:t>Eiropas Parlaments</w:t>
      </w:r>
      <w:r w:rsidRPr="00237D46">
        <w:t>,</w:t>
      </w:r>
    </w:p>
    <w:p w:rsidR="005E04AA" w:rsidRPr="00237D46" w:rsidRDefault="005E04AA" w:rsidP="005E04AA">
      <w:pPr>
        <w:pStyle w:val="NormalHanging12a"/>
      </w:pPr>
      <w:r w:rsidRPr="00237D46">
        <w:t>–</w:t>
      </w:r>
      <w:r w:rsidRPr="00237D46">
        <w:tab/>
        <w:t>ņemot vērā Līguma par Eiropas Savienību (LES) 14. panta 1. punktu, 21. un 36. pantu,</w:t>
      </w:r>
    </w:p>
    <w:p w:rsidR="005E04AA" w:rsidRPr="00237D46" w:rsidRDefault="005E04AA" w:rsidP="005E04AA">
      <w:pPr>
        <w:pStyle w:val="NormalHanging12a"/>
      </w:pPr>
      <w:r w:rsidRPr="00237D46">
        <w:t>–</w:t>
      </w:r>
      <w:r w:rsidRPr="00237D46">
        <w:tab/>
        <w:t>ņemot vērā Komisijas priekšsēdētāja vietnieces / Savienības Augstās pārstāves (PV/AP) ārlietās un drošības politikas jautājumos 2010. gada 20. jūlija deklarāciju par politisko atbildību,</w:t>
      </w:r>
    </w:p>
    <w:p w:rsidR="005E04AA" w:rsidRPr="00237D46" w:rsidRDefault="005E04AA" w:rsidP="005E04AA">
      <w:pPr>
        <w:pStyle w:val="NormalHanging12a"/>
      </w:pPr>
      <w:r w:rsidRPr="00237D46">
        <w:t>–</w:t>
      </w:r>
      <w:r w:rsidRPr="00237D46">
        <w:tab/>
        <w:t>ņemot vērā Padomes 2016. gada 28. jūnija secinājumus, ar ko pieņem ziņojumu “Kopīgs redzējums, kopīga rīcība: spēcīgāka Eiropa. Globāla Eiropas Savienības ārpolitikas un drošības politikas stratēģija”,</w:t>
      </w:r>
    </w:p>
    <w:p w:rsidR="005E04AA" w:rsidRPr="00237D46" w:rsidRDefault="005E04AA" w:rsidP="005E04AA">
      <w:pPr>
        <w:pStyle w:val="NormalHanging12a"/>
      </w:pPr>
      <w:r w:rsidRPr="00237D46">
        <w:t>–</w:t>
      </w:r>
      <w:r w:rsidRPr="00237D46">
        <w:tab/>
        <w:t>ņemot vērā Komisijas un Savienības Augstā pārstāvja ārlietās un drošības politikas jautājumos 2020. gada 25. marta kopīgo paziņojumu “ES Rīcības plāns cilvēktiesību un demokrātijas jomā 2020.–2024. gadam” (JOIN(2020)0005),</w:t>
      </w:r>
    </w:p>
    <w:p w:rsidR="005E04AA" w:rsidRPr="00237D46" w:rsidRDefault="005E04AA" w:rsidP="005E04AA">
      <w:pPr>
        <w:pStyle w:val="NormalHanging12a"/>
      </w:pPr>
      <w:r w:rsidRPr="00237D46">
        <w:t>–</w:t>
      </w:r>
      <w:r w:rsidRPr="00237D46">
        <w:tab/>
        <w:t>ņemot vērā ES stratēģisko kompasu drošībai un aizsardzībai — Eiropas Savienībai, kas aizsargā savus pilsoņus, vērtības un intereses un veicina starptautisko mieru un drošību, kuru apstiprināja 2022. gada 21. martā,</w:t>
      </w:r>
    </w:p>
    <w:p w:rsidR="005E04AA" w:rsidRPr="00237D46" w:rsidRDefault="005E04AA" w:rsidP="005E04AA">
      <w:pPr>
        <w:pStyle w:val="NormalHanging12a"/>
      </w:pPr>
      <w:r w:rsidRPr="00237D46">
        <w:t>–</w:t>
      </w:r>
      <w:r w:rsidRPr="00237D46">
        <w:tab/>
        <w:t>ņemot vērā Komisijas un Savienības Augstā pārstāvja ārlietās un drošības politikas jautājumos 2020. gada 25. novembra kopīgo paziņojumu “ES Dzimumu līdztiesības rīcības plāns (</w:t>
      </w:r>
      <w:r w:rsidRPr="00237D46">
        <w:rPr>
          <w:i/>
          <w:iCs/>
        </w:rPr>
        <w:t>GAP</w:t>
      </w:r>
      <w:r w:rsidRPr="00237D46">
        <w:t>) III: Vērienīga programma dzimumu līdztiesībai un pilnvērtīgu iespēju nodrošināšanai sievietēm ES ārējā darbībā” (JOIN(2020)0017),</w:t>
      </w:r>
    </w:p>
    <w:p w:rsidR="005E04AA" w:rsidRPr="00237D46" w:rsidRDefault="005E04AA" w:rsidP="005E04AA">
      <w:pPr>
        <w:pStyle w:val="NormalHanging12a"/>
      </w:pPr>
      <w:r w:rsidRPr="00237D46">
        <w:t>–</w:t>
      </w:r>
      <w:r w:rsidRPr="00237D46">
        <w:tab/>
        <w:t>ņemot vērā Padomes 2010. gada 26. jūlija Lēmumu 2010/427/ES, ar ko nosaka Eiropas Ārējās darbības dienesta organizatorisko struktūru un darbību</w:t>
      </w:r>
      <w:r w:rsidRPr="00237D46">
        <w:rPr>
          <w:rStyle w:val="FootnoteReference"/>
        </w:rPr>
        <w:footnoteReference w:id="1"/>
      </w:r>
      <w:r w:rsidRPr="00237D46">
        <w:t>,</w:t>
      </w:r>
    </w:p>
    <w:p w:rsidR="005E04AA" w:rsidRPr="00237D46" w:rsidRDefault="005E04AA" w:rsidP="005E04AA">
      <w:pPr>
        <w:pStyle w:val="NormalHanging12a"/>
      </w:pPr>
      <w:r w:rsidRPr="00237D46">
        <w:lastRenderedPageBreak/>
        <w:t>–</w:t>
      </w:r>
      <w:r w:rsidRPr="00237D46">
        <w:tab/>
        <w:t>ņemot vērā 2003. gadā notikušā ES un Latīņamerikas un Karību jūras reģiona valstu kopienas samita 2023. gada 18. jūlija deklarācijas 34. punktu, kurā parlamentārā diplomātija atzīta par svarīgu attiecību dimensiju,</w:t>
      </w:r>
    </w:p>
    <w:p w:rsidR="005E04AA" w:rsidRPr="00237D46" w:rsidRDefault="005E04AA" w:rsidP="005E04AA">
      <w:pPr>
        <w:pStyle w:val="NormalHanging12a"/>
      </w:pPr>
      <w:r w:rsidRPr="00237D46">
        <w:t>–</w:t>
      </w:r>
      <w:r w:rsidRPr="00237D46">
        <w:tab/>
        <w:t>ņemot vērā 2023. gada 15. marta ieteikumu Padomei un Komisijas priekšsēdētājas vietniekam / Savienības Augstajam pārstāvim ārlietās un drošības politikas jautājumos izvērtēt EĀDD darbību un veidot pasaules mērogā spēcīgāku ES</w:t>
      </w:r>
      <w:r w:rsidRPr="00237D46">
        <w:rPr>
          <w:rStyle w:val="FootnoteReference"/>
        </w:rPr>
        <w:footnoteReference w:id="2"/>
      </w:r>
      <w:r w:rsidRPr="00237D46">
        <w:t>,</w:t>
      </w:r>
    </w:p>
    <w:p w:rsidR="005E04AA" w:rsidRPr="00237D46" w:rsidRDefault="005E04AA" w:rsidP="005E04AA">
      <w:pPr>
        <w:pStyle w:val="NormalHanging12a"/>
      </w:pPr>
      <w:r w:rsidRPr="00237D46">
        <w:t>–</w:t>
      </w:r>
      <w:r w:rsidRPr="00237D46">
        <w:tab/>
        <w:t>ņemot vērā 2023. gada 18. janvāra rezolūciju par 2022. gada ziņojumu par kopējās ārpolitikas un drošības politikas īstenošanu</w:t>
      </w:r>
      <w:r w:rsidRPr="00237D46">
        <w:rPr>
          <w:rStyle w:val="FootnoteReference"/>
        </w:rPr>
        <w:footnoteReference w:id="3"/>
      </w:r>
      <w:r w:rsidRPr="00237D46">
        <w:t>,</w:t>
      </w:r>
    </w:p>
    <w:p w:rsidR="005E04AA" w:rsidRPr="00237D46" w:rsidRDefault="005E04AA" w:rsidP="005E04AA">
      <w:pPr>
        <w:pStyle w:val="NormalHanging12a"/>
      </w:pPr>
      <w:r w:rsidRPr="00237D46">
        <w:t>–</w:t>
      </w:r>
      <w:r w:rsidRPr="00237D46">
        <w:tab/>
        <w:t>ņemot vērā 2023. gada 18. janvāra rezolūciju par 2022. gada ziņojumu par kopējās drošības un aizsardzības politikas īstenošanu</w:t>
      </w:r>
      <w:r w:rsidRPr="00237D46">
        <w:rPr>
          <w:rStyle w:val="FootnoteReference"/>
        </w:rPr>
        <w:footnoteReference w:id="4"/>
      </w:r>
      <w:r w:rsidRPr="00237D46">
        <w:t>,</w:t>
      </w:r>
    </w:p>
    <w:p w:rsidR="005E04AA" w:rsidRPr="00237D46" w:rsidRDefault="005E04AA" w:rsidP="005E04AA">
      <w:pPr>
        <w:pStyle w:val="NormalHanging12a"/>
      </w:pPr>
      <w:r w:rsidRPr="00237D46">
        <w:t>–</w:t>
      </w:r>
      <w:r w:rsidRPr="00237D46">
        <w:tab/>
        <w:t xml:space="preserve">ņemot vērā 2019. gada 12. marta rezolūciju par ES konfliktu novēršanas un </w:t>
      </w:r>
      <w:proofErr w:type="spellStart"/>
      <w:r w:rsidRPr="00237D46">
        <w:t>mediācijas</w:t>
      </w:r>
      <w:proofErr w:type="spellEnd"/>
      <w:r w:rsidRPr="00237D46">
        <w:t xml:space="preserve"> spēju uzlabošanu</w:t>
      </w:r>
      <w:r w:rsidRPr="00237D46">
        <w:rPr>
          <w:rStyle w:val="FootnoteReference"/>
        </w:rPr>
        <w:footnoteReference w:id="5"/>
      </w:r>
      <w:r w:rsidRPr="00237D46">
        <w:t>,</w:t>
      </w:r>
    </w:p>
    <w:p w:rsidR="005E04AA" w:rsidRPr="00237D46" w:rsidRDefault="005E04AA" w:rsidP="005E04AA">
      <w:pPr>
        <w:pStyle w:val="NormalHanging12a"/>
      </w:pPr>
      <w:r w:rsidRPr="00237D46">
        <w:t>–</w:t>
      </w:r>
      <w:r w:rsidRPr="00237D46">
        <w:tab/>
        <w:t xml:space="preserve">ņemot vērā 2023. gada 13. septembra lēmumu par grozījumiem Parlamenta Reglamentā integritātes, neatkarības un </w:t>
      </w:r>
      <w:proofErr w:type="spellStart"/>
      <w:r w:rsidRPr="00237D46">
        <w:t>pārskatatbildības</w:t>
      </w:r>
      <w:proofErr w:type="spellEnd"/>
      <w:r w:rsidRPr="00237D46">
        <w:t xml:space="preserve"> stiprināšanai</w:t>
      </w:r>
      <w:r w:rsidRPr="00237D46">
        <w:rPr>
          <w:rStyle w:val="FootnoteReference"/>
        </w:rPr>
        <w:footnoteReference w:id="6"/>
      </w:r>
      <w:r w:rsidRPr="00237D46">
        <w:t>,</w:t>
      </w:r>
    </w:p>
    <w:p w:rsidR="005E04AA" w:rsidRPr="00237D46" w:rsidRDefault="005E04AA" w:rsidP="005E04AA">
      <w:pPr>
        <w:pStyle w:val="NormalHanging12a"/>
      </w:pPr>
      <w:r w:rsidRPr="00237D46">
        <w:t>–</w:t>
      </w:r>
      <w:r w:rsidRPr="00237D46">
        <w:tab/>
        <w:t>ņemot vērā Reglamenta 54. pantu,</w:t>
      </w:r>
    </w:p>
    <w:p w:rsidR="005E04AA" w:rsidRPr="00237D46" w:rsidRDefault="005E04AA" w:rsidP="005E04AA">
      <w:pPr>
        <w:pStyle w:val="NormalHanging12a"/>
      </w:pPr>
      <w:r w:rsidRPr="00237D46">
        <w:t>–</w:t>
      </w:r>
      <w:r w:rsidRPr="00237D46">
        <w:tab/>
        <w:t>ņemot vērā Ārlietu komitejas ziņojumu (A9-0405/2023),</w:t>
      </w:r>
    </w:p>
    <w:p w:rsidR="005E04AA" w:rsidRPr="00237D46" w:rsidRDefault="005E04AA" w:rsidP="005E04AA">
      <w:pPr>
        <w:pStyle w:val="NormalHanging12a"/>
      </w:pPr>
      <w:r w:rsidRPr="00237D46">
        <w:t>A.</w:t>
      </w:r>
      <w:r w:rsidRPr="00237D46">
        <w:tab/>
        <w:t xml:space="preserve">tā kā Parlamenta kā viena no likumdevējām iestādēm un budžeta </w:t>
      </w:r>
      <w:proofErr w:type="spellStart"/>
      <w:r w:rsidRPr="00237D46">
        <w:t>lēmējiestādēm</w:t>
      </w:r>
      <w:proofErr w:type="spellEnd"/>
      <w:r w:rsidRPr="00237D46">
        <w:t xml:space="preserve"> loma attiecas ne tikai uz ES iekšpolitiku, bet lielā mērā arī uz ES ārējo darbību;</w:t>
      </w:r>
    </w:p>
    <w:p w:rsidR="005E04AA" w:rsidRPr="00237D46" w:rsidRDefault="005E04AA" w:rsidP="005E04AA">
      <w:pPr>
        <w:pStyle w:val="NormalHanging12a"/>
      </w:pPr>
      <w:r w:rsidRPr="00237D46">
        <w:t>B.</w:t>
      </w:r>
      <w:r w:rsidRPr="00237D46">
        <w:tab/>
        <w:t>tā kā LES 36. pantā ir noteikts, ka PV/AP ir regulāri jāapspriežas ar Parlamentu par kopējās ārpolitikas un drošības politikas (KĀDP) būtiskākajiem aspektiem un pamatvirzienu izvēli un informē to par šo politiku attīstību;</w:t>
      </w:r>
    </w:p>
    <w:p w:rsidR="005E04AA" w:rsidRPr="00237D46" w:rsidRDefault="005E04AA" w:rsidP="005E04AA">
      <w:pPr>
        <w:pStyle w:val="NormalHanging12a"/>
      </w:pPr>
      <w:r w:rsidRPr="00237D46">
        <w:t>C.</w:t>
      </w:r>
      <w:r w:rsidRPr="00237D46">
        <w:tab/>
        <w:t>tā kā, lai stātos spēkā lielākā daļa starptautisko nolīgumu, ir vajadzīga Parlamenta piekrišana; tā kā Līguma par Eiropas Savienības darbību 218. panta 10. punktā paredzēts, ka attiecībā uz sarunām par šādiem nolīgumiem Eiropas Parlamentu “nekavējoties un pilnīgi informē visos procedūras posmos”;</w:t>
      </w:r>
    </w:p>
    <w:p w:rsidR="005E04AA" w:rsidRPr="00237D46" w:rsidRDefault="005E04AA" w:rsidP="005E04AA">
      <w:pPr>
        <w:pStyle w:val="NormalHanging12a"/>
      </w:pPr>
      <w:r w:rsidRPr="00237D46">
        <w:t>D.</w:t>
      </w:r>
      <w:r w:rsidRPr="00237D46">
        <w:tab/>
        <w:t>tā kā Parlaments pārbauda un apspriež ES ārlietu norisi, jo īpaši ar Ārlietu komitejas un tās abu apakškomiteju, proti, Cilvēktiesību apakškomitejas un Drošības un aizsardzības apakškomitejas, kā arī ar Starptautiskās tirdzniecības komitejas un Attīstības komitejas palīdzību; tā kā šī kontroles funkcija ietver jautājumus, kas attiecas uz ES tematisko, reģionālo un valstu stratēģiju un citu politikas dokumentu, piemēram, ES Dzimumu līdztiesības rīcības plāna, pieņemšanu, īstenošanu un pārskatīšanu, kā arī finansiālo palīdzību un iecelšanu augstākā līmeņa amatos ES ārējā pārstāvniecībā;</w:t>
      </w:r>
    </w:p>
    <w:p w:rsidR="005E04AA" w:rsidRPr="00237D46" w:rsidRDefault="005E04AA" w:rsidP="005E04AA">
      <w:pPr>
        <w:pStyle w:val="NormalHanging12a"/>
      </w:pPr>
      <w:r w:rsidRPr="00237D46">
        <w:t>E.</w:t>
      </w:r>
      <w:r w:rsidRPr="00237D46">
        <w:tab/>
        <w:t xml:space="preserve">tā kā Parlaments kā vienīgā ES pilsoņu tieši ievēlētā ES iestāde rīko publiskas debates plenārsēdē un komitejās un pieņem ziņojumus un rezolūcijas par ES ārpolitiku un </w:t>
      </w:r>
      <w:r w:rsidRPr="00237D46">
        <w:lastRenderedPageBreak/>
        <w:t>drošības politiku un situāciju valstīs, kas nav Savienības dalībvalstis, jo īpaši attiecībā uz cilvēktiesībām, un tādējādi veicina sabiedrības izpratni un diskusijas gan ES, gan arī attiecīgajās valstīs; tā kā šie ziņojumi un rezolūcijas veicina normatīvās norises visā pasaulē un tos rūpīgi pārbauda trešo valstu dalībnieki, tostarp valdības, parlamenti, pilsoniskās sabiedrības un mediju pārstāvji, un tie var izraisīt reakciju un sekas šajās valstīs;</w:t>
      </w:r>
    </w:p>
    <w:p w:rsidR="005E04AA" w:rsidRPr="00237D46" w:rsidRDefault="005E04AA" w:rsidP="005E04AA">
      <w:pPr>
        <w:pStyle w:val="NormalHanging12a"/>
      </w:pPr>
      <w:r w:rsidRPr="00237D46">
        <w:t>F.</w:t>
      </w:r>
      <w:r w:rsidRPr="00237D46">
        <w:tab/>
        <w:t xml:space="preserve">tā kā Parlamentam ir unikāls 45 pastāvīgo delegāciju tīkls, kas uztur un padziļina attiecības ar citiem parlamentiem no </w:t>
      </w:r>
      <w:proofErr w:type="spellStart"/>
      <w:r w:rsidRPr="00237D46">
        <w:t>trešām</w:t>
      </w:r>
      <w:proofErr w:type="spellEnd"/>
      <w:r w:rsidRPr="00237D46">
        <w:t xml:space="preserve"> valstīm, reģioniem un organizācijām; tā kā šādas struktūras bieži vien veido parlamentāro dimensiju ES divpusējos nolīgumos ar šādām valstīm;</w:t>
      </w:r>
    </w:p>
    <w:p w:rsidR="005E04AA" w:rsidRPr="00237D46" w:rsidRDefault="005E04AA" w:rsidP="005E04AA">
      <w:pPr>
        <w:pStyle w:val="NormalHanging12a"/>
      </w:pPr>
      <w:r w:rsidRPr="00237D46">
        <w:t>G.</w:t>
      </w:r>
      <w:r w:rsidRPr="00237D46">
        <w:tab/>
        <w:t>tā kā Parlamenta loma Savienības gada budžeta izveidē ir būtiska, lai atbalstītu valstis, kurām visvairāk nepieciešams pārvarēt ilgtermiņa attīstības problēmas, izmantojot Kaimiņattiecību, attīstības sadarbības un starptautiskās sadarbības instrumentu “Eiropas pasaulē”, un lai novērstu lielas humanitārās katastrofas un ārkārtas situācijas, galvenokārt sniedzot humāno palīdzību;</w:t>
      </w:r>
    </w:p>
    <w:p w:rsidR="005E04AA" w:rsidRPr="00237D46" w:rsidRDefault="005E04AA" w:rsidP="005E04AA">
      <w:pPr>
        <w:pStyle w:val="NormalHanging12a"/>
      </w:pPr>
      <w:r w:rsidRPr="00237D46">
        <w:t>H.</w:t>
      </w:r>
      <w:r w:rsidRPr="00237D46">
        <w:tab/>
        <w:t>tā kā dzimumu līdztiesības veicināšana ir viens no ES ārpolitikas mērķiem; tā kā visas ES dalībvalstis un Eiropas Parlaments ir apņēmušies īstenot ANO Drošības padomes Rezolūciju 1325 (2000) par sievietēm, mieru un drošību;</w:t>
      </w:r>
    </w:p>
    <w:p w:rsidR="005E04AA" w:rsidRPr="00237D46" w:rsidRDefault="005E04AA" w:rsidP="005E04AA">
      <w:pPr>
        <w:pStyle w:val="NormalHanging12a"/>
      </w:pPr>
      <w:r w:rsidRPr="00237D46">
        <w:t>I.</w:t>
      </w:r>
      <w:r w:rsidRPr="00237D46">
        <w:tab/>
        <w:t xml:space="preserve">tā kā Parlaments ir kļuvis par vienu no aktīvākajiem parlamentiem parlamentārās diplomātiskās darbības un tai atvēlēto resursu ziņā; tā kā parlamentārā diplomātija palīdz sasniegt ES mērķus un veicināt ES vērtības, intereses un politiku, tostarp daudzpusējā līmenī, līdz ar to ar konsekventāku un saskaņotāku ES ārējo darbību radot pievienoto vērtību; tā kā parlamentārā diplomātija var uzlabot stratēģisko komunikāciju un lēmumu un īstenošanas pasākumu </w:t>
      </w:r>
      <w:proofErr w:type="spellStart"/>
      <w:r w:rsidRPr="00237D46">
        <w:t>pamanāmību</w:t>
      </w:r>
      <w:proofErr w:type="spellEnd"/>
      <w:r w:rsidRPr="00237D46">
        <w:t xml:space="preserve"> un efektivitāti gan ES KĀDP, gan kopējās drošības un aizsardzības politikas (KDAP) jomā;</w:t>
      </w:r>
    </w:p>
    <w:p w:rsidR="005E04AA" w:rsidRPr="00237D46" w:rsidRDefault="005E04AA" w:rsidP="005E04AA">
      <w:pPr>
        <w:pStyle w:val="NormalHanging12a"/>
      </w:pPr>
      <w:r w:rsidRPr="00237D46">
        <w:t>J.</w:t>
      </w:r>
      <w:r w:rsidRPr="00237D46">
        <w:tab/>
        <w:t xml:space="preserve">tā kā Parlaments parlamentārās diplomātijas īstenošanā pastāvīgi sadarbojas ar pasaules līderiem, vēlētām amatpersonām, valdību pārstāvjiem un diplomātiem, publiskā sektora iestādēm, pilsoniskās sabiedrības organizācijām un pārstāvjiem, tostarp no neaizsargātām un riskam pakļautām iedzīvotāju grupām, un citām ieinteresētajām personām no </w:t>
      </w:r>
      <w:proofErr w:type="spellStart"/>
      <w:r w:rsidRPr="00237D46">
        <w:t>trešām</w:t>
      </w:r>
      <w:proofErr w:type="spellEnd"/>
      <w:r w:rsidRPr="00237D46">
        <w:t xml:space="preserve"> valstīm, kā arī daudzpusējām iestādēm, jo īpaši ar delegāciju un komiteju palīdzību, tostarp rīkojot uzklausīšanas, pieņemot ziņojumus un rezolūcijas un apmeklējot attiecīgās valstis;</w:t>
      </w:r>
    </w:p>
    <w:p w:rsidR="005E04AA" w:rsidRPr="00237D46" w:rsidRDefault="005E04AA" w:rsidP="005E04AA">
      <w:pPr>
        <w:pStyle w:val="NormalHanging12a"/>
      </w:pPr>
      <w:r w:rsidRPr="00237D46">
        <w:t>K.</w:t>
      </w:r>
      <w:r w:rsidRPr="00237D46">
        <w:tab/>
        <w:t>tā kā LES 36. pants uzdod AP/PV vismaz divas reizes gadā ierasties Parlamentā, lai ziņotu par pašreizējo KĀDP/KDAP situāciju un atbildētu uz jautājumiem; tā kā ir jāatjaunina Eiropas Parlamenta un Padomes 2002. gada 20. novembra Iestāžu nolīgums par Eiropas Parlamenta piekļuvi Padomes slepenajai informācijai drošības un aizsardzības politikas jomā</w:t>
      </w:r>
      <w:r w:rsidRPr="00237D46">
        <w:rPr>
          <w:rStyle w:val="FootnoteReference"/>
        </w:rPr>
        <w:footnoteReference w:id="7"/>
      </w:r>
      <w:r w:rsidRPr="00237D46">
        <w:t>;</w:t>
      </w:r>
    </w:p>
    <w:p w:rsidR="005E04AA" w:rsidRPr="00237D46" w:rsidRDefault="005E04AA" w:rsidP="005E04AA">
      <w:pPr>
        <w:pStyle w:val="NormalHanging12a"/>
      </w:pPr>
      <w:r w:rsidRPr="00237D46">
        <w:t>L.</w:t>
      </w:r>
      <w:r w:rsidRPr="00237D46">
        <w:tab/>
        <w:t xml:space="preserve">tā kā Eiropas Parlamenta Demokrātijas atbalsta un vēlēšanu koordinācijas grupa, kuru vada Ārlietu komitejas un Attīstības komitejas priekšsēdētāji un kurā darbojas deputāti no visa politiskā spektra, pārrauga Parlamenta centienus atbalstīt demokrātiju ārpus ES robežām, tostarp attiecībā uz vēlēšanu novērošanu, </w:t>
      </w:r>
      <w:proofErr w:type="spellStart"/>
      <w:r w:rsidRPr="00237D46">
        <w:t>mediāciju</w:t>
      </w:r>
      <w:proofErr w:type="spellEnd"/>
      <w:r w:rsidRPr="00237D46">
        <w:t xml:space="preserve"> un dialogu; tā kā Žana Monē dialogā par mieru un demokrātiju Parlaments pulcē kopā trešo valstu politiskos </w:t>
      </w:r>
      <w:r w:rsidRPr="00237D46">
        <w:lastRenderedPageBreak/>
        <w:t xml:space="preserve">līderus, lai veicinātu partiju savstarpējo saziņu un vienprātības veidošanu; tā kā EP deputāti darbojas kā īpašie sūtņi un mediatori konfliktu novēršanā situācijās, kad konkrētās pasaules valstīs ir augsts saspīlējums; </w:t>
      </w:r>
    </w:p>
    <w:p w:rsidR="005E04AA" w:rsidRPr="00237D46" w:rsidRDefault="005E04AA" w:rsidP="005E04AA">
      <w:pPr>
        <w:pStyle w:val="NormalHanging12a"/>
      </w:pPr>
      <w:r w:rsidRPr="00237D46">
        <w:t>M.</w:t>
      </w:r>
      <w:r w:rsidRPr="00237D46">
        <w:tab/>
        <w:t xml:space="preserve">tā kā Eiropas Parlaments palīdz trešo valstu parlamentiem un starptautiskajām reģionālajām asamblejām, lai uzlabotu to institucionālās spējas; tā kā tas ir izveidojis pastāvīgu dialogu ar šīm likumdošanas iestādēm un regulāri apmainās ar </w:t>
      </w:r>
      <w:proofErr w:type="spellStart"/>
      <w:r w:rsidRPr="00237D46">
        <w:t>paraugpraksi</w:t>
      </w:r>
      <w:proofErr w:type="spellEnd"/>
      <w:r w:rsidRPr="00237D46">
        <w:t xml:space="preserve">; </w:t>
      </w:r>
    </w:p>
    <w:p w:rsidR="005E04AA" w:rsidRPr="00237D46" w:rsidRDefault="005E04AA" w:rsidP="005E04AA">
      <w:pPr>
        <w:pStyle w:val="NormalHanging12a"/>
      </w:pPr>
      <w:r w:rsidRPr="00237D46">
        <w:t>N.</w:t>
      </w:r>
      <w:r w:rsidRPr="00237D46">
        <w:tab/>
        <w:t>tā kā Parlaments ir starptautiski atzīts vēlēšanu novērotājs; tā kā Parlamenta vēlēšanu novērošanas delegācijas ir iekļautas vai nu ES vēlēšanu novērošanas misijās, vai starptautiskās vēlēšanu novērošanas misijās;</w:t>
      </w:r>
    </w:p>
    <w:p w:rsidR="005E04AA" w:rsidRPr="00237D46" w:rsidRDefault="005E04AA" w:rsidP="005E04AA">
      <w:pPr>
        <w:pStyle w:val="NormalHanging12a"/>
      </w:pPr>
      <w:r w:rsidRPr="00237D46">
        <w:t>O.</w:t>
      </w:r>
      <w:r w:rsidRPr="00237D46">
        <w:tab/>
        <w:t xml:space="preserve">tā kā politiskajām grupām un atsevišķiem Parlamenta deputātiem ir blīvs un daudzveidīgs kontaktu tīkls ar politiskajām partijām, parlamentāriešiem, valdības amatpersonām, kā arī ar privātā sektora un pilsoniskās sabiedrības ieinteresētajām personām trešās valstīs, jo īpaši ES pievienošanās </w:t>
      </w:r>
      <w:proofErr w:type="spellStart"/>
      <w:r w:rsidRPr="00237D46">
        <w:t>sarunvalstīs</w:t>
      </w:r>
      <w:proofErr w:type="spellEnd"/>
      <w:r w:rsidRPr="00237D46">
        <w:t xml:space="preserve"> un ES kaimiņvalstīs;</w:t>
      </w:r>
    </w:p>
    <w:p w:rsidR="005E04AA" w:rsidRPr="00237D46" w:rsidRDefault="005E04AA" w:rsidP="005E04AA">
      <w:pPr>
        <w:pStyle w:val="NormalHanging12a"/>
      </w:pPr>
      <w:r w:rsidRPr="00237D46">
        <w:t>P.</w:t>
      </w:r>
      <w:r w:rsidRPr="00237D46">
        <w:tab/>
        <w:t xml:space="preserve">tā kā papildus Eiropas Parlamenta vietējiem birojiem ārpus ES, proti, Londonā un Vašingtonā, Parlamentam ir vietējie biroji Apvienoto Nāciju Organizācijā Ņujorkā, Āfrikas Savienībā Adisabebā un </w:t>
      </w:r>
      <w:proofErr w:type="spellStart"/>
      <w:r w:rsidRPr="00237D46">
        <w:t>Dienvidaustrumāzijas</w:t>
      </w:r>
      <w:proofErr w:type="spellEnd"/>
      <w:r w:rsidRPr="00237D46">
        <w:t xml:space="preserve"> valstu asociācijā Džakartā, kuru mērķis ir stiprināt parlamentāro sadarbību ar šīm daudzpusējām organizācijām;</w:t>
      </w:r>
    </w:p>
    <w:p w:rsidR="005E04AA" w:rsidRPr="00237D46" w:rsidRDefault="005E04AA" w:rsidP="005E04AA">
      <w:pPr>
        <w:pStyle w:val="NormalHanging12a"/>
      </w:pPr>
      <w:r w:rsidRPr="00237D46">
        <w:t>Q.</w:t>
      </w:r>
      <w:r w:rsidRPr="00237D46">
        <w:tab/>
        <w:t>tā kā Padomes Lēmuma</w:t>
      </w:r>
      <w:r w:rsidR="00A63CEF">
        <w:t xml:space="preserve"> 2010/427/ES</w:t>
      </w:r>
      <w:r w:rsidRPr="00237D46">
        <w:t xml:space="preserve"> 5. panta 7. punktā ir noteikts, ka “Savienības delegācijas var reaģēt uz citu Sa</w:t>
      </w:r>
      <w:bookmarkStart w:id="8" w:name="_GoBack"/>
      <w:bookmarkEnd w:id="8"/>
      <w:r w:rsidRPr="00237D46">
        <w:t xml:space="preserve">vienības iestāžu, jo īpaši Eiropas Parlamenta, vajadzībām, īstenojot saziņu ar starptautiskajām organizācijām vai </w:t>
      </w:r>
      <w:proofErr w:type="spellStart"/>
      <w:r w:rsidRPr="00237D46">
        <w:t>trešām</w:t>
      </w:r>
      <w:proofErr w:type="spellEnd"/>
      <w:r w:rsidRPr="00237D46">
        <w:t xml:space="preserve"> valstīm, kurās delegācijas ir akreditētas”,</w:t>
      </w:r>
    </w:p>
    <w:p w:rsidR="005E04AA" w:rsidRPr="00237D46" w:rsidRDefault="005E04AA" w:rsidP="005E04AA">
      <w:pPr>
        <w:pStyle w:val="Normal12a24b"/>
      </w:pPr>
      <w:r w:rsidRPr="00237D46">
        <w:rPr>
          <w:rStyle w:val="BoldItalic"/>
        </w:rPr>
        <w:t>Konsolidējoša parlamentārā diplomātija</w:t>
      </w:r>
    </w:p>
    <w:p w:rsidR="005E04AA" w:rsidRPr="00237D46" w:rsidRDefault="005E04AA" w:rsidP="005E04AA">
      <w:pPr>
        <w:pStyle w:val="NormalHanging12a"/>
      </w:pPr>
      <w:r w:rsidRPr="00237D46">
        <w:t>1.</w:t>
      </w:r>
      <w:r w:rsidRPr="00237D46">
        <w:tab/>
        <w:t>atzinīgi vērtē Parlamenta augošo lomu ES ārējā darbībā — Parlaments ir pakāpeniski kļuvis aizvien svarīgāks šajā jomā, apvienojot tā likumdošanas, budžeta un kontroles pilnvaras ar dažāda veida publisku un klusu iesaisti ar starptautiskām organizācijām, valstīm, sabiedrību un indivīdiem ārpus Eiropas Savienības;</w:t>
      </w:r>
    </w:p>
    <w:p w:rsidR="005E04AA" w:rsidRPr="00237D46" w:rsidRDefault="005E04AA" w:rsidP="005E04AA">
      <w:pPr>
        <w:pStyle w:val="NormalHanging12a"/>
      </w:pPr>
      <w:r w:rsidRPr="00237D46">
        <w:t>2.</w:t>
      </w:r>
      <w:r w:rsidRPr="00237D46">
        <w:tab/>
        <w:t xml:space="preserve">uzsver ES parlamentārās diplomātijas īpašo lomu un vērtību ES ārpolitikas un drošības politikas </w:t>
      </w:r>
      <w:proofErr w:type="spellStart"/>
      <w:r w:rsidRPr="00237D46">
        <w:t>pamanāmības</w:t>
      </w:r>
      <w:proofErr w:type="spellEnd"/>
      <w:r w:rsidRPr="00237D46">
        <w:t xml:space="preserve"> un ietekmes papildināšanā un stiprināšanā kopā ar Eiropas Ārējās darbības dienestu (EĀDD), Komisiju un dalībvalstu diplomātiskajiem dienestiem un parlamentiem, vienlaikus nodrošinot Parlamenta autonomiju;</w:t>
      </w:r>
    </w:p>
    <w:p w:rsidR="005E04AA" w:rsidRPr="00237D46" w:rsidRDefault="005E04AA" w:rsidP="005E04AA">
      <w:pPr>
        <w:pStyle w:val="NormalHanging12a"/>
      </w:pPr>
      <w:r w:rsidRPr="00237D46">
        <w:t>3.</w:t>
      </w:r>
      <w:r w:rsidRPr="00237D46">
        <w:tab/>
        <w:t xml:space="preserve">uzsver, cik svarīga ir parlamentārā diplomātija kā līdzeklis, lai uzrunātu daudzveidīgākas ieinteresētās personas partnervalstīs un trešās valstīs nolūkā uzlabot informētību par ES tiesību aktiem un nostājām, labāk izprast šādu tiesību aktu un nostāju uztveri, ietekmi un sekas šajās valstīs un veidot </w:t>
      </w:r>
      <w:proofErr w:type="spellStart"/>
      <w:r w:rsidRPr="00237D46">
        <w:t>vienādranga</w:t>
      </w:r>
      <w:proofErr w:type="spellEnd"/>
      <w:r w:rsidRPr="00237D46">
        <w:t xml:space="preserve"> alianses un stabilas partnerības arvien sarežģītākā un </w:t>
      </w:r>
      <w:proofErr w:type="spellStart"/>
      <w:r w:rsidRPr="00237D46">
        <w:t>multipolārākā</w:t>
      </w:r>
      <w:proofErr w:type="spellEnd"/>
      <w:r w:rsidRPr="00237D46">
        <w:t xml:space="preserve"> starptautiskā kontekstā;</w:t>
      </w:r>
    </w:p>
    <w:p w:rsidR="005E04AA" w:rsidRPr="00237D46" w:rsidRDefault="005E04AA" w:rsidP="005E04AA">
      <w:pPr>
        <w:pStyle w:val="NormalHanging12a"/>
      </w:pPr>
      <w:r w:rsidRPr="00237D46">
        <w:t>4.</w:t>
      </w:r>
      <w:r w:rsidRPr="00237D46">
        <w:tab/>
        <w:t>pauž nožēlu par to, ka, neraugoties uz Parlamenta īpašo ieguldījumu ES ārpolitikas un drošības politikas mērķu sasniegšanā un parlamentārās diplomātijas sniegto pievienoto vērtību un papildinājumu, Komisija, Padome un EĀDD vēl nav pilnībā to atzinušas par neaizstājamu dalībnieku Eiropas komandas pieejā;</w:t>
      </w:r>
    </w:p>
    <w:p w:rsidR="005E04AA" w:rsidRPr="00237D46" w:rsidRDefault="005E04AA" w:rsidP="005E04AA">
      <w:pPr>
        <w:pStyle w:val="NormalHanging12a"/>
      </w:pPr>
      <w:r w:rsidRPr="00237D46">
        <w:lastRenderedPageBreak/>
        <w:t>5.</w:t>
      </w:r>
      <w:r w:rsidRPr="00237D46">
        <w:tab/>
        <w:t>uzskata, ka Parlamentam ir liels neizmantots potenciāls vēl vairāk attīstīt savu diplomātisko lomu un ieguldījumu ES ārpolitikas un drošības politikas mērķu sasniegšanā;</w:t>
      </w:r>
    </w:p>
    <w:p w:rsidR="005E04AA" w:rsidRPr="00237D46" w:rsidRDefault="005E04AA" w:rsidP="005E04AA">
      <w:pPr>
        <w:pStyle w:val="Normal12a24b"/>
      </w:pPr>
      <w:r w:rsidRPr="00237D46">
        <w:rPr>
          <w:rStyle w:val="BoldItalic"/>
        </w:rPr>
        <w:t>Parlamentārās diplomātijas instrumenti, līdzekļi un vērtības</w:t>
      </w:r>
    </w:p>
    <w:p w:rsidR="005E04AA" w:rsidRPr="00237D46" w:rsidRDefault="005E04AA" w:rsidP="005E04AA">
      <w:pPr>
        <w:pStyle w:val="NormalHanging12a"/>
      </w:pPr>
      <w:r w:rsidRPr="00237D46">
        <w:t>6.</w:t>
      </w:r>
      <w:r w:rsidRPr="00237D46">
        <w:tab/>
        <w:t xml:space="preserve">uzsver Parlamenta īpašo, dinamisko un publisko ieguldījumu ES ārpolitikā un drošības politikā un globālo problēmu risināšanā ar darbu, ko veic ar ārlietām saistītās komitejas, tostarp Cilvēktiesību apakškomiteja un Drošības un aizsardzības apakškomiteja, kuras veicina attiecības ar </w:t>
      </w:r>
      <w:proofErr w:type="spellStart"/>
      <w:r w:rsidRPr="00237D46">
        <w:t>trešām</w:t>
      </w:r>
      <w:proofErr w:type="spellEnd"/>
      <w:r w:rsidRPr="00237D46">
        <w:t xml:space="preserve"> valstīm, starptautiskām organizācijām un pilsonisko sabiedrību visā pasaulē;</w:t>
      </w:r>
    </w:p>
    <w:p w:rsidR="005E04AA" w:rsidRPr="00237D46" w:rsidRDefault="005E04AA" w:rsidP="005E04AA">
      <w:pPr>
        <w:pStyle w:val="NormalHanging12a"/>
      </w:pPr>
      <w:r w:rsidRPr="00237D46">
        <w:t>7.</w:t>
      </w:r>
      <w:r w:rsidRPr="00237D46">
        <w:tab/>
        <w:t xml:space="preserve">uzsver, ka pastāvīgās delegācijas veic svarīgu darbu un papildina komiteju darbu, veidojot regulāru un noturīgu forumu politiskajam dialogam ar </w:t>
      </w:r>
      <w:proofErr w:type="spellStart"/>
      <w:r w:rsidRPr="00237D46">
        <w:t>trešām</w:t>
      </w:r>
      <w:proofErr w:type="spellEnd"/>
      <w:r w:rsidRPr="00237D46">
        <w:t xml:space="preserve"> valstīm un starptautiskajām organizācijām, tostarp apvienotajās parlamentārajās struktūrās un daudzpusējās asamblejās;</w:t>
      </w:r>
    </w:p>
    <w:p w:rsidR="005E04AA" w:rsidRPr="00237D46" w:rsidRDefault="005E04AA" w:rsidP="005E04AA">
      <w:pPr>
        <w:pStyle w:val="NormalHanging12a"/>
      </w:pPr>
      <w:r w:rsidRPr="00237D46">
        <w:t>8.</w:t>
      </w:r>
      <w:r w:rsidRPr="00237D46">
        <w:tab/>
        <w:t>uzsver, ka pastāvīgajām delegācijām ir nozīmīga loma kā tiltam starp Parlamentu un tā partneriem visā pasaulē, veicinot mijiedarbību, pastāvīgi sniedzot informāciju komitejām un citām Parlamenta struktūrām, apspriežot kopējas intereses nostājas un politikas virzienus, kā arī uzklausot dažādus partnerus un citas ieinteresētās personas un nododot viņu viedokli Parlamenta kompetentajām struktūrām;</w:t>
      </w:r>
    </w:p>
    <w:p w:rsidR="005E04AA" w:rsidRPr="00237D46" w:rsidRDefault="005E04AA" w:rsidP="005E04AA">
      <w:pPr>
        <w:pStyle w:val="NormalHanging12a"/>
      </w:pPr>
      <w:r w:rsidRPr="00237D46">
        <w:t>9.</w:t>
      </w:r>
      <w:r w:rsidRPr="00237D46">
        <w:tab/>
        <w:t>uzskata, ka Parlamenta oficiālie braucieni ārpus ES ir neatņemama ES ārpolitikas daļa, un tādēļ tiem ir jāsaņem pilnīgs ES delegāciju atbalsts un augstākā līmeņa informatīvais un drošības atbalsts no EĀDD; prasa, lai EĀDD Krīzes reaģēšanas centram tiktu nodrošināti visi nepieciešamie resursi; uzskata, ka darba braucienu labāka koordinācija, plānošana un prioritāšu noteikšana starp dažādām Parlamenta struktūrām palielinātu Parlamenta diplomātiskās lomas konsekvenci, uzticamību un ietekmi;</w:t>
      </w:r>
    </w:p>
    <w:p w:rsidR="005E04AA" w:rsidRPr="00237D46" w:rsidRDefault="005E04AA" w:rsidP="005E04AA">
      <w:pPr>
        <w:pStyle w:val="NormalHanging12a"/>
      </w:pPr>
      <w:r w:rsidRPr="00237D46">
        <w:t>10.</w:t>
      </w:r>
      <w:r w:rsidRPr="00237D46">
        <w:tab/>
        <w:t>ierosina attiecīgajām Parlamenta struktūrām izstrādāt iekšējo koordināciju, cita starpā periodiski izveidojot to prioritāro valstu sarakstu, ar kurām sadarboties, pamatojoties uz gaidāmajiem likumdošanas dokumentiem un ģeopolitiskajām vai stratēģiskajām prioritātēm, un šajā nolūkā rīkojot kopīgu viedokļu apmaiņu ar šīm prioritārajām valstīm par ES attiecībām vai horizontāliem ģeopolitiskiem vai konflikta jautājumiem un veicinot sinerģiju starp Parlamenta ārvalstu misijām, lai izvairītos no nevajadzīgas pārklāšanās, racionalizētu resursus un stiprinātu Parlamenta vēstījumu konsekvenci;</w:t>
      </w:r>
    </w:p>
    <w:p w:rsidR="005E04AA" w:rsidRPr="00237D46" w:rsidRDefault="005E04AA" w:rsidP="005E04AA">
      <w:pPr>
        <w:pStyle w:val="NormalHanging12a"/>
      </w:pPr>
      <w:r w:rsidRPr="00237D46">
        <w:t>11.</w:t>
      </w:r>
      <w:r w:rsidRPr="00237D46">
        <w:tab/>
        <w:t xml:space="preserve">uzsver, ka parlamentāriešiem, dodoties oficiālā misijā, vajadzētu būt pilnībā sagatavotiem par trešās valsts kultūras un starptautisko kultūras attiecību dimensiju, lai viņi varētu veicināt veicinot dialoga kultūru </w:t>
      </w:r>
      <w:proofErr w:type="spellStart"/>
      <w:r w:rsidRPr="00237D46">
        <w:t>kultūru</w:t>
      </w:r>
      <w:proofErr w:type="spellEnd"/>
      <w:r w:rsidRPr="00237D46">
        <w:t xml:space="preserve"> dialogā; šajā sakarībā aicina EĀDD un jo īpaši tā Stratēģiskās komunikācijas un prognozēšanas nodaļu pilnībā atbalstīt Parlamenta oficiālos darba braucienus uz </w:t>
      </w:r>
      <w:proofErr w:type="spellStart"/>
      <w:r w:rsidRPr="00237D46">
        <w:t>trešām</w:t>
      </w:r>
      <w:proofErr w:type="spellEnd"/>
      <w:r w:rsidRPr="00237D46">
        <w:t xml:space="preserve"> valstīm;</w:t>
      </w:r>
    </w:p>
    <w:p w:rsidR="005E04AA" w:rsidRPr="00237D46" w:rsidRDefault="005E04AA" w:rsidP="005E04AA">
      <w:pPr>
        <w:pStyle w:val="NormalHanging12a"/>
      </w:pPr>
      <w:r w:rsidRPr="00237D46">
        <w:t>12.</w:t>
      </w:r>
      <w:r w:rsidRPr="00237D46">
        <w:tab/>
        <w:t>uzskata, ka Parlamenta un atsevišķu tā deputātu īstenotais politiskais dialogs ar dažādu pasaules valstu valdības, parlamentu un pilsoniskās sabiedrības dalībniekiem palīdz veicināt ES prioritātes, viedokļus un vērtības attiecībā uz globālajiem standartiem tādās jomās kā vispārējās cilvēktiesības un demokrātija, LGBTI tiesības, sieviešu tiesības un dzimumu līdztiesība, klimata un enerģētikas diplomātija, savienojamība, mākslīgais intelekts un digitālā un tehnoloģiskā politika;</w:t>
      </w:r>
    </w:p>
    <w:p w:rsidR="005E04AA" w:rsidRPr="00237D46" w:rsidRDefault="005E04AA" w:rsidP="005E04AA">
      <w:pPr>
        <w:pStyle w:val="NormalHanging12a"/>
      </w:pPr>
      <w:r w:rsidRPr="00237D46">
        <w:lastRenderedPageBreak/>
        <w:t>13.</w:t>
      </w:r>
      <w:r w:rsidRPr="00237D46">
        <w:tab/>
        <w:t xml:space="preserve">uzsver, ka Parlaments konsekventi velta uzmanību tam, lai cilvēktiesības, tiesiskumu un demokrātiju izvirzītu ES ārējās darbības centrā un nodrošinātu svarīgu forumu, kurā uzklausītu un padarīt dzirdamāku visas pasaules pilsoniskās sabiedrības un demokrātisko dalībnieku viedokli; šajā sakarībā uzsver darbības, ar kurām tas atbalsta cilvēktiesību aizstāvjus, apdraudētos parlamentāriešus un jaunos politiskos līderus, kā arī sieviešu līdzdalību politiskajā dzīvē un cīņu pret dezinformāciju; prasa turpināt attīstīt Parlamenta darbības un nākamajā Parlamenta </w:t>
      </w:r>
      <w:proofErr w:type="spellStart"/>
      <w:r w:rsidRPr="00237D46">
        <w:t>sasaukumā</w:t>
      </w:r>
      <w:proofErr w:type="spellEnd"/>
      <w:r w:rsidRPr="00237D46">
        <w:t xml:space="preserve"> panākt vārda došanu tiem, kuru tiesības ir apdraudētas;</w:t>
      </w:r>
    </w:p>
    <w:p w:rsidR="005E04AA" w:rsidRPr="00237D46" w:rsidRDefault="005E04AA" w:rsidP="005E04AA">
      <w:pPr>
        <w:pStyle w:val="NormalHanging12a"/>
      </w:pPr>
      <w:r w:rsidRPr="00237D46">
        <w:t>14.</w:t>
      </w:r>
      <w:r w:rsidRPr="00237D46">
        <w:tab/>
        <w:t xml:space="preserve">uzsver, ka Parlamenta debates un rezolūcijas par cilvēktiesību, demokrātijas un tiesiskuma pārkāpumu gadījumiem ir ļoti svarīgs Parlamenta instruments ar vislielāko ietekmi ārvalstīs, kad tiek risinātas cilvēktiesību situācijas trešās valstīs; tādēļ aicina uzlabot šo debašu un rezolūciju </w:t>
      </w:r>
      <w:proofErr w:type="spellStart"/>
      <w:r w:rsidRPr="00237D46">
        <w:t>pamanāmību</w:t>
      </w:r>
      <w:proofErr w:type="spellEnd"/>
      <w:r w:rsidRPr="00237D46">
        <w:t>, tostarp plenārsesiju darba kārtībā un komiteju un citu pastāvīgo Parlamenta struktūru darbā;</w:t>
      </w:r>
    </w:p>
    <w:p w:rsidR="005E04AA" w:rsidRPr="00237D46" w:rsidRDefault="005E04AA" w:rsidP="005E04AA">
      <w:pPr>
        <w:pStyle w:val="NormalHanging12a"/>
      </w:pPr>
      <w:r w:rsidRPr="00237D46">
        <w:t>15.</w:t>
      </w:r>
      <w:r w:rsidRPr="00237D46">
        <w:tab/>
        <w:t xml:space="preserve">uzsver, cik svarīga un unikāla ir Parlamenta loma vēlēšanu novērošanas misijās un plašākā nozīmē demokrātijas atbalsta programmās, piemēram, parlamentārās demokrātijas stiprināšanā trešās valstīs un iniciatīvās, kas ietver </w:t>
      </w:r>
      <w:proofErr w:type="spellStart"/>
      <w:r w:rsidRPr="00237D46">
        <w:t>mediāciju</w:t>
      </w:r>
      <w:proofErr w:type="spellEnd"/>
      <w:r w:rsidRPr="00237D46">
        <w:t>, spēju veidošanas veicināšanu, konfliktu novēršanu, vienprātīgas un demokrātiskas parlamentārās kultūras sekmēšanu un cilvēktiesību veicināšanu; prasa secinājumus, kas gūti Demokrātijas atbalsta un vēlēšanu koordinācijas grupas darbībās attiecībā uz konkrētām valstīm, un secinājumus, kas gūti ES vēlēšanu novērošanas misijās, labāk integrēt attiecīgajā komiteju un delegāciju darbā, kā arī plenārsesijās, kas koncentrējas uz šīm pašām valstīm;</w:t>
      </w:r>
    </w:p>
    <w:p w:rsidR="005E04AA" w:rsidRPr="00237D46" w:rsidRDefault="005E04AA" w:rsidP="005E04AA">
      <w:pPr>
        <w:pStyle w:val="NormalHanging12a"/>
      </w:pPr>
      <w:r w:rsidRPr="00237D46">
        <w:t>16.</w:t>
      </w:r>
      <w:r w:rsidRPr="00237D46">
        <w:tab/>
        <w:t xml:space="preserve">aicina stiprināt koordināciju ar Komisiju, tostarp ar Eiropas kaimiņattiecību politikas un paplašināšanās sarunu ģenerāldirektorātu un Starptautisko partnerību ģenerāldirektorātu, lai atbalstītu parlamentāro demokrātiju visā pasaulē un veicinātu institucionālo atbalstu parlamentiem; ierosina, ka Parlamenta izveidotais tīkls ar valstu parlamentiem demokrātijas atbalsta jautājumos varētu kļūt par regulāru institucionālu platformu, kurā koordinēt darbības un izmantot speciālās zināšanas; </w:t>
      </w:r>
    </w:p>
    <w:p w:rsidR="005E04AA" w:rsidRPr="00237D46" w:rsidRDefault="005E04AA" w:rsidP="005E04AA">
      <w:pPr>
        <w:pStyle w:val="NormalHanging12a"/>
      </w:pPr>
      <w:r w:rsidRPr="00237D46">
        <w:t>17.</w:t>
      </w:r>
      <w:r w:rsidRPr="00237D46">
        <w:tab/>
        <w:t>uzsver, ka ir jāpanāk dzimumu līdzsvaru visās darbībās un misijās, tostarp Parlamenta pārstāvībā ceļojumos ārpus Eiropas Savienības, un jāpaplašina zināšanas dzimumu līdztiesības jomā, parlamentārās palīdzības darbību un programmu ietvaros norīkojot ekspertus dzimumu līdztiesības jomā;</w:t>
      </w:r>
    </w:p>
    <w:p w:rsidR="005E04AA" w:rsidRPr="00237D46" w:rsidRDefault="005E04AA" w:rsidP="005E04AA">
      <w:pPr>
        <w:pStyle w:val="Normal12a24b"/>
      </w:pPr>
      <w:r w:rsidRPr="00237D46">
        <w:rPr>
          <w:rStyle w:val="BoldItalic"/>
        </w:rPr>
        <w:t>Parlamenta ieguldījums ES ārpolitikā un drošības politikā</w:t>
      </w:r>
    </w:p>
    <w:p w:rsidR="005E04AA" w:rsidRPr="00237D46" w:rsidRDefault="005E04AA" w:rsidP="005E04AA">
      <w:pPr>
        <w:pStyle w:val="NormalHanging12a"/>
      </w:pPr>
      <w:r w:rsidRPr="00237D46">
        <w:t>18.</w:t>
      </w:r>
      <w:r w:rsidRPr="00237D46">
        <w:tab/>
        <w:t xml:space="preserve">uzskata, ka nākamajam Parlamenta </w:t>
      </w:r>
      <w:proofErr w:type="spellStart"/>
      <w:r w:rsidRPr="00237D46">
        <w:t>sasaukumam</w:t>
      </w:r>
      <w:proofErr w:type="spellEnd"/>
      <w:r w:rsidRPr="00237D46">
        <w:t xml:space="preserve"> un nākamās Komisijas izveidei vajadzētu būt iespējai stiprināt iestāžu attiecību sistēmu starp Parlamentu, EĀDD un Komisiju, tostarp ES delegācijām, lai uzlabotu parlamentāro diplomātiju un stiprinātu ES ārējās darbības instrumentu kopumu;</w:t>
      </w:r>
    </w:p>
    <w:p w:rsidR="005E04AA" w:rsidRPr="00237D46" w:rsidRDefault="005E04AA" w:rsidP="005E04AA">
      <w:pPr>
        <w:pStyle w:val="NormalHanging12a"/>
      </w:pPr>
      <w:r w:rsidRPr="00237D46">
        <w:t>19.</w:t>
      </w:r>
      <w:r w:rsidRPr="00237D46">
        <w:tab/>
        <w:t xml:space="preserve">jo īpaši prasa pastiprināt Parlamenta pārraudzību darbam saistībā ar ES ārpolitikas un drošības politikas darbībām, uzlabojot EĀDD un Komisijas ārējo dienestu </w:t>
      </w:r>
      <w:proofErr w:type="spellStart"/>
      <w:r w:rsidRPr="00237D46">
        <w:t>pārskatatbildības</w:t>
      </w:r>
      <w:proofErr w:type="spellEnd"/>
      <w:r w:rsidRPr="00237D46">
        <w:t xml:space="preserve"> un </w:t>
      </w:r>
      <w:proofErr w:type="spellStart"/>
      <w:r w:rsidRPr="00237D46">
        <w:t>pārredzamības</w:t>
      </w:r>
      <w:proofErr w:type="spellEnd"/>
      <w:r w:rsidRPr="00237D46">
        <w:t xml:space="preserve"> līmeni; uzsver nepieciešamību atjaunināt 2010. gada deklarāciju par politisko atbildību, lai pārdefinētu EĀDD un Parlamenta attiecības;</w:t>
      </w:r>
    </w:p>
    <w:p w:rsidR="005E04AA" w:rsidRPr="00237D46" w:rsidRDefault="005E04AA" w:rsidP="005E04AA">
      <w:pPr>
        <w:pStyle w:val="NormalHanging12a"/>
      </w:pPr>
      <w:r w:rsidRPr="00237D46">
        <w:lastRenderedPageBreak/>
        <w:t>20.</w:t>
      </w:r>
      <w:r w:rsidRPr="00237D46">
        <w:tab/>
        <w:t>aicina Komisiju, Padomi un dalībvalstis patiesi iesaistīt Parlamentu stratēģiski svarīgu jautājumu īstenošanā un kontrolē ES ārlietu jomā, tostarp ierobežojošu pasākumu piemērošanā, kā arī ārējās finansēšanas instrumentu kontrolē;</w:t>
      </w:r>
    </w:p>
    <w:p w:rsidR="005E04AA" w:rsidRPr="00237D46" w:rsidRDefault="005E04AA" w:rsidP="005E04AA">
      <w:pPr>
        <w:pStyle w:val="NormalHanging12a"/>
      </w:pPr>
      <w:r w:rsidRPr="00237D46">
        <w:t>21.</w:t>
      </w:r>
      <w:r w:rsidRPr="00237D46">
        <w:tab/>
        <w:t>prasa ievērot LES 36. pantā paredzētās Parlamenta tiesības uz informāciju KĀDP jautājumos, tostarp attiecībā uz savlaicīgu piekļuvi ziņojumiem, valstu stratēģijām un citai konfidenciālai informācijai, kas nosaka ES KĀDP īstenošanu; šajā sakarībā uzsver, cik svarīgi ir pēc iespējas ātrāk pabeigt atjaunināšanu Eiropas Parlamenta un Padomes 2002. gada 20. novembra Iestāžu nolīgumam par Eiropas Parlamenta piekļuvi Padomes slepenajai informācijai drošības un aizsardzības politikas jomā;</w:t>
      </w:r>
    </w:p>
    <w:p w:rsidR="005E04AA" w:rsidRPr="00237D46" w:rsidRDefault="005E04AA" w:rsidP="005E04AA">
      <w:pPr>
        <w:pStyle w:val="NormalHanging12a"/>
      </w:pPr>
      <w:r w:rsidRPr="00237D46">
        <w:t>22.</w:t>
      </w:r>
      <w:r w:rsidRPr="00237D46">
        <w:tab/>
        <w:t xml:space="preserve">uzsver, ka Parlamenta kontroles funkcija un pilnvaras uzraudzīt starptautisko nolīgumu sarunas un šo nolīgumu īstenošanu nozīmē, ka Parlamentam ir jāieņem būtiska loma, veidojot Savienības sadarbību ar </w:t>
      </w:r>
      <w:proofErr w:type="spellStart"/>
      <w:r w:rsidRPr="00237D46">
        <w:t>trešām</w:t>
      </w:r>
      <w:proofErr w:type="spellEnd"/>
      <w:r w:rsidRPr="00237D46">
        <w:t xml:space="preserve"> valstīm un starptautiskajām organizācijām, un tās vispārējo rīcību starptautiskajā arēnā, kas arī ļautu ES starptautiskajās attiecībās veicināt integrētu pieeju dzimumu līdztiesības nodrošināšanai un klimata diplomātiju; šajā sakarībā pauž nožēlu par praksi veikt tā dēvētās neoficiālās vai </w:t>
      </w:r>
      <w:proofErr w:type="spellStart"/>
      <w:r w:rsidRPr="00237D46">
        <w:rPr>
          <w:i/>
          <w:iCs/>
        </w:rPr>
        <w:t>ad</w:t>
      </w:r>
      <w:proofErr w:type="spellEnd"/>
      <w:r w:rsidRPr="00237D46">
        <w:rPr>
          <w:i/>
          <w:iCs/>
        </w:rPr>
        <w:t xml:space="preserve"> </w:t>
      </w:r>
      <w:proofErr w:type="spellStart"/>
      <w:r w:rsidRPr="00237D46">
        <w:rPr>
          <w:i/>
          <w:iCs/>
        </w:rPr>
        <w:t>hoc</w:t>
      </w:r>
      <w:proofErr w:type="spellEnd"/>
      <w:r w:rsidRPr="00237D46">
        <w:t xml:space="preserve"> vienošanās, kurām nav vajadzīga Parlamenta piekrišana un kuras līdz ar to apdraud Parlamenta likumdevēja autoritāti un pārraudzības lomu;</w:t>
      </w:r>
    </w:p>
    <w:p w:rsidR="005E04AA" w:rsidRPr="00237D46" w:rsidRDefault="005E04AA" w:rsidP="005E04AA">
      <w:pPr>
        <w:pStyle w:val="NormalHanging12a"/>
      </w:pPr>
      <w:r w:rsidRPr="00237D46">
        <w:t>23.</w:t>
      </w:r>
      <w:r w:rsidRPr="00237D46">
        <w:tab/>
        <w:t>uzskata, ka ES vēstnieki stratēģiskās valstīs un ES īpašie pārstāvji būtu jāapstiprina amatā tikai pēc Parlamenta Ārlietu komitejas pozitīva novērtējuma;</w:t>
      </w:r>
    </w:p>
    <w:p w:rsidR="005E04AA" w:rsidRPr="00237D46" w:rsidRDefault="005E04AA" w:rsidP="005E04AA">
      <w:pPr>
        <w:pStyle w:val="NormalHanging12a"/>
      </w:pPr>
      <w:r w:rsidRPr="00237D46">
        <w:t>24.</w:t>
      </w:r>
      <w:r w:rsidRPr="00237D46">
        <w:tab/>
        <w:t>prasa Parlamenta ārējo komiteju priekšsēdētājiem sistemātiskāk piedalīties augsta līmeņa KĀDP sanāksmēs un pasākumos, tostarp Ārlietu padomē; aicina nosūtīt kopīgas EĀDD, Komisijas un Parlamenta delegācijas uz nozīmīgām daudzpusējām un reģionālām sanāksmēm;</w:t>
      </w:r>
    </w:p>
    <w:p w:rsidR="005E04AA" w:rsidRPr="00237D46" w:rsidRDefault="005E04AA" w:rsidP="005E04AA">
      <w:pPr>
        <w:pStyle w:val="NormalHanging12a"/>
      </w:pPr>
      <w:r w:rsidRPr="00237D46">
        <w:t>25.</w:t>
      </w:r>
      <w:r w:rsidRPr="00237D46">
        <w:tab/>
        <w:t>stingri prasa, ka visi svarīgākie stratēģiskie politikas dokumenti, ko Komisija un Padome pieņem saistībā ar ES ārpolitikas īstenošanu, būtu jāizstrādā, apspriežoties ar Parlamentu, un tajos būtu jāiekļauj Parlamenta loma un tā ieguldījums;</w:t>
      </w:r>
    </w:p>
    <w:p w:rsidR="005E04AA" w:rsidRPr="00237D46" w:rsidRDefault="005E04AA" w:rsidP="005E04AA">
      <w:pPr>
        <w:pStyle w:val="NormalHanging12a"/>
      </w:pPr>
      <w:r w:rsidRPr="00237D46">
        <w:t>26.</w:t>
      </w:r>
      <w:r w:rsidRPr="00237D46">
        <w:tab/>
        <w:t xml:space="preserve">aicina stiprināt Parlamenta attiecības ar dalībvalstu parlamentiem, kas ir labi izvietotas struktūras saziņai ar dalībvalstu izpildvaru; tādēļ uzsver, ka </w:t>
      </w:r>
      <w:proofErr w:type="spellStart"/>
      <w:r w:rsidRPr="00237D46">
        <w:t>starpparlamentārā</w:t>
      </w:r>
      <w:proofErr w:type="spellEnd"/>
      <w:r w:rsidRPr="00237D46">
        <w:t xml:space="preserve"> konference par KĀDP/KDAP, kā arī </w:t>
      </w:r>
      <w:proofErr w:type="spellStart"/>
      <w:r w:rsidRPr="00237D46">
        <w:t>starpparlamentārās</w:t>
      </w:r>
      <w:proofErr w:type="spellEnd"/>
      <w:r w:rsidRPr="00237D46">
        <w:t xml:space="preserve"> konferences, ko katru gadu rīko Cilvēktiesību apakškomiteja, ir svarīgs forums attiecīgās informācijas un </w:t>
      </w:r>
      <w:proofErr w:type="spellStart"/>
      <w:r w:rsidRPr="00237D46">
        <w:t>paraugprakses</w:t>
      </w:r>
      <w:proofErr w:type="spellEnd"/>
      <w:r w:rsidRPr="00237D46">
        <w:t xml:space="preserve"> apmaiņai starp valstu parlamentiem un Eiropas Parlamentu un ka tās būtu jāstiprina;</w:t>
      </w:r>
    </w:p>
    <w:p w:rsidR="005E04AA" w:rsidRPr="00237D46" w:rsidRDefault="005E04AA" w:rsidP="005E04AA">
      <w:pPr>
        <w:pStyle w:val="NormalHanging12a"/>
      </w:pPr>
      <w:r w:rsidRPr="00237D46">
        <w:t>27.</w:t>
      </w:r>
      <w:r w:rsidRPr="00237D46">
        <w:tab/>
        <w:t xml:space="preserve">uzskata, ka Parlamentam var būt unikāla loma ES ārpolitikas tuvināšanā Eiropas iedzīvotājiem un tā demokrātiskās leģitimitātes stiprināšanā, tostarp sadarbojoties ar valsts līmenim pakārtotām vienībām, piemēram, reģionālajām valdībām un parlamentiem, un tādējādi ļaujot attiecīgajās ES un dalībvalstu ārpolitikas tiesiskajās un institucionālajās struktūrās īstenotajai </w:t>
      </w:r>
      <w:proofErr w:type="spellStart"/>
      <w:r w:rsidRPr="00237D46">
        <w:t>daudzlīmeņu</w:t>
      </w:r>
      <w:proofErr w:type="spellEnd"/>
      <w:r w:rsidRPr="00237D46">
        <w:t xml:space="preserve"> diplomātijai papildināt ES līmeņa ārējo darbību un balstīties uz to;</w:t>
      </w:r>
    </w:p>
    <w:p w:rsidR="005E04AA" w:rsidRPr="00237D46" w:rsidRDefault="005E04AA" w:rsidP="005E04AA">
      <w:pPr>
        <w:pStyle w:val="NormalHanging12a"/>
      </w:pPr>
      <w:r w:rsidRPr="00237D46">
        <w:t>28.</w:t>
      </w:r>
      <w:r w:rsidRPr="00237D46">
        <w:tab/>
        <w:t xml:space="preserve">atkārtoti aicina izstrādāt autonomu ES diplomātiju, kas balstītos uz kopēju diplomātisko kultūru ES perspektīvā, un uzsver Parlamenta lomu šajā sakarībā; uzskata, ka konkrēts solis virzībā uz to ir īstenot Parlamenta izmēģinājuma projektu par Eiropas Diplomātijas akadēmijas un jo īpaši tās turpmākās un pastāvīgās struktūras izveidi; aicina garantēt Parlamenta pastāvīgu līdzdalību un aktīvu iesaistīšanos topošās Eiropas Diplomātijas </w:t>
      </w:r>
      <w:r w:rsidRPr="00237D46">
        <w:lastRenderedPageBreak/>
        <w:t>akadēmijas vadošajās vai pārvaldes struktūrās, kā arī tās mācību programmās un pasākumos;</w:t>
      </w:r>
    </w:p>
    <w:p w:rsidR="005E04AA" w:rsidRPr="00237D46" w:rsidRDefault="005E04AA" w:rsidP="005E04AA">
      <w:pPr>
        <w:pStyle w:val="NormalHanging12a"/>
      </w:pPr>
      <w:r w:rsidRPr="00237D46">
        <w:t>29.</w:t>
      </w:r>
      <w:r w:rsidRPr="00237D46">
        <w:tab/>
        <w:t xml:space="preserve">uzskata, ka, ņemot vērā visā pasaulē vērojamo regresu cilvēktiesību un demokrātijas jomā, Parlamentam ir īpaša loma uz noteikumiem balstīta </w:t>
      </w:r>
      <w:proofErr w:type="spellStart"/>
      <w:r w:rsidRPr="00237D46">
        <w:t>multilaterālisma</w:t>
      </w:r>
      <w:proofErr w:type="spellEnd"/>
      <w:r w:rsidRPr="00237D46">
        <w:t xml:space="preserve">, demokrātijas un tiesiskuma aizsardzībā, cilvēktiesību un politiskā plurālisma veicināšanā, dezinformācijas un ārvalstu iejaukšanās apkarošanā trešās valstīs un palīdzot demokrātiski ievēlētiem parlamentiem visā pasaulē konsolidēt savu institucionālo lomu un iekšējās darba metodes, izmantojot </w:t>
      </w:r>
      <w:proofErr w:type="spellStart"/>
      <w:r w:rsidRPr="00237D46">
        <w:t>mērķorientētas</w:t>
      </w:r>
      <w:proofErr w:type="spellEnd"/>
      <w:r w:rsidRPr="00237D46">
        <w:t xml:space="preserve"> programmas; norāda, ka EP deputāti var pievērsties </w:t>
      </w:r>
      <w:proofErr w:type="spellStart"/>
      <w:r w:rsidRPr="00237D46">
        <w:t>sensitīvākiem</w:t>
      </w:r>
      <w:proofErr w:type="spellEnd"/>
      <w:r w:rsidRPr="00237D46">
        <w:t xml:space="preserve"> jautājumiem, piemēram, cilvēktiesību pārkāpumiem, sniegt publiskus paziņojumus, pavērt iespējas publiskai vai privātai saziņai vai sadarboties ar vietējiem partneriem, ja tradicionālās diplomātijas telpa ir ierobežotāka;</w:t>
      </w:r>
    </w:p>
    <w:p w:rsidR="005E04AA" w:rsidRPr="00237D46" w:rsidRDefault="005E04AA" w:rsidP="005E04AA">
      <w:pPr>
        <w:pStyle w:val="NormalHanging12a"/>
      </w:pPr>
      <w:r w:rsidRPr="00237D46">
        <w:t>30.</w:t>
      </w:r>
      <w:r w:rsidRPr="00237D46">
        <w:tab/>
        <w:t xml:space="preserve">uzsver parlamentāro struktūru īpašo lomu — palīdzēt partnervalstīm un jo īpaši paplašināšanās procesā iesaistītajām valstīm un potenciālajām kandidātvalstīm </w:t>
      </w:r>
      <w:proofErr w:type="spellStart"/>
      <w:r w:rsidRPr="00237D46">
        <w:t>Rietumbalkānos</w:t>
      </w:r>
      <w:proofErr w:type="spellEnd"/>
      <w:r w:rsidRPr="00237D46">
        <w:t xml:space="preserve"> un austrumu kaimiņvalstīs; aicina stiprināt to lomu ES pievienošanās procesā, ņemot vērā valstu parlamentu īpašo un būtisko lomu vajadzīgo reformu procesā, cita starpā izmantojot tiesību aktu tuvināšanu, pārraudzību un iedzīvotāju informēšanu; atgādina, ka ES delegācijām ir aktīvi jāatbalsta šāda </w:t>
      </w:r>
      <w:proofErr w:type="spellStart"/>
      <w:r w:rsidRPr="00237D46">
        <w:t>starpparlamentārā</w:t>
      </w:r>
      <w:proofErr w:type="spellEnd"/>
      <w:r w:rsidRPr="00237D46">
        <w:t xml:space="preserve"> sadarbība kandidātvalstīs un potenciālajās kandidātvalstīs;</w:t>
      </w:r>
    </w:p>
    <w:p w:rsidR="005E04AA" w:rsidRPr="00237D46" w:rsidRDefault="005E04AA" w:rsidP="005E04AA">
      <w:pPr>
        <w:pStyle w:val="NormalHanging12a"/>
      </w:pPr>
      <w:r w:rsidRPr="00237D46">
        <w:t>31.</w:t>
      </w:r>
      <w:r w:rsidRPr="00237D46">
        <w:tab/>
        <w:t xml:space="preserve">atzinīgi vērtē inovatīvas pieejas, piemēram, nesen uzsākto Eiropas Parlamenta un Ukrainas Augstākās </w:t>
      </w:r>
      <w:proofErr w:type="spellStart"/>
      <w:r w:rsidRPr="00237D46">
        <w:t>radas</w:t>
      </w:r>
      <w:proofErr w:type="spellEnd"/>
      <w:r w:rsidRPr="00237D46">
        <w:t xml:space="preserve"> komiteju sadarbību, un mudina izstrādāt turpmākas iniciatīvas šajā jomā, ņemot vērā paplašināšanās procesa politisko nozīmi;</w:t>
      </w:r>
    </w:p>
    <w:p w:rsidR="005E04AA" w:rsidRPr="00237D46" w:rsidRDefault="005E04AA" w:rsidP="005E04AA">
      <w:pPr>
        <w:pStyle w:val="NormalHanging12a"/>
      </w:pPr>
      <w:r w:rsidRPr="00237D46">
        <w:t>32.</w:t>
      </w:r>
      <w:r w:rsidRPr="00237D46">
        <w:tab/>
        <w:t xml:space="preserve">atkārtoti aicina uzlabot ES institucionālās spējas preventīvajā diplomātijā, konfliktu novēršanā un </w:t>
      </w:r>
      <w:proofErr w:type="spellStart"/>
      <w:r w:rsidRPr="00237D46">
        <w:t>mediācijā</w:t>
      </w:r>
      <w:proofErr w:type="spellEnd"/>
      <w:r w:rsidRPr="00237D46">
        <w:t xml:space="preserve"> un uzskata, ka Parlaments šajā jomā var sniegt speciālās zināšanas un būtisku ieguldījumu ar savu struktūru un darbību starpniecību, tostarp iesaistoties ar agrīnas brīdināšanas mehānismiem un apmeklējumiem uz vietas;</w:t>
      </w:r>
    </w:p>
    <w:p w:rsidR="005E04AA" w:rsidRPr="00237D46" w:rsidRDefault="005E04AA" w:rsidP="005E04AA">
      <w:pPr>
        <w:pStyle w:val="NormalHanging12a"/>
      </w:pPr>
      <w:r w:rsidRPr="00237D46">
        <w:t>33.</w:t>
      </w:r>
      <w:r w:rsidRPr="00237D46">
        <w:tab/>
        <w:t>uzsver, ka plašais parlamentu sadarbības tīkls, ko Parlaments ir izveidojis ar pastāvīgo delegāciju un daudzpusējo asambleju starpniecību, ir labākā platforma, kurā ar starptautiskajiem partneriem apspriest un koordinēt nostājas daudzpusējos forumos, piemēram, saistībā ar ANO rezolūcijām, dzimumu līdztiesības aspekta integrēšanu, klimata diplomātiju vai G20 nostājām, kā arī precizēt ES nodomus pret partneriem un veicināt tās darbības; uzsver Parlamenta nozīmīgo ieguldījumu daudzpusējo forumu darbā, cita starpā iesaistoties G7 un G20 parlamentārajos samitos un Parlamentu savienības sanāksmēs;</w:t>
      </w:r>
    </w:p>
    <w:p w:rsidR="005E04AA" w:rsidRPr="00237D46" w:rsidRDefault="005E04AA" w:rsidP="005E04AA">
      <w:pPr>
        <w:pStyle w:val="NormalHanging12a"/>
      </w:pPr>
      <w:r w:rsidRPr="00237D46">
        <w:t>34.</w:t>
      </w:r>
      <w:r w:rsidRPr="00237D46">
        <w:tab/>
        <w:t xml:space="preserve">uzsver, ka Eiropas Parlaments visā pasaulē veicina dzimumu līdztiesību, tostarp </w:t>
      </w:r>
      <w:proofErr w:type="spellStart"/>
      <w:r w:rsidRPr="00237D46">
        <w:t>feminicīda</w:t>
      </w:r>
      <w:proofErr w:type="spellEnd"/>
      <w:r w:rsidRPr="00237D46">
        <w:t xml:space="preserve"> un ar dzimumu saistītas vardarbības apkarošanu, un LGBTI tiesības ES ārējā darbībā; norāda, ka parlamentāriešiem ir liela nozīme </w:t>
      </w:r>
      <w:proofErr w:type="spellStart"/>
      <w:r w:rsidRPr="00237D46">
        <w:t>dzimumsensitivitātes</w:t>
      </w:r>
      <w:proofErr w:type="spellEnd"/>
      <w:r w:rsidRPr="00237D46">
        <w:t xml:space="preserve"> veicināšanā ES ārējās attiecībās, izmantojot izpratnes veicināšanu, spēju veidošanu un labas prakses apmaiņu, tostarp, bet ne tikai attiecībā uz pievienoto vērtību, ko nodrošina dzimumu ziņā līdzsvaroti parlamenti un dzimumu perspektīvas nodrošināšana parlamentāro struktūru darbībā; aicina Parlamentu savā </w:t>
      </w:r>
      <w:proofErr w:type="spellStart"/>
      <w:r w:rsidRPr="00237D46">
        <w:t>mijiedarībā</w:t>
      </w:r>
      <w:proofErr w:type="spellEnd"/>
      <w:r w:rsidRPr="00237D46">
        <w:t xml:space="preserve"> ar partnervalstīm vēl vairāk stiprināt šo attiecīgo parlamentārās diplomātijas dimensiju;</w:t>
      </w:r>
    </w:p>
    <w:p w:rsidR="005E04AA" w:rsidRPr="00237D46" w:rsidRDefault="005E04AA" w:rsidP="005E04AA">
      <w:pPr>
        <w:pStyle w:val="NormalHanging12a"/>
      </w:pPr>
      <w:r w:rsidRPr="00237D46">
        <w:lastRenderedPageBreak/>
        <w:t>35.</w:t>
      </w:r>
      <w:r w:rsidRPr="00237D46">
        <w:tab/>
        <w:t>uzskata, ka, ņemot vērā 5. ilgtspējīgas attīstības mērķi (panākt dzimumu līdztiesību un nodrošināt pilnvērtīgas iespējas visām sievietēm un meitenēm), Parlamentam ir jāuzņemas svarīga loma galveno stratēģisko dzimumu līdztiesības kritēriju sasniegšanā;</w:t>
      </w:r>
    </w:p>
    <w:p w:rsidR="005E04AA" w:rsidRPr="00237D46" w:rsidRDefault="005E04AA" w:rsidP="005E04AA">
      <w:pPr>
        <w:pStyle w:val="NormalHanging12a"/>
      </w:pPr>
      <w:r w:rsidRPr="00237D46">
        <w:t>36.</w:t>
      </w:r>
      <w:r w:rsidRPr="00237D46">
        <w:tab/>
        <w:t>uzsver Parlamenta darbu pie tā, lai ratificētu un īstenotu attiecīgās ANO un citas starptautiskās konvencijas un fakultatīvos protokolus, piemēram, Parīzes nolīgumu un Konvenciju par vardarbības pret sievietēm un vardarbības ģimenē novēršanu un apkarošanu;</w:t>
      </w:r>
    </w:p>
    <w:p w:rsidR="005E04AA" w:rsidRPr="00237D46" w:rsidRDefault="005E04AA" w:rsidP="005E04AA">
      <w:pPr>
        <w:pStyle w:val="Normal12a24b"/>
      </w:pPr>
      <w:r w:rsidRPr="00237D46">
        <w:rPr>
          <w:rStyle w:val="BoldItalic"/>
        </w:rPr>
        <w:t>Eiropas komanda: Parlaments kā ārpolitikas partneris</w:t>
      </w:r>
    </w:p>
    <w:p w:rsidR="005E04AA" w:rsidRPr="00237D46" w:rsidRDefault="005E04AA" w:rsidP="005E04AA">
      <w:pPr>
        <w:pStyle w:val="NormalHanging12a"/>
      </w:pPr>
      <w:r w:rsidRPr="00237D46">
        <w:t>37.</w:t>
      </w:r>
      <w:r w:rsidRPr="00237D46">
        <w:tab/>
        <w:t xml:space="preserve">uzskata — lai gan Parlamentam būtu jāsaglabā pilnīga autonomija savas ārpolitikas programmas īstenošanā, kopīgas  vizītes un Parlamenta paziņojumi līdztekus Komisijas un Padomes pārstāvju paziņojumiem par galvenajām norisēm trešās valstīs ir </w:t>
      </w:r>
      <w:proofErr w:type="spellStart"/>
      <w:r w:rsidRPr="00237D46">
        <w:t>daudzsološa</w:t>
      </w:r>
      <w:proofErr w:type="spellEnd"/>
      <w:r w:rsidRPr="00237D46">
        <w:t xml:space="preserve"> joma, kurā īstenot Eiropas komandas pieeju; šajā sakarībā aicina atsevišķās trešās valstīs uzsākt </w:t>
      </w:r>
      <w:proofErr w:type="spellStart"/>
      <w:r w:rsidRPr="00237D46">
        <w:t>starpiestāžu</w:t>
      </w:r>
      <w:proofErr w:type="spellEnd"/>
      <w:r w:rsidRPr="00237D46">
        <w:t xml:space="preserve"> Eiropas komandas izmēģinājuma programmu; aicina ar šo izmēģinājuma programmu nodrošināt, ka Parlamenta instrumenti ir pilnībā integrēti vienotā iestāžu pieejā pret attiecīgajām valstīm;</w:t>
      </w:r>
    </w:p>
    <w:p w:rsidR="005E04AA" w:rsidRPr="00237D46" w:rsidRDefault="005E04AA" w:rsidP="005E04AA">
      <w:pPr>
        <w:pStyle w:val="NormalHanging12a"/>
      </w:pPr>
      <w:r w:rsidRPr="00237D46">
        <w:t>38.</w:t>
      </w:r>
      <w:r w:rsidRPr="00237D46">
        <w:tab/>
        <w:t>nosoda dažu valstu, tostarp to, kuras ir noslēgušas nolīgumus ar ES, lēmumu aizliegt Parlamenta delegācijām un atsevišķiem EP deputātiem ieceļot dažās vai visās to teritorijās; nosoda trešo valstu draudus un sankcijas pret EP deputātiem; stingri prasa Padomei un dalībvalstīm nekavējoties un stingri rīkoties, tostarp nosakot sankcijas, ja trešās valstis vērš pret Parlamenta struktūrām vai atsevišķiem EP deputātiem ierobežojošus pasākumus;</w:t>
      </w:r>
    </w:p>
    <w:p w:rsidR="005E04AA" w:rsidRPr="00237D46" w:rsidRDefault="005E04AA" w:rsidP="005E04AA">
      <w:pPr>
        <w:pStyle w:val="NormalHanging12a"/>
      </w:pPr>
      <w:r w:rsidRPr="00237D46">
        <w:t>39.</w:t>
      </w:r>
      <w:r w:rsidRPr="00237D46">
        <w:tab/>
        <w:t>uzsver, ka vēlēšanu novērošana ir joma, kurā Parlamenta un EĀDD sadarbība ir visstrukturētākā, abas iestādes veic vēlēšanu novērošanas darbības, kas ir savstarpēji labi integrētas vairākos veidos;</w:t>
      </w:r>
    </w:p>
    <w:p w:rsidR="005E04AA" w:rsidRPr="00237D46" w:rsidRDefault="005E04AA" w:rsidP="005E04AA">
      <w:pPr>
        <w:pStyle w:val="NormalHanging12a"/>
      </w:pPr>
      <w:r w:rsidRPr="00237D46">
        <w:t>40.</w:t>
      </w:r>
      <w:r w:rsidRPr="00237D46">
        <w:tab/>
        <w:t xml:space="preserve">atkārtoti aicina nodrošināt stratēģiskāku koordināciju starp ES iestādēm atsevišķos steidzamos gadījumos, kuros ir iesaistīti cilvēktiesību aizstāvji, žurnālisti vai īpaši neaizsargātu grupu pārstāvji; pauž pārliecību, ka parlamentārā diplomātija var izrādīties efektīvs mehānisms, kas papildina sadarbību ar </w:t>
      </w:r>
      <w:proofErr w:type="spellStart"/>
      <w:r w:rsidRPr="00237D46">
        <w:t>trešām</w:t>
      </w:r>
      <w:proofErr w:type="spellEnd"/>
      <w:r w:rsidRPr="00237D46">
        <w:t xml:space="preserve"> valstīm šādos gadījumos; aicina izveidot </w:t>
      </w:r>
      <w:proofErr w:type="spellStart"/>
      <w:r w:rsidRPr="00237D46">
        <w:t>starpiestāžu</w:t>
      </w:r>
      <w:proofErr w:type="spellEnd"/>
      <w:r w:rsidRPr="00237D46">
        <w:t xml:space="preserve"> darba grupu cilvēktiesību aizstāvju jautājumos, lai koordinētu Eiropas centienus prioritāro cilvēktiesību aizstāvju lietās;</w:t>
      </w:r>
    </w:p>
    <w:p w:rsidR="005E04AA" w:rsidRPr="00237D46" w:rsidRDefault="005E04AA" w:rsidP="005E04AA">
      <w:pPr>
        <w:pStyle w:val="NormalHanging12a"/>
      </w:pPr>
      <w:r w:rsidRPr="00237D46">
        <w:t>41.</w:t>
      </w:r>
      <w:r w:rsidRPr="00237D46">
        <w:tab/>
        <w:t>atkārtoti prasa AP/PV sadarbībā ar dalībvalstīm un Parlamentu katru gadu pieņemt to valstu sarakstu, kuras rada nopietnas bažas saistībā ar cilvēktiesību aizstāvju un demokrātijas aktīvistu smago stāvokli, un tas cita starpā ļautu pilnībā koordinēt Eiropas komandas praktisko reakciju uz vietas; uzskata, ka Parlamentam varētu būt izšķiroša nozīme šīs mērķtiecīgās un vienotās pieejas atbalstīšanā ar saviem institucionālajiem un citiem līdzekļiem;</w:t>
      </w:r>
    </w:p>
    <w:p w:rsidR="005E04AA" w:rsidRPr="00237D46" w:rsidRDefault="005E04AA" w:rsidP="005E04AA">
      <w:pPr>
        <w:pStyle w:val="NormalHanging12a"/>
      </w:pPr>
      <w:r w:rsidRPr="00237D46">
        <w:t>42.</w:t>
      </w:r>
      <w:r w:rsidRPr="00237D46">
        <w:tab/>
        <w:t xml:space="preserve">mudina katru ES delegāciju savā informēt par Parlamenta darbu saistībā ar tās </w:t>
      </w:r>
      <w:proofErr w:type="spellStart"/>
      <w:r w:rsidRPr="00237D46">
        <w:t>uzņēmējvalsti</w:t>
      </w:r>
      <w:proofErr w:type="spellEnd"/>
      <w:r w:rsidRPr="00237D46">
        <w:t>, tostarp vietējā valodā tās tīmekļa vietnē, un veikt turpmākus pasākumus ar vietējām iestādēm un pilsoniskās sabiedrības grupām;</w:t>
      </w:r>
    </w:p>
    <w:p w:rsidR="005E04AA" w:rsidRPr="00237D46" w:rsidRDefault="005E04AA" w:rsidP="005E04AA">
      <w:pPr>
        <w:pStyle w:val="NormalCenter12a"/>
      </w:pPr>
      <w:r w:rsidRPr="00237D46">
        <w:t>°</w:t>
      </w:r>
    </w:p>
    <w:p w:rsidR="005E04AA" w:rsidRPr="00237D46" w:rsidRDefault="005E04AA" w:rsidP="005E04AA">
      <w:pPr>
        <w:pStyle w:val="NormalCenter12a"/>
      </w:pPr>
      <w:r w:rsidRPr="00237D46">
        <w:t>°</w:t>
      </w:r>
      <w:r w:rsidRPr="00237D46">
        <w:tab/>
        <w:t>°</w:t>
      </w:r>
    </w:p>
    <w:p w:rsidR="005E04AA" w:rsidRPr="00237D46" w:rsidRDefault="005E04AA" w:rsidP="005E04AA">
      <w:pPr>
        <w:pStyle w:val="NormalHanging12a"/>
      </w:pPr>
      <w:r w:rsidRPr="00237D46">
        <w:lastRenderedPageBreak/>
        <w:t>43.</w:t>
      </w:r>
      <w:r w:rsidRPr="00237D46">
        <w:tab/>
        <w:t>uzdod priekšsēdētājai šo rezolūciju nosūtīt Padomei, Komisijai, Komisijas priekšsēdētājas vietniekam / Savienības Augstajam pārstāvim ārlietās un drošības politikas jautājumos, kā arī dalībvalstu valdībām un parlamentiem.</w:t>
      </w:r>
    </w:p>
    <w:p w:rsidR="00E365E1" w:rsidRPr="00237D46" w:rsidRDefault="00E365E1" w:rsidP="00F84ACB">
      <w:bookmarkStart w:id="9" w:name="TextBodyEnd"/>
      <w:bookmarkEnd w:id="9"/>
    </w:p>
    <w:sectPr w:rsidR="00E365E1" w:rsidRPr="00237D46" w:rsidSect="00D069A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26F" w:rsidRPr="00D069A6" w:rsidRDefault="007A426F">
      <w:r w:rsidRPr="00D069A6">
        <w:separator/>
      </w:r>
    </w:p>
  </w:endnote>
  <w:endnote w:type="continuationSeparator" w:id="0">
    <w:p w:rsidR="007A426F" w:rsidRPr="00D069A6" w:rsidRDefault="007A426F">
      <w:r w:rsidRPr="00D069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69A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69A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69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26F" w:rsidRPr="00D069A6" w:rsidRDefault="007A426F">
      <w:r w:rsidRPr="00D069A6">
        <w:separator/>
      </w:r>
    </w:p>
  </w:footnote>
  <w:footnote w:type="continuationSeparator" w:id="0">
    <w:p w:rsidR="007A426F" w:rsidRPr="00D069A6" w:rsidRDefault="007A426F">
      <w:r w:rsidRPr="00D069A6">
        <w:continuationSeparator/>
      </w:r>
    </w:p>
  </w:footnote>
  <w:footnote w:id="1">
    <w:p w:rsidR="005E04AA" w:rsidRPr="00D069A6" w:rsidRDefault="005E04AA" w:rsidP="00D069A6">
      <w:pPr>
        <w:pStyle w:val="FootnoteText"/>
        <w:ind w:left="567" w:hanging="567"/>
        <w:rPr>
          <w:sz w:val="24"/>
          <w:lang w:val="lv-LV"/>
        </w:rPr>
      </w:pPr>
      <w:r w:rsidRPr="00D069A6">
        <w:rPr>
          <w:rStyle w:val="FootnoteReference"/>
          <w:sz w:val="24"/>
          <w:lang w:val="lv-LV"/>
        </w:rPr>
        <w:footnoteRef/>
      </w:r>
      <w:r w:rsidR="00D069A6" w:rsidRPr="00D069A6">
        <w:rPr>
          <w:sz w:val="24"/>
          <w:lang w:val="lv-LV"/>
        </w:rPr>
        <w:t xml:space="preserve"> </w:t>
      </w:r>
      <w:r w:rsidR="00D069A6" w:rsidRPr="00D069A6">
        <w:rPr>
          <w:sz w:val="24"/>
          <w:lang w:val="lv-LV"/>
        </w:rPr>
        <w:tab/>
      </w:r>
      <w:r w:rsidRPr="00D069A6">
        <w:rPr>
          <w:sz w:val="24"/>
          <w:lang w:val="lv-LV"/>
        </w:rPr>
        <w:t>OV L 201, 3.8.2010., 30. lpp.</w:t>
      </w:r>
    </w:p>
  </w:footnote>
  <w:footnote w:id="2">
    <w:p w:rsidR="005E04AA" w:rsidRPr="00D069A6" w:rsidRDefault="005E04AA" w:rsidP="00D069A6">
      <w:pPr>
        <w:pStyle w:val="FootnoteText"/>
        <w:ind w:left="567" w:hanging="567"/>
        <w:rPr>
          <w:sz w:val="24"/>
          <w:lang w:val="lv-LV"/>
        </w:rPr>
      </w:pPr>
      <w:r w:rsidRPr="00D069A6">
        <w:rPr>
          <w:rStyle w:val="FootnoteReference"/>
          <w:sz w:val="24"/>
          <w:lang w:val="lv-LV"/>
        </w:rPr>
        <w:footnoteRef/>
      </w:r>
      <w:r w:rsidR="00D069A6" w:rsidRPr="00D069A6">
        <w:rPr>
          <w:sz w:val="24"/>
          <w:lang w:val="lv-LV"/>
        </w:rPr>
        <w:t xml:space="preserve"> </w:t>
      </w:r>
      <w:r w:rsidR="00D069A6" w:rsidRPr="00D069A6">
        <w:rPr>
          <w:sz w:val="24"/>
          <w:lang w:val="lv-LV"/>
        </w:rPr>
        <w:tab/>
      </w:r>
      <w:r w:rsidRPr="00D069A6">
        <w:rPr>
          <w:sz w:val="24"/>
          <w:lang w:val="lv-LV"/>
        </w:rPr>
        <w:t xml:space="preserve">OV C, C/2023/410, 23.11.2023., ELI: </w:t>
      </w:r>
      <w:hyperlink r:id="rId1" w:history="1">
        <w:r w:rsidRPr="00D069A6">
          <w:rPr>
            <w:rStyle w:val="Hyperlink"/>
            <w:sz w:val="24"/>
            <w:lang w:val="lv-LV"/>
          </w:rPr>
          <w:t>http://data.europa.eu/eli/C/2023/410/oj</w:t>
        </w:r>
      </w:hyperlink>
      <w:r w:rsidRPr="00D069A6">
        <w:rPr>
          <w:sz w:val="24"/>
          <w:lang w:val="lv-LV"/>
        </w:rPr>
        <w:t xml:space="preserve">. </w:t>
      </w:r>
    </w:p>
  </w:footnote>
  <w:footnote w:id="3">
    <w:p w:rsidR="005E04AA" w:rsidRPr="00D069A6" w:rsidRDefault="005E04AA" w:rsidP="00D069A6">
      <w:pPr>
        <w:pStyle w:val="FootnoteText"/>
        <w:ind w:left="567" w:hanging="567"/>
        <w:rPr>
          <w:sz w:val="24"/>
          <w:lang w:val="lv-LV"/>
        </w:rPr>
      </w:pPr>
      <w:r w:rsidRPr="00D069A6">
        <w:rPr>
          <w:rStyle w:val="FootnoteReference"/>
          <w:sz w:val="24"/>
          <w:lang w:val="lv-LV"/>
        </w:rPr>
        <w:footnoteRef/>
      </w:r>
      <w:r w:rsidR="00D069A6" w:rsidRPr="00D069A6">
        <w:rPr>
          <w:sz w:val="24"/>
          <w:lang w:val="lv-LV"/>
        </w:rPr>
        <w:t xml:space="preserve"> </w:t>
      </w:r>
      <w:r w:rsidR="00D069A6" w:rsidRPr="00D069A6">
        <w:rPr>
          <w:sz w:val="24"/>
          <w:lang w:val="lv-LV"/>
        </w:rPr>
        <w:tab/>
      </w:r>
      <w:r w:rsidRPr="00D069A6">
        <w:rPr>
          <w:sz w:val="24"/>
          <w:lang w:val="lv-LV"/>
        </w:rPr>
        <w:t xml:space="preserve">OV C 214, 16.6.2023., </w:t>
      </w:r>
      <w:r w:rsidR="00F84ACB">
        <w:rPr>
          <w:sz w:val="24"/>
          <w:lang w:val="lv-LV"/>
        </w:rPr>
        <w:t>26</w:t>
      </w:r>
      <w:r w:rsidRPr="00D069A6">
        <w:rPr>
          <w:sz w:val="24"/>
          <w:lang w:val="lv-LV"/>
        </w:rPr>
        <w:t>. lpp.</w:t>
      </w:r>
    </w:p>
  </w:footnote>
  <w:footnote w:id="4">
    <w:p w:rsidR="005E04AA" w:rsidRPr="00D069A6" w:rsidRDefault="005E04AA" w:rsidP="00D069A6">
      <w:pPr>
        <w:pStyle w:val="FootnoteText"/>
        <w:ind w:left="567" w:hanging="567"/>
        <w:rPr>
          <w:sz w:val="24"/>
          <w:lang w:val="lv-LV"/>
        </w:rPr>
      </w:pPr>
      <w:r w:rsidRPr="00D069A6">
        <w:rPr>
          <w:rStyle w:val="FootnoteReference"/>
          <w:sz w:val="24"/>
          <w:lang w:val="lv-LV"/>
        </w:rPr>
        <w:footnoteRef/>
      </w:r>
      <w:r w:rsidR="00D069A6" w:rsidRPr="00D069A6">
        <w:rPr>
          <w:sz w:val="24"/>
          <w:lang w:val="lv-LV"/>
        </w:rPr>
        <w:t xml:space="preserve"> </w:t>
      </w:r>
      <w:r w:rsidR="00D069A6" w:rsidRPr="00D069A6">
        <w:rPr>
          <w:sz w:val="24"/>
          <w:lang w:val="lv-LV"/>
        </w:rPr>
        <w:tab/>
      </w:r>
      <w:r w:rsidRPr="00D069A6">
        <w:rPr>
          <w:sz w:val="24"/>
          <w:lang w:val="lv-LV"/>
        </w:rPr>
        <w:t>OV C 214, 16.6.2023., 54. lpp.</w:t>
      </w:r>
    </w:p>
  </w:footnote>
  <w:footnote w:id="5">
    <w:p w:rsidR="005E04AA" w:rsidRPr="00D069A6" w:rsidRDefault="005E04AA" w:rsidP="00D069A6">
      <w:pPr>
        <w:pStyle w:val="FootnoteText"/>
        <w:ind w:left="567" w:hanging="567"/>
        <w:rPr>
          <w:sz w:val="24"/>
          <w:lang w:val="lv-LV"/>
        </w:rPr>
      </w:pPr>
      <w:r w:rsidRPr="00D069A6">
        <w:rPr>
          <w:rStyle w:val="FootnoteReference"/>
          <w:sz w:val="24"/>
          <w:lang w:val="lv-LV"/>
        </w:rPr>
        <w:footnoteRef/>
      </w:r>
      <w:r w:rsidR="00D069A6" w:rsidRPr="00D069A6">
        <w:rPr>
          <w:sz w:val="24"/>
          <w:lang w:val="lv-LV"/>
        </w:rPr>
        <w:t xml:space="preserve"> </w:t>
      </w:r>
      <w:r w:rsidR="00D069A6" w:rsidRPr="00D069A6">
        <w:rPr>
          <w:sz w:val="24"/>
          <w:lang w:val="lv-LV"/>
        </w:rPr>
        <w:tab/>
      </w:r>
      <w:r w:rsidRPr="00D069A6">
        <w:rPr>
          <w:sz w:val="24"/>
          <w:lang w:val="lv-LV"/>
        </w:rPr>
        <w:t>OV C 23, 21.1.2021., 16. lpp.</w:t>
      </w:r>
    </w:p>
  </w:footnote>
  <w:footnote w:id="6">
    <w:p w:rsidR="005E04AA" w:rsidRPr="00D069A6" w:rsidRDefault="005E04AA" w:rsidP="00D069A6">
      <w:pPr>
        <w:pStyle w:val="FootnoteText"/>
        <w:ind w:left="567" w:hanging="567"/>
        <w:rPr>
          <w:sz w:val="24"/>
          <w:lang w:val="lv-LV"/>
        </w:rPr>
      </w:pPr>
      <w:r w:rsidRPr="00D069A6">
        <w:rPr>
          <w:rStyle w:val="FootnoteReference"/>
          <w:sz w:val="24"/>
          <w:lang w:val="lv-LV"/>
        </w:rPr>
        <w:footnoteRef/>
      </w:r>
      <w:r w:rsidR="00D069A6" w:rsidRPr="00D069A6">
        <w:rPr>
          <w:sz w:val="24"/>
          <w:lang w:val="lv-LV"/>
        </w:rPr>
        <w:t xml:space="preserve"> </w:t>
      </w:r>
      <w:r w:rsidR="00D069A6" w:rsidRPr="00D069A6">
        <w:rPr>
          <w:sz w:val="24"/>
          <w:lang w:val="lv-LV"/>
        </w:rPr>
        <w:tab/>
      </w:r>
      <w:r w:rsidRPr="00D069A6">
        <w:rPr>
          <w:sz w:val="24"/>
          <w:lang w:val="lv-LV"/>
        </w:rPr>
        <w:t>Pieņemtie teksti, P9_TA(2023)0316.</w:t>
      </w:r>
    </w:p>
  </w:footnote>
  <w:footnote w:id="7">
    <w:p w:rsidR="005E04AA" w:rsidRPr="00D069A6" w:rsidRDefault="005E04AA" w:rsidP="00D069A6">
      <w:pPr>
        <w:pStyle w:val="FootnoteText"/>
        <w:ind w:left="567" w:hanging="567"/>
        <w:rPr>
          <w:sz w:val="24"/>
          <w:lang w:val="lv-LV"/>
        </w:rPr>
      </w:pPr>
      <w:r w:rsidRPr="00D069A6">
        <w:rPr>
          <w:rStyle w:val="FootnoteReference"/>
          <w:sz w:val="24"/>
          <w:lang w:val="lv-LV"/>
        </w:rPr>
        <w:footnoteRef/>
      </w:r>
      <w:r w:rsidR="00D069A6" w:rsidRPr="00D069A6">
        <w:rPr>
          <w:sz w:val="24"/>
          <w:lang w:val="lv-LV"/>
        </w:rPr>
        <w:t xml:space="preserve"> </w:t>
      </w:r>
      <w:r w:rsidR="00D069A6" w:rsidRPr="00D069A6">
        <w:rPr>
          <w:sz w:val="24"/>
          <w:lang w:val="lv-LV"/>
        </w:rPr>
        <w:tab/>
      </w:r>
      <w:r w:rsidRPr="00D069A6">
        <w:rPr>
          <w:sz w:val="24"/>
          <w:lang w:val="lv-LV"/>
        </w:rPr>
        <w:t>OV C 298, 30.11.2002., 1.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69A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69A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69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5/2023"/>
    <w:docVar w:name="dvlangue" w:val="LV"/>
    <w:docVar w:name="dvnumam" w:val="0"/>
    <w:docVar w:name="dvpe" w:val="753.617"/>
    <w:docVar w:name="dvrapporteur" w:val="Referents: "/>
    <w:docVar w:name="dvtitre" w:val="Eiropas Parlamenta 2024. gada XX. XXX  rezolūcija par Eiropas Parlamenta un tā parlamentārās diplomātijas lomu ES ārlietu un drošības politikā(2023/2105(INI))"/>
  </w:docVars>
  <w:rsids>
    <w:rsidRoot w:val="007A426F"/>
    <w:rsid w:val="00002272"/>
    <w:rsid w:val="00064002"/>
    <w:rsid w:val="000677B9"/>
    <w:rsid w:val="000831BA"/>
    <w:rsid w:val="0009196C"/>
    <w:rsid w:val="000A42CC"/>
    <w:rsid w:val="000E7DD9"/>
    <w:rsid w:val="0010095E"/>
    <w:rsid w:val="00125B37"/>
    <w:rsid w:val="00187494"/>
    <w:rsid w:val="001F32AE"/>
    <w:rsid w:val="00237D4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04AA"/>
    <w:rsid w:val="006037C0"/>
    <w:rsid w:val="006631B6"/>
    <w:rsid w:val="00680577"/>
    <w:rsid w:val="006F74FA"/>
    <w:rsid w:val="00731ADD"/>
    <w:rsid w:val="00734777"/>
    <w:rsid w:val="00747932"/>
    <w:rsid w:val="00751A4A"/>
    <w:rsid w:val="00756632"/>
    <w:rsid w:val="00762C74"/>
    <w:rsid w:val="00786EC0"/>
    <w:rsid w:val="007A426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3CEF"/>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69A6"/>
    <w:rsid w:val="00D2526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4ACB"/>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25EF58"/>
  <w15:chartTrackingRefBased/>
  <w15:docId w15:val="{5D0AE22A-DAB6-4673-9632-2E11D1F67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E04AA"/>
    <w:pPr>
      <w:spacing w:before="480" w:after="240"/>
    </w:pPr>
    <w:rPr>
      <w:snapToGrid w:val="0"/>
      <w:lang w:eastAsia="en-US"/>
    </w:rPr>
  </w:style>
  <w:style w:type="paragraph" w:customStyle="1" w:styleId="NormalBold">
    <w:name w:val="NormalBold"/>
    <w:basedOn w:val="Normal"/>
    <w:rsid w:val="005E04AA"/>
    <w:rPr>
      <w:b/>
      <w:snapToGrid w:val="0"/>
      <w:lang w:eastAsia="en-US"/>
    </w:rPr>
  </w:style>
  <w:style w:type="paragraph" w:customStyle="1" w:styleId="NormalHanging12a">
    <w:name w:val="NormalHanging12a"/>
    <w:basedOn w:val="Normal"/>
    <w:link w:val="NormalHanging12aChar"/>
    <w:rsid w:val="005E04AA"/>
    <w:pPr>
      <w:widowControl/>
      <w:spacing w:after="240"/>
      <w:ind w:left="567" w:hanging="567"/>
    </w:pPr>
    <w:rPr>
      <w:snapToGrid w:val="0"/>
      <w:lang w:eastAsia="en-US"/>
    </w:rPr>
  </w:style>
  <w:style w:type="paragraph" w:customStyle="1" w:styleId="NormalCenter12a">
    <w:name w:val="NormalCenter12a"/>
    <w:basedOn w:val="Normal"/>
    <w:rsid w:val="005E04AA"/>
    <w:pPr>
      <w:spacing w:after="240"/>
      <w:jc w:val="center"/>
    </w:pPr>
  </w:style>
  <w:style w:type="character" w:customStyle="1" w:styleId="BoldItalic">
    <w:name w:val="BoldItalic"/>
    <w:uiPriority w:val="1"/>
    <w:rsid w:val="005E04AA"/>
    <w:rPr>
      <w:b/>
      <w:i/>
      <w:u w:val="none"/>
    </w:rPr>
  </w:style>
  <w:style w:type="character" w:customStyle="1" w:styleId="Italic">
    <w:name w:val="Italic"/>
    <w:uiPriority w:val="1"/>
    <w:rsid w:val="005E04AA"/>
    <w:rPr>
      <w:i/>
    </w:rPr>
  </w:style>
  <w:style w:type="paragraph" w:customStyle="1" w:styleId="Normal12a24b">
    <w:name w:val="Normal12a24b"/>
    <w:basedOn w:val="Normal"/>
    <w:rsid w:val="005E04AA"/>
    <w:pPr>
      <w:spacing w:before="360" w:after="240"/>
    </w:pPr>
    <w:rPr>
      <w:snapToGrid w:val="0"/>
      <w:lang w:eastAsia="en-US"/>
    </w:rPr>
  </w:style>
  <w:style w:type="character" w:customStyle="1" w:styleId="NormalHanging12aChar">
    <w:name w:val="NormalHanging12a Char"/>
    <w:basedOn w:val="DefaultParagraphFont"/>
    <w:link w:val="NormalHanging12a"/>
    <w:rsid w:val="005E04AA"/>
    <w:rPr>
      <w:snapToGrid w:val="0"/>
      <w:sz w:val="24"/>
      <w:lang w:val="lv-LV" w:eastAsia="en-US"/>
    </w:rPr>
  </w:style>
  <w:style w:type="character" w:styleId="Hyperlink">
    <w:name w:val="Hyperlink"/>
    <w:basedOn w:val="DefaultParagraphFont"/>
    <w:unhideWhenUsed/>
    <w:rsid w:val="005E04AA"/>
    <w:rPr>
      <w:color w:val="0563C1" w:themeColor="hyperlink"/>
      <w:u w:val="single"/>
    </w:rPr>
  </w:style>
  <w:style w:type="paragraph" w:styleId="BalloonText">
    <w:name w:val="Balloon Text"/>
    <w:basedOn w:val="Normal"/>
    <w:link w:val="BalloonTextChar"/>
    <w:rsid w:val="00F84ACB"/>
    <w:rPr>
      <w:rFonts w:ascii="Segoe UI" w:hAnsi="Segoe UI" w:cs="Segoe UI"/>
      <w:sz w:val="18"/>
      <w:szCs w:val="18"/>
    </w:rPr>
  </w:style>
  <w:style w:type="character" w:customStyle="1" w:styleId="BalloonTextChar">
    <w:name w:val="Balloon Text Char"/>
    <w:basedOn w:val="DefaultParagraphFont"/>
    <w:link w:val="BalloonText"/>
    <w:rsid w:val="00F84ACB"/>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4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C4370-F495-4D2B-8511-C10B851D9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3381</Words>
  <Characters>23384</Characters>
  <Application>Microsoft Office Word</Application>
  <DocSecurity>0</DocSecurity>
  <Lines>835</Lines>
  <Paragraphs>204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2024-02-21T11:52:00Z</dcterms:created>
  <dcterms:modified xsi:type="dcterms:W3CDTF">2024-02-21T11:52:00Z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A9-0405/2023</vt:lpwstr>
  </property>
  <property fmtid="{D5CDD505-2E9C-101B-9397-08002B2CF9AE}" pid="4" name="&lt;Type&gt;">
    <vt:lpwstr>RR</vt:lpwstr>
  </property>
</Properties>
</file>