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6E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B6EE6" w:rsidRDefault="003F7865" w:rsidP="0010095E">
            <w:pPr>
              <w:pStyle w:val="EPName"/>
            </w:pPr>
            <w:r w:rsidRPr="009B6EE6">
              <w:t>Parlament Europejski</w:t>
            </w:r>
          </w:p>
          <w:p w:rsidR="00751A4A" w:rsidRPr="009B6E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6E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B6EE6" w:rsidRDefault="00187494" w:rsidP="0010095E">
            <w:pPr>
              <w:pStyle w:val="EPLogo"/>
            </w:pPr>
            <w:r w:rsidRPr="009B6E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6EE6" w:rsidRDefault="00D058B8" w:rsidP="004C5D52">
      <w:pPr>
        <w:pStyle w:val="LineTop"/>
      </w:pPr>
    </w:p>
    <w:p w:rsidR="00680577" w:rsidRPr="009B6EE6" w:rsidRDefault="003F7865" w:rsidP="00680577">
      <w:pPr>
        <w:pStyle w:val="EPBodyTA1"/>
      </w:pPr>
      <w:r w:rsidRPr="009B6EE6">
        <w:t>TEKSTY PRZYJĘTE</w:t>
      </w:r>
    </w:p>
    <w:p w:rsidR="00D058B8" w:rsidRPr="009B6EE6" w:rsidRDefault="00D058B8" w:rsidP="00D058B8">
      <w:pPr>
        <w:pStyle w:val="LineBottom"/>
      </w:pPr>
    </w:p>
    <w:p w:rsidR="003F7865" w:rsidRPr="009B6EE6" w:rsidRDefault="003F7865" w:rsidP="003F7865">
      <w:pPr>
        <w:pStyle w:val="ATHeading1"/>
      </w:pPr>
      <w:bookmarkStart w:id="0" w:name="TANumber"/>
      <w:r w:rsidRPr="009B6EE6">
        <w:t>P9_TA(2024)00</w:t>
      </w:r>
      <w:bookmarkEnd w:id="0"/>
      <w:r w:rsidR="0080671E">
        <w:t>13</w:t>
      </w:r>
    </w:p>
    <w:p w:rsidR="003F7865" w:rsidRPr="009B6EE6" w:rsidRDefault="003F7865" w:rsidP="003F7865">
      <w:pPr>
        <w:pStyle w:val="ATHeading2"/>
      </w:pPr>
      <w:bookmarkStart w:id="1" w:name="title"/>
      <w:r w:rsidRPr="009B6EE6">
        <w:t>Rola Parlamentu Europejskiego i jego dyplomacji parlamentarnej w polityce zagranicznej i polityce</w:t>
      </w:r>
      <w:r w:rsidR="0080671E">
        <w:t xml:space="preserve"> </w:t>
      </w:r>
      <w:r w:rsidRPr="009B6EE6">
        <w:t>bezpieczeństwa UE</w:t>
      </w:r>
      <w:bookmarkEnd w:id="1"/>
    </w:p>
    <w:p w:rsidR="003F7865" w:rsidRPr="009B6EE6" w:rsidRDefault="003F7865" w:rsidP="003F7865">
      <w:pPr>
        <w:rPr>
          <w:i/>
          <w:vanish/>
        </w:rPr>
      </w:pPr>
      <w:r w:rsidRPr="009B6EE6">
        <w:rPr>
          <w:i/>
        </w:rPr>
        <w:fldChar w:fldCharType="begin"/>
      </w:r>
      <w:r w:rsidRPr="009B6EE6">
        <w:rPr>
          <w:i/>
        </w:rPr>
        <w:instrText xml:space="preserve"> TC"(</w:instrText>
      </w:r>
      <w:bookmarkStart w:id="2" w:name="DocNumber"/>
      <w:r w:rsidRPr="009B6EE6">
        <w:rPr>
          <w:i/>
        </w:rPr>
        <w:instrText>A9-0405/2023</w:instrText>
      </w:r>
      <w:bookmarkEnd w:id="2"/>
      <w:r w:rsidRPr="009B6EE6">
        <w:rPr>
          <w:i/>
        </w:rPr>
        <w:instrText xml:space="preserve"> - Sprawozdawca: Jordi Solé)"\l3 \n&gt; \* MERGEFORMAT </w:instrText>
      </w:r>
      <w:r w:rsidRPr="009B6EE6">
        <w:rPr>
          <w:i/>
        </w:rPr>
        <w:fldChar w:fldCharType="end"/>
      </w:r>
    </w:p>
    <w:p w:rsidR="003F7865" w:rsidRPr="009B6EE6" w:rsidRDefault="003F7865" w:rsidP="003F7865">
      <w:pPr>
        <w:rPr>
          <w:vanish/>
        </w:rPr>
      </w:pPr>
      <w:bookmarkStart w:id="3" w:name="Commission"/>
      <w:r w:rsidRPr="009B6EE6">
        <w:rPr>
          <w:vanish/>
        </w:rPr>
        <w:t>Komisja Spraw Zagranicznych</w:t>
      </w:r>
      <w:bookmarkEnd w:id="3"/>
    </w:p>
    <w:p w:rsidR="003F7865" w:rsidRPr="009B6EE6" w:rsidRDefault="003F7865" w:rsidP="003F7865">
      <w:pPr>
        <w:rPr>
          <w:vanish/>
        </w:rPr>
      </w:pPr>
      <w:bookmarkStart w:id="4" w:name="PE"/>
      <w:r w:rsidRPr="009B6EE6">
        <w:rPr>
          <w:vanish/>
        </w:rPr>
        <w:t>PE753.617</w:t>
      </w:r>
      <w:bookmarkEnd w:id="4"/>
    </w:p>
    <w:p w:rsidR="003F7865" w:rsidRPr="009B6EE6" w:rsidRDefault="003F7865" w:rsidP="003F7865">
      <w:pPr>
        <w:pStyle w:val="ATHeading3"/>
      </w:pPr>
      <w:bookmarkStart w:id="5" w:name="Sujet"/>
      <w:r w:rsidRPr="009B6EE6">
        <w:t xml:space="preserve">Rezolucja Parlamentu Europejskiego z dnia </w:t>
      </w:r>
      <w:r w:rsidR="0080671E">
        <w:t>16</w:t>
      </w:r>
      <w:r w:rsidRPr="009B6EE6">
        <w:t xml:space="preserve"> </w:t>
      </w:r>
      <w:r w:rsidR="00723833">
        <w:t xml:space="preserve">stycznia </w:t>
      </w:r>
      <w:r w:rsidRPr="009B6EE6">
        <w:t>2024 r. w sprawie roli Parlamentu Europejskiego i jego dyplomacji parlamentarnej w polityce zagranicznej i bezpieczeństwa UE</w:t>
      </w:r>
      <w:bookmarkEnd w:id="5"/>
      <w:r w:rsidRPr="009B6EE6">
        <w:t xml:space="preserve"> </w:t>
      </w:r>
      <w:bookmarkStart w:id="6" w:name="References"/>
      <w:r w:rsidRPr="009B6EE6">
        <w:t>(2023/2105(INI))</w:t>
      </w:r>
      <w:bookmarkEnd w:id="6"/>
    </w:p>
    <w:p w:rsidR="00FB3EB2" w:rsidRPr="009B6EE6" w:rsidRDefault="00FB3EB2" w:rsidP="00FB3EB2">
      <w:pPr>
        <w:pStyle w:val="EPComma"/>
      </w:pPr>
      <w:bookmarkStart w:id="7" w:name="TextBodyBegin"/>
      <w:bookmarkEnd w:id="7"/>
      <w:r w:rsidRPr="009B6EE6">
        <w:rPr>
          <w:rStyle w:val="Italic"/>
        </w:rPr>
        <w:t>Parlament Europejski</w:t>
      </w:r>
      <w:r w:rsidRPr="009B6EE6">
        <w:t>,</w:t>
      </w:r>
      <w:bookmarkStart w:id="8" w:name="_GoBack"/>
      <w:bookmarkEnd w:id="8"/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art. 14 ust. 1, art. 21 i art. 36 Traktatu o Unii Europejskiej (TUE),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oświadczenie wiceprzewodniczącej Komisji / wysokiej przedstawiciel Unii do spraw zagranicznych i polityki bezpieczeństwa z 20 lipca 2010 r. w sprawie odpowiedzialności politycznej,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konkluzje Rady z 28 czerwca 2016 r. przyjmujące sprawozdanie pt. „Wspólna wizja, wspólne działanie: silniejsza Europa – globalna strategia na rzecz polityki zagranicznej i bezpieczeństwa Unii Europejskiej”,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 xml:space="preserve">uwzględniając wspólny komunikat Komisji i wysokiego przedstawiciela Unii do spraw zagranicznych i polityki bezpieczeństwa z 25 marca 2020 r. pt. „Plan działania UE </w:t>
      </w:r>
      <w:proofErr w:type="gramStart"/>
      <w:r w:rsidRPr="009B6EE6">
        <w:t>dotyczący</w:t>
      </w:r>
      <w:proofErr w:type="gramEnd"/>
      <w:r w:rsidRPr="009B6EE6">
        <w:t xml:space="preserve"> praw człowieka i demokracji na lata 2020–2024” (JOIN(2020)0005),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„Strategiczny kompas na rzecz bezpieczeństwa i obrony – dla Unii Europejskiej, która chroni swoich obywateli, swoje wartości i interesy oraz przyczynia się do międzynarodowego pokoju i bezpieczeństwa” przyjęty 21 marca 2022 r.,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wspólny komunikat Komisji i wysokiego przedstawiciela Unii do spraw zagranicznych i polityki bezpieczeństwa z 25 listopada 2020 r. zatytułowany „Trzeci unijny plan działania w sprawie równości płci (GAP III) – Ambitny program na rzecz równouprawnienia płci i wzmocnienia pozycji kobiet w działaniach zewnętrznych UE” (JOIN(2020)0017),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decyzję Rady 2010/427/UE z 26 lipca 2010 r. określającą organizację i zasady funkcjonowania Europejskiej Służby Działań Zewnętrznych</w:t>
      </w:r>
      <w:r w:rsidRPr="009B6EE6">
        <w:rPr>
          <w:rStyle w:val="FootnoteReference"/>
        </w:rPr>
        <w:footnoteReference w:id="1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lastRenderedPageBreak/>
        <w:t>–</w:t>
      </w:r>
      <w:r w:rsidRPr="009B6EE6">
        <w:tab/>
        <w:t>uwzględniając pkt 34 deklaracji ze szczytu UE-Wspólnota Państw Ameryki Łacińskiej i Karaibów z 18 lipca 2023 r., w którym uznaje się dyplomację parlamentarną za ważny wymiar wzajemnych stosunków,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swoje zalecenie z 15 marca 2023 r. dla Rady i wiceprzewodniczącego Komisji / wysokiego przedstawiciela Unii do spraw zagranicznych i polityki bezpieczeństwa podsumowujące działalność ESDZ i dotyczące silniejszej pozycji UE na świecie</w:t>
      </w:r>
      <w:r w:rsidRPr="009B6EE6">
        <w:rPr>
          <w:rStyle w:val="FootnoteReference"/>
        </w:rPr>
        <w:footnoteReference w:id="2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swoją rezolucję z 18 stycznia 2023 r. w sprawie realizacji wspólnej polityki zagranicznej i bezpieczeństwa – sprawozdanie roczne za 2022 r.</w:t>
      </w:r>
      <w:r w:rsidRPr="009B6EE6">
        <w:rPr>
          <w:rStyle w:val="FootnoteReference"/>
        </w:rPr>
        <w:footnoteReference w:id="3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swoją rezolucję z 18 stycznia 2023 r. w sprawie realizacji wspólnej polityki bezpieczeństwa i obrony – sprawozdanie roczne za 2022 r.</w:t>
      </w:r>
      <w:r w:rsidRPr="009B6EE6">
        <w:rPr>
          <w:rStyle w:val="FootnoteReference"/>
        </w:rPr>
        <w:footnoteReference w:id="4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swoją rezolucję z 12 marca 2019 r. w sprawie budowania zdolności UE do zapobiegania konfliktom i mediacji</w:t>
      </w:r>
      <w:r w:rsidRPr="009B6EE6">
        <w:rPr>
          <w:rStyle w:val="FootnoteReference"/>
        </w:rPr>
        <w:footnoteReference w:id="5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swoją decyzję z 13 września 2023 r. w sprawie zmian w Regulaminie Parlamentu Europejskiego służących poprawie uczciwości, niezależności i rozliczalności</w:t>
      </w:r>
      <w:r w:rsidRPr="009B6EE6">
        <w:rPr>
          <w:rStyle w:val="FootnoteReference"/>
        </w:rPr>
        <w:footnoteReference w:id="6"/>
      </w:r>
      <w:r w:rsidRPr="009B6EE6">
        <w:t>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art. 54 Regulaminu,</w:t>
      </w:r>
    </w:p>
    <w:p w:rsidR="00FB3EB2" w:rsidRPr="009B6EE6" w:rsidRDefault="00FB3EB2" w:rsidP="00FB3EB2">
      <w:pPr>
        <w:pStyle w:val="NormalHanging12a"/>
      </w:pPr>
      <w:r w:rsidRPr="009B6EE6">
        <w:t>–</w:t>
      </w:r>
      <w:r w:rsidRPr="009B6EE6">
        <w:tab/>
        <w:t>uwzględniając sprawozdanie Komisji Spraw Zagranicznych (A9-0405/2023),</w:t>
      </w:r>
    </w:p>
    <w:p w:rsidR="00FB3EB2" w:rsidRPr="009B6EE6" w:rsidRDefault="00FB3EB2" w:rsidP="00FB3EB2">
      <w:pPr>
        <w:pStyle w:val="NormalHanging12a"/>
      </w:pPr>
      <w:r w:rsidRPr="009B6EE6">
        <w:t>A.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rola Parlamentu jako </w:t>
      </w:r>
      <w:proofErr w:type="spellStart"/>
      <w:r w:rsidRPr="009B6EE6">
        <w:t>współprawodawcy</w:t>
      </w:r>
      <w:proofErr w:type="spellEnd"/>
      <w:r w:rsidRPr="009B6EE6">
        <w:t xml:space="preserve"> i organu współtworzącego budżet obejmuje nie tylko politykę wewnętrzną UE, ale także w dużej mierze działania zewnętrzne UE;</w:t>
      </w:r>
    </w:p>
    <w:p w:rsidR="00FB3EB2" w:rsidRPr="009B6EE6" w:rsidRDefault="00FB3EB2" w:rsidP="00FB3EB2">
      <w:pPr>
        <w:pStyle w:val="NormalHanging12a"/>
      </w:pPr>
      <w:r w:rsidRPr="009B6EE6">
        <w:t>B.</w:t>
      </w:r>
      <w:r w:rsidRPr="009B6EE6">
        <w:tab/>
        <w:t>mając na uwadze, że zgodnie z art. 36 TUE wiceprzewodniczący Komisji / wysoki przedstawiciel Unii do spraw zagranicznych i polityki bezpieczeństwa ma regularnie konsultować się z Parlamentem w sprawie głównych aspektów i decyzji w ramach wspólnej polityki zagranicznej i bezpieczeństwa (</w:t>
      </w:r>
      <w:proofErr w:type="spellStart"/>
      <w:r w:rsidRPr="009B6EE6">
        <w:t>WPZiB</w:t>
      </w:r>
      <w:proofErr w:type="spellEnd"/>
      <w:r w:rsidRPr="009B6EE6">
        <w:t>) oraz informować Parlament o rozwoju strategii politycznych;</w:t>
      </w:r>
    </w:p>
    <w:p w:rsidR="00FB3EB2" w:rsidRPr="009B6EE6" w:rsidRDefault="00FB3EB2" w:rsidP="00FB3EB2">
      <w:pPr>
        <w:pStyle w:val="NormalHanging12a"/>
      </w:pPr>
      <w:r w:rsidRPr="009B6EE6">
        <w:t>C.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aby większość umów międzynarodowych mogła wejść w życie, wymagana jest zgoda Parlamentu; mając na uwadze, że jak stanowi art. 218 ust. 10 Traktatu o funkcjonowaniu Unii Europejskiej, Parlament Europejski jest natychmiast i w pełni informowany o takich umowach na wszystkich etapach procedury negocjacyjnej;</w:t>
      </w:r>
    </w:p>
    <w:p w:rsidR="00FB3EB2" w:rsidRPr="009B6EE6" w:rsidRDefault="00FB3EB2" w:rsidP="00FB3EB2">
      <w:pPr>
        <w:pStyle w:val="NormalHanging12a"/>
      </w:pPr>
      <w:r w:rsidRPr="009B6EE6">
        <w:t>D.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Parlament kontroluje i omawia zarządzanie sprawami zewnętrznymi UE, zwłaszcza dzięki działaniom Komisji Spraw Zagranicznych oraz jej Podkomisji Praw Człowieka i Podkomisji Bezpieczeństwa i Obrony, a także Komisji Handlu Międzynarodowego i Komisji Rozwoju; mając na uwadze, że ta rola kontrolna </w:t>
      </w:r>
      <w:r w:rsidRPr="009B6EE6">
        <w:lastRenderedPageBreak/>
        <w:t>obejmuje kwestie związane z przyjmowaniem, wdrażaniem i przeglądem strategii tematycznych, regionalnych i krajowych UE oraz innych dokumentów programowych, takich jak unijny plan działania w sprawie równości płci, a także pomocy finansowej i nominacji na wyższe stanowiska w ramach zewnętrznej reprezentacji UE;</w:t>
      </w:r>
    </w:p>
    <w:p w:rsidR="00FB3EB2" w:rsidRPr="009B6EE6" w:rsidRDefault="00FB3EB2" w:rsidP="00FB3EB2">
      <w:pPr>
        <w:pStyle w:val="NormalHanging12a"/>
      </w:pPr>
      <w:r w:rsidRPr="009B6EE6">
        <w:t>E.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jako jedyna instytucja Unii wybierana bezpośrednio przez obywateli UE Parlament prowadzi debaty publiczne na posiedzeniach plenarnych i w komisjach oraz przyjmuje sprawozdania i rezolucje dotyczące polityki zagranicznej i bezpieczeństwa UE oraz sytuacji w państwach trzecich, zwłaszcza w odniesieniu do praw człowieka, a tym samym przyczynia się do podnoszenia świadomości społecznej i pobudzania dyskusji zarówno w UE, jak i w zainteresowanych krajach; mając na uwadze, że te sprawozdania i rezolucje przyczyniają się do zmian normatywnych na całym świecie i są wnikliwie monitorowane przez podmioty z państw trzecich, w tym rządy, parlamenty oraz przedstawicieli społeczeństwa obywatelskiego i mediów, </w:t>
      </w:r>
      <w:proofErr w:type="gramStart"/>
      <w:r w:rsidRPr="009B6EE6">
        <w:t>a</w:t>
      </w:r>
      <w:proofErr w:type="gramEnd"/>
      <w:r w:rsidRPr="009B6EE6">
        <w:t xml:space="preserve"> także mogą wywoływać reakcje i reperkusje w tych krajach;</w:t>
      </w:r>
    </w:p>
    <w:p w:rsidR="00FB3EB2" w:rsidRPr="009B6EE6" w:rsidRDefault="00FB3EB2" w:rsidP="00FB3EB2">
      <w:pPr>
        <w:pStyle w:val="NormalHanging12a"/>
      </w:pPr>
      <w:r w:rsidRPr="009B6EE6">
        <w:t>F.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Parlament posiada wyjątkową sieć 45 stałych delegacji, które utrzymują i pogłębiają stosunki z innymi parlamentami z państw, regionów i organizacji spoza UE; mając na uwadze, że takie organy często stanowią parlamentarny wymiar dwustronnych umów UE z tymi krajami;</w:t>
      </w:r>
    </w:p>
    <w:p w:rsidR="00FB3EB2" w:rsidRPr="009B6EE6" w:rsidRDefault="00FB3EB2" w:rsidP="00FB3EB2">
      <w:pPr>
        <w:pStyle w:val="NormalHanging12a"/>
      </w:pPr>
      <w:r w:rsidRPr="009B6EE6">
        <w:t>G.</w:t>
      </w:r>
      <w:r w:rsidRPr="009B6EE6">
        <w:tab/>
        <w:t>mając na uwadze, że rola Parlamentu w ustalaniu rocznego budżetu Unii ma kluczowe znaczenie dla wspierania państw o największych potrzebach w przezwyciężaniu długoterminowych wyzwań rozwojowych za pośrednictwem Instrumentu Sąsiedztwa oraz Współpracy Międzynarodowej i Rozwojowej – „Globalny wymiar Europy”, a także dla reagowania na poważne klęski humanitarne i sytuacje nadzwyczajne, w szczególności przez zwiększanie pomocy humanitarnej;</w:t>
      </w:r>
    </w:p>
    <w:p w:rsidR="00FB3EB2" w:rsidRPr="009B6EE6" w:rsidRDefault="00FB3EB2" w:rsidP="00FB3EB2">
      <w:pPr>
        <w:pStyle w:val="NormalHanging12a"/>
      </w:pPr>
      <w:r w:rsidRPr="009B6EE6">
        <w:t>H.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jednym z celów polityki zewnętrznej UE jest propagowanie równości płci; mając na uwadze, że wszystkie państwa członkowskie UE i Parlament Europejski zobowiązały się do wdrożenia rezolucji Rady Bezpieczeństwa ONZ nr 1325 (2000) w sprawie kobiet, pokoju i bezpieczeństwa;</w:t>
      </w:r>
    </w:p>
    <w:p w:rsidR="00FB3EB2" w:rsidRPr="009B6EE6" w:rsidRDefault="00FB3EB2" w:rsidP="00FB3EB2">
      <w:pPr>
        <w:pStyle w:val="NormalHanging12a"/>
      </w:pPr>
      <w:r w:rsidRPr="009B6EE6">
        <w:t>I.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Parlament Europejski stał się jednym z najbardziej aktywnych parlamentów pod względem parlamentarnej działalności dyplomatycznej i przeznaczanych na nią zasobów; mając na uwadze, że dyplomacja parlamentarna przyczynia się do osiągnięcia celów UE oraz do propagowania wartości, interesów i strategii politycznych UE, również na szczeblu wielostronnym, a tym samym wnosi wartość dodaną przez wspieranie spójniejszych działań zewnętrznych UE; mając na uwadze, że dyplomacja parlamentarna może poprawić komunikację strategiczną oraz widoczność i skuteczność decyzji i przepisów wykonawczych zarówno w ramach wspólnej polityki zagranicznej i bezpieczeństwa (</w:t>
      </w:r>
      <w:proofErr w:type="spellStart"/>
      <w:r w:rsidRPr="009B6EE6">
        <w:t>WPZiB</w:t>
      </w:r>
      <w:proofErr w:type="spellEnd"/>
      <w:r w:rsidRPr="009B6EE6">
        <w:t>), jak i wspólnej polityki bezpieczeństwa i obrony (</w:t>
      </w:r>
      <w:proofErr w:type="spellStart"/>
      <w:r w:rsidRPr="009B6EE6">
        <w:t>WPBiO</w:t>
      </w:r>
      <w:proofErr w:type="spellEnd"/>
      <w:r w:rsidRPr="009B6EE6">
        <w:t>);</w:t>
      </w:r>
    </w:p>
    <w:p w:rsidR="00FB3EB2" w:rsidRPr="009B6EE6" w:rsidRDefault="00FB3EB2" w:rsidP="00FB3EB2">
      <w:pPr>
        <w:pStyle w:val="NormalHanging12a"/>
      </w:pPr>
      <w:r w:rsidRPr="009B6EE6">
        <w:t>J.</w:t>
      </w:r>
      <w:r w:rsidRPr="009B6EE6">
        <w:tab/>
        <w:t xml:space="preserve">mając na uwadze, że dzięki dyplomacji parlamentarnej Parlament stale angażuje się w dialog ze światowymi przywódcami, funkcjonariuszami wybranymi w wyborach, przedstawicielami rządów i dyplomatami, instytucjami publicznymi, organizacjami społeczeństwa obywatelskiego oraz przedstawicielami – również z najsłabszych i zagrożonych populacji – i innymi zainteresowanymi stronami z państw i instytucji wielostronnych spoza UE, w szczególności dzięki pracy delegacji i komisji, m.in. przez </w:t>
      </w:r>
      <w:r w:rsidRPr="009B6EE6">
        <w:lastRenderedPageBreak/>
        <w:t xml:space="preserve">organizowanie </w:t>
      </w:r>
      <w:proofErr w:type="spellStart"/>
      <w:r w:rsidRPr="009B6EE6">
        <w:t>wysłuchań</w:t>
      </w:r>
      <w:proofErr w:type="spellEnd"/>
      <w:r w:rsidRPr="009B6EE6">
        <w:t>, przyjmowanie sprawozdań i rezolucji i odbywanie wizyt w poszczególnych krajach;</w:t>
      </w:r>
    </w:p>
    <w:p w:rsidR="00FB3EB2" w:rsidRPr="009B6EE6" w:rsidRDefault="00FB3EB2" w:rsidP="00FB3EB2">
      <w:pPr>
        <w:pStyle w:val="NormalHanging12a"/>
      </w:pPr>
      <w:r w:rsidRPr="009B6EE6">
        <w:t>K.</w:t>
      </w:r>
      <w:r w:rsidRPr="009B6EE6">
        <w:tab/>
        <w:t xml:space="preserve">mając na uwadze, że zgodnie z art. 36 TUE wiceprzewodniczący Komisji / wysoki przedstawiciel Unii do spraw zagranicznych i polityki bezpieczeństwa musi przynajmniej dwa razy do roku występować przed Parlamentem i przedstawiać sprawozdania z bieżącej sytuacji dotyczącej </w:t>
      </w:r>
      <w:proofErr w:type="spellStart"/>
      <w:r w:rsidRPr="009B6EE6">
        <w:t>WPZiB</w:t>
      </w:r>
      <w:proofErr w:type="spellEnd"/>
      <w:r w:rsidRPr="009B6EE6">
        <w:t xml:space="preserve"> i </w:t>
      </w:r>
      <w:proofErr w:type="spellStart"/>
      <w:r w:rsidRPr="009B6EE6">
        <w:t>WPBiO</w:t>
      </w:r>
      <w:proofErr w:type="spellEnd"/>
      <w:r w:rsidRPr="009B6EE6">
        <w:t xml:space="preserve"> oraz odpowiadać na pytania; mając na uwadze, że należy zaktualizować porozumienie międzyinstytucjonalne zawarte 20 listopada 2002 r. między Parlamentem Europejskim a Radą dotyczące dostępu Parlamentu Europejskiego do szczególnie chronionych informacji Rady z zakresu polityki bezpieczeństwa i obrony</w:t>
      </w:r>
      <w:r w:rsidRPr="009B6EE6">
        <w:rPr>
          <w:rStyle w:val="FootnoteReference"/>
        </w:rPr>
        <w:footnoteReference w:id="7"/>
      </w:r>
      <w:r w:rsidRPr="009B6EE6">
        <w:t>;</w:t>
      </w:r>
    </w:p>
    <w:p w:rsidR="00FB3EB2" w:rsidRPr="009B6EE6" w:rsidRDefault="00FB3EB2" w:rsidP="00FB3EB2">
      <w:pPr>
        <w:pStyle w:val="NormalHanging12a"/>
      </w:pPr>
      <w:r w:rsidRPr="009B6EE6">
        <w:t>L.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Zespół ds. Wspierania Demokracji i Koordynacji Wyborów Parlamentu Europejskiego, na czele którego stoją przewodniczący Komisji Spraw Zagranicznych i Komisji Rozwoju, a w jego skład wchodzą posłowie do PE z całego spektrum politycznego, nadzoruje wysiłki Parlamentu na rzecz wspierania demokracji poza UE, m.in. w odniesieniu do obserwacji wyborów, mediacji i dialogu; mając na uwadze, że w ramach dialogu im. Jeana </w:t>
      </w:r>
      <w:proofErr w:type="spellStart"/>
      <w:r w:rsidRPr="009B6EE6">
        <w:t>Monneta</w:t>
      </w:r>
      <w:proofErr w:type="spellEnd"/>
      <w:r w:rsidRPr="009B6EE6">
        <w:t xml:space="preserve"> na rzecz pokoju i demokracji Parlament jednoczy przywódców politycznych z państw trzecich, by wspierać komunikację międzypartyjną i budować konsensus; mając na uwadze, że posłowie do PE mogą działać jako specjalni wysłannicy i mediatorzy zapobiegający konfliktom </w:t>
      </w:r>
      <w:proofErr w:type="gramStart"/>
      <w:r w:rsidRPr="009B6EE6">
        <w:t>w</w:t>
      </w:r>
      <w:proofErr w:type="gramEnd"/>
      <w:r w:rsidRPr="009B6EE6">
        <w:t xml:space="preserve"> sytuacjach wysokiego napięcia na całym świecie; </w:t>
      </w:r>
    </w:p>
    <w:p w:rsidR="00FB3EB2" w:rsidRPr="009B6EE6" w:rsidRDefault="00FB3EB2" w:rsidP="00FB3EB2">
      <w:pPr>
        <w:pStyle w:val="NormalHanging12a"/>
      </w:pPr>
      <w:r w:rsidRPr="009B6EE6">
        <w:t>M.</w:t>
      </w:r>
      <w:r w:rsidRPr="009B6EE6">
        <w:tab/>
        <w:t xml:space="preserve">mając na uwadze, że Parlament Europejski pomaga parlamentom narodowym i międzynarodowym zgromadzeniom regionalnym poza granicami UE poprawić zdolności instytucjonalne; mając na uwadze, że Parlament Europejski prowadzi stały dialog z tymi organami ustawodawczymi i regularnie wymienia się najlepszymi praktykami; </w:t>
      </w:r>
    </w:p>
    <w:p w:rsidR="00FB3EB2" w:rsidRPr="009B6EE6" w:rsidRDefault="00FB3EB2" w:rsidP="00FB3EB2">
      <w:pPr>
        <w:pStyle w:val="NormalHanging12a"/>
      </w:pPr>
      <w:r w:rsidRPr="009B6EE6">
        <w:t>N.</w:t>
      </w:r>
      <w:r w:rsidRPr="009B6EE6">
        <w:tab/>
        <w:t>mając na uwadze, że Parlament jest uznanym na arenie międzynarodowej obserwatorem wyborów; mając na uwadze, że delegacje Parlamentu ds. obserwacji wyborów wchodzą w skład unijnych lub międzynarodowych misji obserwacji wyborów;</w:t>
      </w:r>
    </w:p>
    <w:p w:rsidR="00FB3EB2" w:rsidRPr="009B6EE6" w:rsidRDefault="00FB3EB2" w:rsidP="00FB3EB2">
      <w:pPr>
        <w:pStyle w:val="NormalHanging12a"/>
      </w:pPr>
      <w:r w:rsidRPr="009B6EE6">
        <w:t>O.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grupy polityczne i poszczególni posłowie do PE korzystają z gęstej i rozbudowanej sieci kontaktów z partiami politycznymi, parlamentarzystami, urzędnikami państwowymi, a także podmiotami sektora prywatnego i społeczeństwa obywatelskiego w państwach trzecich, zwłaszcza w krajach przystępujących do UE i sąsiadujących z UE;</w:t>
      </w:r>
    </w:p>
    <w:p w:rsidR="00FB3EB2" w:rsidRPr="009B6EE6" w:rsidRDefault="00FB3EB2" w:rsidP="00FB3EB2">
      <w:pPr>
        <w:pStyle w:val="NormalHanging12a"/>
      </w:pPr>
      <w:r w:rsidRPr="009B6EE6">
        <w:t>P.</w:t>
      </w:r>
      <w:r w:rsidRPr="009B6EE6">
        <w:tab/>
        <w:t>mając na uwadze, że oprócz biur kontaktowych Parlamentu Europejskiego poza UE w Londynie i Waszyngtonie Parlament ma swoje przedstawicielstwa przy ONZ w Nowym Jorku, przy Unii Afrykańskiej w Addis Abebie oraz przy Stowarzyszeniu Narodów Azji Południowo-Wschodniej w Dżakarcie, a ich zadaniem jest zacieśnianie współpracy parlamentarnej z tymi organizacjami wielostronnymi;</w:t>
      </w:r>
    </w:p>
    <w:p w:rsidR="00FB3EB2" w:rsidRPr="009B6EE6" w:rsidRDefault="00FB3EB2" w:rsidP="00FB3EB2">
      <w:pPr>
        <w:pStyle w:val="NormalHanging12a"/>
      </w:pPr>
      <w:r w:rsidRPr="009B6EE6">
        <w:t>Q.</w:t>
      </w:r>
      <w:r w:rsidRPr="009B6EE6">
        <w:tab/>
      </w:r>
      <w:proofErr w:type="gramStart"/>
      <w:r w:rsidRPr="009B6EE6">
        <w:t>mając</w:t>
      </w:r>
      <w:proofErr w:type="gramEnd"/>
      <w:r w:rsidRPr="009B6EE6">
        <w:t xml:space="preserve"> na uwadze, że jak stanowi art. 5 ust. 7 decyzji Rady 2010/427/UE, „delegatury Unii mają kompetencje do zaspokajania potrzeb innych instytucji Unii, w szczególności </w:t>
      </w:r>
      <w:r w:rsidRPr="009B6EE6">
        <w:lastRenderedPageBreak/>
        <w:t>Parlamentu Europejskiego, w ich kontaktach z organizacjami międzynarodowymi lub państwami trzecimi, przy których delegatury są akredytowane”;</w:t>
      </w:r>
    </w:p>
    <w:p w:rsidR="00FB3EB2" w:rsidRPr="009B6EE6" w:rsidRDefault="00FB3EB2" w:rsidP="00FB3EB2">
      <w:pPr>
        <w:pStyle w:val="Normal12a24b"/>
      </w:pPr>
      <w:r w:rsidRPr="009B6EE6">
        <w:rPr>
          <w:rStyle w:val="BoldItalic"/>
        </w:rPr>
        <w:t>Wzmacnianie dyplomacji parlamentarnej</w:t>
      </w:r>
    </w:p>
    <w:p w:rsidR="00FB3EB2" w:rsidRPr="009B6EE6" w:rsidRDefault="00FB3EB2" w:rsidP="00FB3EB2">
      <w:pPr>
        <w:pStyle w:val="NormalHanging12a"/>
      </w:pPr>
      <w:r w:rsidRPr="009B6EE6">
        <w:t>1.</w:t>
      </w:r>
      <w:r w:rsidRPr="009B6EE6">
        <w:tab/>
      </w:r>
      <w:proofErr w:type="gramStart"/>
      <w:r w:rsidRPr="009B6EE6">
        <w:t>z</w:t>
      </w:r>
      <w:proofErr w:type="gramEnd"/>
      <w:r w:rsidRPr="009B6EE6">
        <w:t xml:space="preserve"> zadowoleniem przyjmuje rosnącą rolę Parlamentu w działaniach zewnętrznych UE, która stopniowo stała się kluczowa i polega na łączeniu uprawnień ustawodawczych, budżetowych i kontrolnych z licznymi formami publicznej i niepublicznej współpracy z organizacjami międzynarodowymi, krajami, społeczeństwami i jednostkami spoza UE;</w:t>
      </w:r>
    </w:p>
    <w:p w:rsidR="00FB3EB2" w:rsidRPr="009B6EE6" w:rsidRDefault="00FB3EB2" w:rsidP="00FB3EB2">
      <w:pPr>
        <w:pStyle w:val="NormalHanging12a"/>
      </w:pPr>
      <w:r w:rsidRPr="009B6EE6">
        <w:t>2.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odrębną funkcję i wartość unijnej dyplomacji parlamentarnej – obok Europejskiej Służby Działań Zewnętrznych (ESDZ), Komisji, służb dyplomatycznych i parlamentów państw członkowskich – w uzupełnianiu i wzmacnianiu dyplomacji unijnej i widoczności oraz wpływu polityki zagranicznej i bezpieczeństwa UE, przy jednoczesnym zachowywaniu własnej autonomii Parlamentu;</w:t>
      </w:r>
    </w:p>
    <w:p w:rsidR="00FB3EB2" w:rsidRPr="009B6EE6" w:rsidRDefault="00FB3EB2" w:rsidP="00FB3EB2">
      <w:pPr>
        <w:pStyle w:val="NormalHanging12a"/>
      </w:pPr>
      <w:r w:rsidRPr="009B6EE6">
        <w:t>3.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znaczenie dyplomacji parlamentarnej jako sposobu na dotarcie do bardziej zróżnicowanych zainteresowanych stron w krajach partnerskich i państwach trzecich, ponieważ pozwala ona zwiększać świadomość na temat prawa i stanowisk UE, lepiej zrozumieć postrzeganie, wpływ i konsekwencje tego prawa i stanowisk w tych państwach oraz tworzyć sojusze partnerskie i solidne partnerstwa w coraz bardziej złożonym i wielobiegunowym kontekście międzynarodowym;</w:t>
      </w:r>
    </w:p>
    <w:p w:rsidR="00FB3EB2" w:rsidRPr="009B6EE6" w:rsidRDefault="00FB3EB2" w:rsidP="00FB3EB2">
      <w:pPr>
        <w:pStyle w:val="NormalHanging12a"/>
      </w:pPr>
      <w:r w:rsidRPr="009B6EE6">
        <w:t>4.</w:t>
      </w:r>
      <w:r w:rsidRPr="009B6EE6">
        <w:tab/>
      </w:r>
      <w:proofErr w:type="gramStart"/>
      <w:r w:rsidRPr="009B6EE6">
        <w:t>ubolewa</w:t>
      </w:r>
      <w:proofErr w:type="gramEnd"/>
      <w:r w:rsidRPr="009B6EE6">
        <w:t>, że pomimo szczególnego wkładu Parlamentu w osiąganie celów polityki zagranicznej i polityki bezpieczeństwa UE, a także wartości dodanej i komplementarności dyplomacji parlamentarnej, Komisja, Rada i ESDZ nie uznały go jeszcze w pełni jako integralnego podmiotu w ramach podejścia „Drużyna Europy”;</w:t>
      </w:r>
    </w:p>
    <w:p w:rsidR="00FB3EB2" w:rsidRPr="009B6EE6" w:rsidRDefault="00FB3EB2" w:rsidP="00FB3EB2">
      <w:pPr>
        <w:pStyle w:val="NormalHanging12a"/>
      </w:pPr>
      <w:r w:rsidRPr="009B6EE6">
        <w:t>5.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Parlament ma ogromny niewykorzystany potencjał, by dalej rozwijać swoją rolę dyplomatyczną i wkład w osiąganie celów polityki zagranicznej i polityki bezpieczeństwa UE;</w:t>
      </w:r>
    </w:p>
    <w:p w:rsidR="00FB3EB2" w:rsidRPr="009B6EE6" w:rsidRDefault="00FB3EB2" w:rsidP="00FB3EB2">
      <w:pPr>
        <w:pStyle w:val="Normal12a24b"/>
      </w:pPr>
      <w:r w:rsidRPr="009B6EE6">
        <w:rPr>
          <w:rStyle w:val="BoldItalic"/>
        </w:rPr>
        <w:t>Narzędzia, środki i wartości dyplomacji parlamentarnej</w:t>
      </w:r>
    </w:p>
    <w:p w:rsidR="00FB3EB2" w:rsidRPr="009B6EE6" w:rsidRDefault="00FB3EB2" w:rsidP="00FB3EB2">
      <w:pPr>
        <w:pStyle w:val="NormalHanging12a"/>
      </w:pPr>
      <w:r w:rsidRPr="009B6EE6">
        <w:t>6.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szczególny, dynamiczny i publiczny wkład Parlamentu w politykę zagraniczną i bezpieczeństwa UE oraz w stawianie czoła globalnym wyzwaniom dzięki pracy komisji zajmujących się sprawami zewnętrznymi, np. Podkomisji Praw Człowieka oraz Podkomisji Bezpieczeństwa i Obrony, które dbają o stosunki z państwami trzecimi, organizacjami międzynarodowymi i społeczeństwem obywatelskim na całym świecie;</w:t>
      </w:r>
    </w:p>
    <w:p w:rsidR="00FB3EB2" w:rsidRPr="009B6EE6" w:rsidRDefault="00FB3EB2" w:rsidP="00FB3EB2">
      <w:pPr>
        <w:pStyle w:val="NormalHanging12a"/>
      </w:pPr>
      <w:r w:rsidRPr="009B6EE6">
        <w:t>7.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>, że stałe delegacje wykonują ważną i uzupełniającą pracę w stosunku do działań komisji dzięki ustanowieniu regularnego i stałego forum dialogu politycznego z państwami i organizacjami międzynarodowymi spoza UE, m.in. za pośrednictwem wspólnych organów parlamentarnych i zgromadzeń wielostronnych;</w:t>
      </w:r>
    </w:p>
    <w:p w:rsidR="00FB3EB2" w:rsidRPr="009B6EE6" w:rsidRDefault="00FB3EB2" w:rsidP="00FB3EB2">
      <w:pPr>
        <w:pStyle w:val="NormalHanging12a"/>
      </w:pPr>
      <w:r w:rsidRPr="009B6EE6">
        <w:t>8.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, że stałe delegacje odgrywają kluczową rolę jako łącznik między Parlamentem a jego partnerami na całym świecie, co ułatwia kontakty i stale zapewnia informacje komisjom i innym organom Parlamentu podczas omawiania stanowisk i strategii politycznych będących przedmiotem wspólnego zainteresowania, a także </w:t>
      </w:r>
      <w:r w:rsidRPr="009B6EE6">
        <w:lastRenderedPageBreak/>
        <w:t>ułatwia słuchanie partnerów i innych zainteresowanych stron i przekazywanie ich opinii właściwym organom w Parlamencie;</w:t>
      </w:r>
    </w:p>
    <w:p w:rsidR="00FB3EB2" w:rsidRPr="009B6EE6" w:rsidRDefault="00FB3EB2" w:rsidP="00FB3EB2">
      <w:pPr>
        <w:pStyle w:val="NormalHanging12a"/>
      </w:pPr>
      <w:r w:rsidRPr="009B6EE6">
        <w:t>9.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oficjalne misje Parlamentu poza UE stanowią integralną część polityki zewnętrznej UE, dlatego muszą otrzymywać pełne wsparcie delegacji UE, a ESDZ powinna zapewnić im w tym zakresie najwyższy poziom informacji i bezpieczeństwa; wzywa, aby zapewnić Centrum Reagowania Kryzysowego ESDZ wszelkie niezbędne zasoby; uważa, że lepsze koordynowanie, planowanie i ustalanie priorytetów tych misji między różnymi organami Parlamentu zwiększyłyby spójność, wiarygodność i wpływ dyplomatycznej roli Parlamentu;</w:t>
      </w:r>
    </w:p>
    <w:p w:rsidR="00FB3EB2" w:rsidRPr="009B6EE6" w:rsidRDefault="00FB3EB2" w:rsidP="00FB3EB2">
      <w:pPr>
        <w:pStyle w:val="NormalHanging12a"/>
      </w:pPr>
      <w:r w:rsidRPr="009B6EE6">
        <w:t>10.</w:t>
      </w:r>
      <w:r w:rsidRPr="009B6EE6">
        <w:tab/>
      </w:r>
      <w:proofErr w:type="gramStart"/>
      <w:r w:rsidRPr="009B6EE6">
        <w:t>sugeruje</w:t>
      </w:r>
      <w:proofErr w:type="gramEnd"/>
      <w:r w:rsidRPr="009B6EE6">
        <w:t>, aby właściwe organy Parlamentu Europejskiego ustanowiły wewnętrzną koordynację, m.in. przez okresowe sporządzanie wykazów państw o priorytetowym znaczeniu, z którymi należy współpracować – w oparciu o przewidywane akty ustawodawcze oraz priorytety geopolityczne lub strategiczne – przez organizowanie wspólnej wymiany poglądów z tymi państwami na temat stosunków UE czy horyzontalnych kwestii geopolitycznych lub kwestii konfliktów oraz przez wspieranie synergii między misjami Parlamentu za granicą, by uniknąć niepotrzebnego powielania, a także usprawnić zasoby i zwiększyć spójność komunikatów Parlamentu;</w:t>
      </w:r>
    </w:p>
    <w:p w:rsidR="00FB3EB2" w:rsidRPr="009B6EE6" w:rsidRDefault="00FB3EB2" w:rsidP="00FB3EB2">
      <w:pPr>
        <w:pStyle w:val="NormalHanging12a"/>
      </w:pPr>
      <w:r w:rsidRPr="009B6EE6">
        <w:t>11.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>, że parlamentarzyści powinni posiadać odpowiednią wiedzę o kulturze i międzynarodowych stosunkach kulturalnych państwa trzeciego, gdy udają się tam na oficjalną misję, dzięki czemu mogą wspierać kulturę dialogu w kontekście dialogu kultur; wzywa w związku z tym ESDZ, a zwłaszcza jej dział komunikacji strategicznej i prognoz strategicznych, by w pełni wspierała oficjalne misje Parlamentu w państwach trzecich;</w:t>
      </w:r>
    </w:p>
    <w:p w:rsidR="00FB3EB2" w:rsidRPr="009B6EE6" w:rsidRDefault="00FB3EB2" w:rsidP="00FB3EB2">
      <w:pPr>
        <w:pStyle w:val="NormalHanging12a"/>
      </w:pPr>
      <w:r w:rsidRPr="009B6EE6">
        <w:t>12.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dialog polityczny między Parlamentem i jego poszczególnymi posłami a podmiotami rządowymi, parlamentarnymi i podmiotami społeczeństwa obywatelskiego na całym świecie przyczynia się do propagowania priorytetów, poglądów i wartości UE dotyczących globalnych standardów w takich obszarach jak powszechne prawa człowieka i demokracja, prawa osób LGBTI, prawa kobiet i równouprawnienie płci, dyplomacja klimatyczna i energetyczna, łączność, sztuczna inteligencja oraz polityka cyfrowa i technologiczna;</w:t>
      </w:r>
    </w:p>
    <w:p w:rsidR="00FB3EB2" w:rsidRPr="009B6EE6" w:rsidRDefault="00FB3EB2" w:rsidP="00FB3EB2">
      <w:pPr>
        <w:pStyle w:val="NormalHanging12a"/>
      </w:pPr>
      <w:r w:rsidRPr="009B6EE6">
        <w:t>13.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konsekwentne zaangażowanie, z jakim Parlament przyznaje prawom człowieka, praworządności i demokracji centralne miejsce w działaniach zewnętrznych UE oraz zapewnia kluczowe forum, dzięki któremu społeczeństwo obywatelskie i podmioty demokratyczne z całego świata mogą zostać wysłuchane, a ich głos staje się ważny; podkreśla w związku z tym swoje działania na rzecz obrońców praw człowieka, zagrożonych parlamentarzystów i młodych przywódców politycznych, a także na rzecz udziału kobiet w życiu politycznym i walki z dezinformacją; apeluje, aby w następnej kadencji Parlament dalej rozwijał swoje działania oraz udzielał głosu osobom, których prawa są zagrożone;</w:t>
      </w:r>
    </w:p>
    <w:p w:rsidR="00FB3EB2" w:rsidRPr="009B6EE6" w:rsidRDefault="00FB3EB2" w:rsidP="00FB3EB2">
      <w:pPr>
        <w:pStyle w:val="NormalHanging12a"/>
      </w:pPr>
      <w:r w:rsidRPr="009B6EE6">
        <w:t>14.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kluczowe znaczenie debat i rezolucji Parlamentu w sprawie łamania praw człowieka, demokracji i praworządności jako jednego z narzędzi o największym wpływie na sytuację praw człowieka w państwach trzecich; apeluje w związku z tym o lepszą widoczność tych debat i rezolucji, również w odniesieniu do porządku obrad sesji plenarnych, oraz o dalszą pracę komisji i innych stałych organów parlamentarnych;</w:t>
      </w:r>
    </w:p>
    <w:p w:rsidR="00FB3EB2" w:rsidRPr="009B6EE6" w:rsidRDefault="00FB3EB2" w:rsidP="00FB3EB2">
      <w:pPr>
        <w:pStyle w:val="NormalHanging12a"/>
      </w:pPr>
      <w:r w:rsidRPr="009B6EE6">
        <w:lastRenderedPageBreak/>
        <w:t>15.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znaczenie i wyjątkowy charakter roli Parlamentu w misjach obserwacji wyborów oraz, w szerszym ujęciu, w programach wspierania demokracji, takich jak wzmocnienie demokracji parlamentarnej w państwach trzecich oraz w inicjatywach obejmujących mediację, ułatwianie budowania zdolności, zapobieganie konfliktom, wspieranie opartej na konsensusie i demokratycznej kultury parlamentarnej oraz propagowanie praw człowieka; wzywa do lepszego uwzględniania ustaleń z działań Zespołu ds. Wspierania Demokracji i Koordynacji Wyborów dotyczących konkretnych państw, a także ustaleń wynikających z unijnych misji obserwacji wyborów w odpowiednich pracach komisji i delegacji, a także na sesjach plenarnych, gdy dotyczą one tych samych państw;</w:t>
      </w:r>
    </w:p>
    <w:p w:rsidR="00FB3EB2" w:rsidRPr="009B6EE6" w:rsidRDefault="00FB3EB2" w:rsidP="00FB3EB2">
      <w:pPr>
        <w:pStyle w:val="NormalHanging12a"/>
      </w:pPr>
      <w:r w:rsidRPr="009B6EE6">
        <w:t>16.</w:t>
      </w:r>
      <w:r w:rsidRPr="009B6EE6">
        <w:tab/>
      </w:r>
      <w:proofErr w:type="gramStart"/>
      <w:r w:rsidRPr="009B6EE6">
        <w:t>wzywa</w:t>
      </w:r>
      <w:proofErr w:type="gramEnd"/>
      <w:r w:rsidRPr="009B6EE6">
        <w:t xml:space="preserve"> do ściślejszej koordynacji z Komisją, w tym z Dyrekcją Generalną ds. Europejskiej Polityki Sąsiedztwa i Negocjacji w sprawie Rozszerzenia oraz Dyrekcją Generalną ds. Partnerstw Międzynarodowych, w zakresie wspierania demokracji parlamentarnej na całym świecie i zwiększenia wsparcia instytucjonalnego dla parlamentów; sugeruje, że ustanowiona przez Parlament sieć wsparcia demokracji tworzona z parlamentami narodowymi mogłaby stać się stałą przestrzenią instytucjonalną służącą koordynacji działań i wykorzystywaniu wiedzy eksperckiej; </w:t>
      </w:r>
    </w:p>
    <w:p w:rsidR="00FB3EB2" w:rsidRPr="009B6EE6" w:rsidRDefault="00FB3EB2" w:rsidP="00FB3EB2">
      <w:pPr>
        <w:pStyle w:val="NormalHanging12a"/>
      </w:pPr>
      <w:r w:rsidRPr="009B6EE6">
        <w:t>17.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>, że we wszystkich działaniach i misjach, w tym w przedstawicielstwach Parlamentu, podczas wyjazdów poza UE należy osiągnąć równowagę płci oraz szerzyć wiedzę ekspercką w tym zakresie przez oddelegowanie ekspertów ds. równości płci w ramach działań i programów pomocy parlamentarnej;</w:t>
      </w:r>
    </w:p>
    <w:p w:rsidR="00FB3EB2" w:rsidRPr="009B6EE6" w:rsidRDefault="00FB3EB2" w:rsidP="00FB3EB2">
      <w:pPr>
        <w:pStyle w:val="Normal12a24b"/>
      </w:pPr>
      <w:r w:rsidRPr="009B6EE6">
        <w:rPr>
          <w:rStyle w:val="BoldItalic"/>
        </w:rPr>
        <w:t>Wkład Parlamentu w politykę zagraniczną i bezpieczeństwa UE</w:t>
      </w:r>
    </w:p>
    <w:p w:rsidR="00FB3EB2" w:rsidRPr="009B6EE6" w:rsidRDefault="00FB3EB2" w:rsidP="00FB3EB2">
      <w:pPr>
        <w:pStyle w:val="NormalHanging12a"/>
      </w:pPr>
      <w:r w:rsidRPr="009B6EE6">
        <w:t>18.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nadchodząca kadencja parlamentarna i powołanie nowej Komisji powinny być okazją do umocnienia ram stosunków międzyinstytucjonalnych między Parlamentem, ESDZ i Komisją, w tym delegaturami UE, by wzmocnić dyplomację parlamentarną i unijne narzędzia w obszarze działań zewnętrznych;</w:t>
      </w:r>
    </w:p>
    <w:p w:rsidR="00FB3EB2" w:rsidRPr="009B6EE6" w:rsidRDefault="00FB3EB2" w:rsidP="00FB3EB2">
      <w:pPr>
        <w:pStyle w:val="NormalHanging12a"/>
      </w:pPr>
      <w:r w:rsidRPr="009B6EE6">
        <w:t>19.</w:t>
      </w:r>
      <w:r w:rsidRPr="009B6EE6">
        <w:tab/>
      </w:r>
      <w:proofErr w:type="gramStart"/>
      <w:r w:rsidRPr="009B6EE6">
        <w:t>w</w:t>
      </w:r>
      <w:proofErr w:type="gramEnd"/>
      <w:r w:rsidRPr="009B6EE6">
        <w:t xml:space="preserve"> szczególności apeluje o wzmocnienie nadzoru Parlamentu nad pracami w ramach polityki zagranicznej i bezpieczeństwa UE przez zwiększenie poziomu odpowiedzialności i przejrzystości ESDZ i służb zewnętrznych Komisji; podkreśla w tym kontekście, że trzeba zaktualizować oświadczenie z 2010 r. w sprawie odpowiedzialności politycznej i ponownie zdefiniować stosunki między ESDZ a Parlamentem;</w:t>
      </w:r>
    </w:p>
    <w:p w:rsidR="00FB3EB2" w:rsidRPr="009B6EE6" w:rsidRDefault="00FB3EB2" w:rsidP="00FB3EB2">
      <w:pPr>
        <w:pStyle w:val="NormalHanging12a"/>
      </w:pPr>
      <w:r w:rsidRPr="009B6EE6">
        <w:t>20.</w:t>
      </w:r>
      <w:r w:rsidRPr="009B6EE6">
        <w:tab/>
      </w:r>
      <w:proofErr w:type="gramStart"/>
      <w:r w:rsidRPr="009B6EE6">
        <w:t>wzywa</w:t>
      </w:r>
      <w:proofErr w:type="gramEnd"/>
      <w:r w:rsidRPr="009B6EE6">
        <w:t xml:space="preserve"> Komisję, Radę i państwa członkowskie do rzeczywistego zaangażowania Parlamentu we wdrażanie i kontrolę kwestii o strategicznym znaczeniu dla spraw zagranicznych UE, w tym stosowanie środków ograniczających, a także w kontrolę instrumentów finansowania zewnętrznego;</w:t>
      </w:r>
    </w:p>
    <w:p w:rsidR="00FB3EB2" w:rsidRPr="009B6EE6" w:rsidRDefault="00FB3EB2" w:rsidP="00FB3EB2">
      <w:pPr>
        <w:pStyle w:val="NormalHanging12a"/>
      </w:pPr>
      <w:r w:rsidRPr="009B6EE6">
        <w:t>21.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prawo Parlamentu do informacji na temat </w:t>
      </w:r>
      <w:proofErr w:type="spellStart"/>
      <w:r w:rsidRPr="009B6EE6">
        <w:t>WPZiB</w:t>
      </w:r>
      <w:proofErr w:type="spellEnd"/>
      <w:r w:rsidRPr="009B6EE6">
        <w:t xml:space="preserve"> na mocy art. 36 TUE, m.in. dostępu we właściwym czasie do sprawozdań, strategii krajowych oraz innych poufnych informacji wyznaczających kierunek polityki zagranicznej i bezpieczeństwa UE; w tym kontekście podkreśla, że jak najszybciej trzeba zakończyć aktualizację porozumienia międzyinstytucjonalnego z 20 listopada 2002 r. między Parlamentem Europejskim a Radą dotyczącego dostępu Parlamentu Europejskiego do posiadanych przez Radę informacji sensytywnych w dziedzinie polityki bezpieczeństwa i obrony;</w:t>
      </w:r>
    </w:p>
    <w:p w:rsidR="00FB3EB2" w:rsidRPr="009B6EE6" w:rsidRDefault="00FB3EB2" w:rsidP="00FB3EB2">
      <w:pPr>
        <w:pStyle w:val="NormalHanging12a"/>
      </w:pPr>
      <w:r w:rsidRPr="009B6EE6">
        <w:lastRenderedPageBreak/>
        <w:t>22.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, że funkcja nadzorcza i uprawnienia Parlamentu do monitorowania negocjacji i wdrażania umów międzynarodowych przyznają mu kluczową rolę w kształtowaniu współpracy Unii z państwami i organizacjami międzynarodowymi spoza UE oraz jej ogólnych działań na arenie międzynarodowej, co pozwoliłoby również UE propagować uwzględnianie aspektu płci i dyplomację klimatyczną w stosunkach międzynarodowych; ubolewa w związku z tym nad tak zwanymi nieformalnymi lub doraźnymi ustaleniami, które nie wymagają zgody Parlamentu, a tym samym podważają jego autorytet jako </w:t>
      </w:r>
      <w:proofErr w:type="spellStart"/>
      <w:r w:rsidRPr="009B6EE6">
        <w:t>współprawodawcy</w:t>
      </w:r>
      <w:proofErr w:type="spellEnd"/>
      <w:r w:rsidRPr="009B6EE6">
        <w:t xml:space="preserve"> i jego rolę nadzorczą;</w:t>
      </w:r>
    </w:p>
    <w:p w:rsidR="00FB3EB2" w:rsidRPr="009B6EE6" w:rsidRDefault="00FB3EB2" w:rsidP="00FB3EB2">
      <w:pPr>
        <w:pStyle w:val="NormalHanging12a"/>
      </w:pPr>
      <w:r w:rsidRPr="009B6EE6">
        <w:t>23.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ambasadorów UE w państwach o znaczeniu strategicznym i specjalnych przedstawicieli UE należy zatwierdzać dopiero po uzyskaniu pozytywnej oceny Komisji Spraw Zagranicznych Parlamentu;</w:t>
      </w:r>
    </w:p>
    <w:p w:rsidR="00FB3EB2" w:rsidRPr="009B6EE6" w:rsidRDefault="00FB3EB2" w:rsidP="00FB3EB2">
      <w:pPr>
        <w:pStyle w:val="NormalHanging12a"/>
      </w:pPr>
      <w:r w:rsidRPr="009B6EE6">
        <w:t>24.</w:t>
      </w:r>
      <w:r w:rsidRPr="009B6EE6">
        <w:tab/>
      </w:r>
      <w:proofErr w:type="gramStart"/>
      <w:r w:rsidRPr="009B6EE6">
        <w:t>wzywa</w:t>
      </w:r>
      <w:proofErr w:type="gramEnd"/>
      <w:r w:rsidRPr="009B6EE6">
        <w:t xml:space="preserve"> do bardziej systematycznego udziału przewodniczących komisji ds. zewnętrznych Parlamentu w posiedzeniach i wydarzeniach wysokiego szczebla dotyczących </w:t>
      </w:r>
      <w:proofErr w:type="spellStart"/>
      <w:r w:rsidRPr="009B6EE6">
        <w:t>WPZiB</w:t>
      </w:r>
      <w:proofErr w:type="spellEnd"/>
      <w:r w:rsidRPr="009B6EE6">
        <w:t>, w tym Rady do Spraw Zagranicznych; apeluje o wystawianie wspólnych delegacji ESDZ, Komisji i Parlamentu na najważniejsze spotkania wielostronne i regionalne;</w:t>
      </w:r>
    </w:p>
    <w:p w:rsidR="00FB3EB2" w:rsidRPr="009B6EE6" w:rsidRDefault="00FB3EB2" w:rsidP="00FB3EB2">
      <w:pPr>
        <w:pStyle w:val="NormalHanging12a"/>
      </w:pPr>
      <w:r w:rsidRPr="009B6EE6">
        <w:t>25.</w:t>
      </w:r>
      <w:r w:rsidRPr="009B6EE6">
        <w:tab/>
      </w:r>
      <w:proofErr w:type="gramStart"/>
      <w:r w:rsidRPr="009B6EE6">
        <w:t>nalega</w:t>
      </w:r>
      <w:proofErr w:type="gramEnd"/>
      <w:r w:rsidRPr="009B6EE6">
        <w:t>, aby wszystkie kluczowe strategiczne dokumenty programowe przyjęte przez Komisję i Radę w związku z prowadzeniem polityki zewnętrznej UE opracowywać po konsultacji z Parlamentem oraz z uwzględnieniem jego roli i wkładu;</w:t>
      </w:r>
    </w:p>
    <w:p w:rsidR="00FB3EB2" w:rsidRPr="009B6EE6" w:rsidRDefault="00FB3EB2" w:rsidP="00FB3EB2">
      <w:pPr>
        <w:pStyle w:val="NormalHanging12a"/>
      </w:pPr>
      <w:r w:rsidRPr="009B6EE6">
        <w:t>26.</w:t>
      </w:r>
      <w:r w:rsidRPr="009B6EE6">
        <w:tab/>
      </w:r>
      <w:proofErr w:type="gramStart"/>
      <w:r w:rsidRPr="009B6EE6">
        <w:t>wzywa</w:t>
      </w:r>
      <w:proofErr w:type="gramEnd"/>
      <w:r w:rsidRPr="009B6EE6">
        <w:t xml:space="preserve"> Parlament, aby dalej zacieśniał stosunki z parlamentami państw członkowskich, które są właściwymi organami do pełnienia roli łącznika z organami wykonawczymi państw członkowskich; podkreśla w związku z tym, że konferencja międzyparlamentarna poświęcona </w:t>
      </w:r>
      <w:proofErr w:type="spellStart"/>
      <w:r w:rsidRPr="009B6EE6">
        <w:t>WPZiB</w:t>
      </w:r>
      <w:proofErr w:type="spellEnd"/>
      <w:r w:rsidRPr="009B6EE6">
        <w:t xml:space="preserve"> i </w:t>
      </w:r>
      <w:proofErr w:type="spellStart"/>
      <w:r w:rsidRPr="009B6EE6">
        <w:t>WPBiO</w:t>
      </w:r>
      <w:proofErr w:type="spellEnd"/>
      <w:r w:rsidRPr="009B6EE6">
        <w:t>, a także konferencje międzyparlamentarne organizowane corocznie przez Podkomisję Praw Człowieka stanowią ważne forum wymiany informacji i najlepszych praktyk między parlamentami narodowymi a Parlamentem Europejskim w odnośnych dziedzinach i powinny otrzymać odpowiednie wsparcie;</w:t>
      </w:r>
    </w:p>
    <w:p w:rsidR="00FB3EB2" w:rsidRPr="009B6EE6" w:rsidRDefault="00FB3EB2" w:rsidP="00FB3EB2">
      <w:pPr>
        <w:pStyle w:val="NormalHanging12a"/>
      </w:pPr>
      <w:r w:rsidRPr="009B6EE6">
        <w:t>27.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Parlament może odegrać wyjątkową rolę w przybliżaniu polityki zagranicznej UE obywatelom Unii i we wzmacnianiu jej legitymacji demokratycznej, np. przez współpracę z podmiotami szczebla niższego niż krajowy, takimi jak rządy i parlamenty regionalne, a tym samym umożliwienie wkładu dyplomacji wielopoziomowej w działania zewnętrzne na szczeblu UE oraz opierania się dyplomacji wielopoziomowej na tych działaniach zewnętrznych zgodnie z odpowiednimi ramami prawnymi i instytucjonalnymi polityki zagranicznej UE i państw członkowskich;</w:t>
      </w:r>
    </w:p>
    <w:p w:rsidR="00FB3EB2" w:rsidRPr="009B6EE6" w:rsidRDefault="00FB3EB2" w:rsidP="00FB3EB2">
      <w:pPr>
        <w:pStyle w:val="NormalHanging12a"/>
      </w:pPr>
      <w:r w:rsidRPr="009B6EE6">
        <w:t>28.</w:t>
      </w:r>
      <w:r w:rsidRPr="009B6EE6">
        <w:tab/>
      </w:r>
      <w:proofErr w:type="gramStart"/>
      <w:r w:rsidRPr="009B6EE6">
        <w:t>ponownie</w:t>
      </w:r>
      <w:proofErr w:type="gramEnd"/>
      <w:r w:rsidRPr="009B6EE6">
        <w:t xml:space="preserve"> wzywa, by rozwijać autonomiczną dyplomację UE uwarunkowaną wspólną kulturą dyplomatyczną z perspektywy UE, i podkreśla rolę Parlamentu w tym zakresie; uważa, że wdrożenie projektu pilotażowego Parlamentu dotyczącego utworzenia Europejskiej Akademii Dyplomatycznej, a zwłaszcza jej przyszłej i stałej struktury, stanowi konkretny krok w tym kierunku; apeluje, by zagwarantować, że Parlament będzie miał stały udział w przyszłych organach zarządzających lub kierowniczych Europejskiej Akademii Dyplomatycznej, a także w jej programach i działaniach szkoleniowych, oraz że będzie w nich aktywnie uczestniczyć;</w:t>
      </w:r>
    </w:p>
    <w:p w:rsidR="00FB3EB2" w:rsidRPr="009B6EE6" w:rsidRDefault="00FB3EB2" w:rsidP="00FB3EB2">
      <w:pPr>
        <w:pStyle w:val="NormalHanging12a"/>
      </w:pPr>
      <w:r w:rsidRPr="009B6EE6">
        <w:t>29.</w:t>
      </w:r>
      <w:r w:rsidRPr="009B6EE6">
        <w:tab/>
      </w:r>
      <w:proofErr w:type="gramStart"/>
      <w:r w:rsidRPr="009B6EE6">
        <w:t>jest</w:t>
      </w:r>
      <w:proofErr w:type="gramEnd"/>
      <w:r w:rsidRPr="009B6EE6">
        <w:t xml:space="preserve"> zdania, że w kontekście regresu w zakresie praw człowieka i demokracji na całym świecie Parlament ma do odegrania szczególną rolę w obronie multilateralizmu </w:t>
      </w:r>
      <w:r w:rsidRPr="009B6EE6">
        <w:lastRenderedPageBreak/>
        <w:t xml:space="preserve">opartego na zasadach, demokracji i praworządności, w propagowaniu praw człowieka i pluralizmu politycznego, w przeciwdziałaniu dezinformacji i obcym ingerencjom w państwach trzecich oraz we wspieraniu demokratycznie wybranych parlamentów na całym świecie, by mogły umacniać swoje role instytucjonalne i wewnętrzne metody pracy za pomocą ukierunkowanych programów; zauważa, że posłowie do PE mogą zajmować się bardziej delikatnymi kwestiami, takimi jak naruszenia praw człowieka, wydawać publiczne oświadczenia, poszukiwać publicznych lub prywatnych kanałów komunikacji lub angażować się we współpracę z </w:t>
      </w:r>
      <w:proofErr w:type="gramStart"/>
      <w:r w:rsidRPr="009B6EE6">
        <w:t>lokalnymi</w:t>
      </w:r>
      <w:proofErr w:type="gramEnd"/>
      <w:r w:rsidRPr="009B6EE6">
        <w:t xml:space="preserve"> partnerami, gdy przestrzeń tradycyjnej dyplomacji jest bardziej ograniczona;</w:t>
      </w:r>
    </w:p>
    <w:p w:rsidR="00FB3EB2" w:rsidRPr="009B6EE6" w:rsidRDefault="00FB3EB2" w:rsidP="00FB3EB2">
      <w:pPr>
        <w:pStyle w:val="NormalHanging12a"/>
      </w:pPr>
      <w:r w:rsidRPr="009B6EE6">
        <w:t>30.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szczególną rolę organów parlamentarnych we wspieraniu krajów partnerskich, a w szczególności krajów objętych procesem rozszerzenia i potencjalnych krajów kandydujących na Bałkanach Zachodnich i we wschodnim sąsiedztwie; wzywa, aby kraje te wzmacniały swoją pozycję w procesie przystąpienia do UE, biorąc pod uwagę szczególną i kluczową rolę, jaką parlamenty narodowe odgrywają w tym procesie reform, m.in. za pośrednictwem zbliżania ustawodawstwa, nadzoru i informowania obywateli; przypomina, że delegatury UE muszą aktywnie wspierać taką współpracę międzyparlamentarną w krajach kandydujących i potencjalnych krajach kandydujących;</w:t>
      </w:r>
    </w:p>
    <w:p w:rsidR="00FB3EB2" w:rsidRPr="009B6EE6" w:rsidRDefault="00FB3EB2" w:rsidP="00FB3EB2">
      <w:pPr>
        <w:pStyle w:val="NormalHanging12a"/>
      </w:pPr>
      <w:r w:rsidRPr="009B6EE6">
        <w:t>31.</w:t>
      </w:r>
      <w:r w:rsidRPr="009B6EE6">
        <w:tab/>
      </w:r>
      <w:proofErr w:type="gramStart"/>
      <w:r w:rsidRPr="009B6EE6">
        <w:t>z</w:t>
      </w:r>
      <w:proofErr w:type="gramEnd"/>
      <w:r w:rsidRPr="009B6EE6">
        <w:t xml:space="preserve"> zadowoleniem przyjmuje innowacyjne podejścia, takie jak współpraca między komisjami rozpoczęta niedawno między Parlamentem Europejskim a Radą Najwyższą Ukrainy, i zachęca do rozwijania dalszych inicjatyw w tym obszarze, biorąc pod uwagę polityczne znaczenie procesu rozszerzenia;</w:t>
      </w:r>
    </w:p>
    <w:p w:rsidR="00FB3EB2" w:rsidRPr="009B6EE6" w:rsidRDefault="00FB3EB2" w:rsidP="00FB3EB2">
      <w:pPr>
        <w:pStyle w:val="NormalHanging12a"/>
      </w:pPr>
      <w:r w:rsidRPr="009B6EE6">
        <w:t>32.</w:t>
      </w:r>
      <w:r w:rsidRPr="009B6EE6">
        <w:tab/>
      </w:r>
      <w:proofErr w:type="gramStart"/>
      <w:r w:rsidRPr="009B6EE6">
        <w:t>ponawia</w:t>
      </w:r>
      <w:proofErr w:type="gramEnd"/>
      <w:r w:rsidRPr="009B6EE6">
        <w:t xml:space="preserve"> swój apel o zwiększenie zdolności instytucjonalnych UE w zakresie dyplomacji prewencyjnej, zapobiegania konfliktom i mediacji oraz uważa, że Parlament może zapewnić wiedzę fachową i znaczący wkład za pośrednictwem swoich organów i działań w tej dziedzinie, np. przez zaangażowanie w mechanizmy wczesnego ostrzegania i wizyty na miejscu;</w:t>
      </w:r>
    </w:p>
    <w:p w:rsidR="00FB3EB2" w:rsidRPr="009B6EE6" w:rsidRDefault="00FB3EB2" w:rsidP="00FB3EB2">
      <w:pPr>
        <w:pStyle w:val="NormalHanging12a"/>
      </w:pPr>
      <w:r w:rsidRPr="009B6EE6">
        <w:t>33.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>, że szeroka sieć międzyparlamentarna, którą Parlament rozwinął za pośrednictwem stałych delegacji i zgromadzeń wielostronnych, stanowi jeden z głównych instrumentów do omawiania i koordynowania stanowisk z partnerami międzynarodowymi na forach wielostronnych, np. w odniesieniu do rezolucji ONZ, uwzględniania aspektu płci, dyplomacji klimatycznej lub stanowisk na forum grupy G-20, a także do wyjaśniania partnerom intencji UE i propagowania jej działań; podkreśla istotny wkład, jaki Parlament wnosi w prace forów wielostronnych dzięki uczestnictwu m.in. w szczytach parlamentarnych grup G-7 i G-20 oraz w posiedzeniach Unii Międzyparlamentarnej;</w:t>
      </w:r>
    </w:p>
    <w:p w:rsidR="00FB3EB2" w:rsidRPr="009B6EE6" w:rsidRDefault="00FB3EB2" w:rsidP="00FB3EB2">
      <w:pPr>
        <w:pStyle w:val="NormalHanging12a"/>
      </w:pPr>
      <w:r w:rsidRPr="009B6EE6">
        <w:t>34.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rolę Parlamentu Europejskiego w globalnym propagowaniu równouprawnienia płci, w tym walki z </w:t>
      </w:r>
      <w:proofErr w:type="spellStart"/>
      <w:r w:rsidRPr="009B6EE6">
        <w:t>kobietobójstwem</w:t>
      </w:r>
      <w:proofErr w:type="spellEnd"/>
      <w:r w:rsidRPr="009B6EE6">
        <w:t xml:space="preserve"> i przemocą ze względu na płeć, oraz praw osób LGBTI w działaniach zewnętrznych UE; zwraca uwagę na znaczenie parlamentarzystów w propagowaniu wrażliwości na kwestie płci w stosunkach zewnętrznych przez podnoszenie świadomości, budowanie zdolności i dzielenie się dobrymi praktykami, co obejmuje m.in. wartość dodaną wynikającą z równowagi płci w parlamentach i uwzględnianie perspektywy płci w funkcjonowaniu organów parlamentarnych; wzywa Parlament Europejski, by dalej wspierał ten istotny wymiar dyplomacji parlamentarnej w kontaktach z krajami partnerskimi;</w:t>
      </w:r>
    </w:p>
    <w:p w:rsidR="00FB3EB2" w:rsidRPr="009B6EE6" w:rsidRDefault="00FB3EB2" w:rsidP="00FB3EB2">
      <w:pPr>
        <w:pStyle w:val="NormalHanging12a"/>
      </w:pPr>
      <w:r w:rsidRPr="009B6EE6">
        <w:lastRenderedPageBreak/>
        <w:t>35.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w odniesieniu do celu zrównoważonego rozwoju nr 5 (osiągnąć równość płci oraz wzmocnić pozycję kobiet i dziewcząt) Parlament musi odgrywać znaczącą rolę w osiąganiu kluczowych założeń strategicznych w zakresie równości płci;</w:t>
      </w:r>
    </w:p>
    <w:p w:rsidR="00FB3EB2" w:rsidRPr="009B6EE6" w:rsidRDefault="00FB3EB2" w:rsidP="00FB3EB2">
      <w:pPr>
        <w:pStyle w:val="NormalHanging12a"/>
      </w:pPr>
      <w:r w:rsidRPr="009B6EE6">
        <w:t>36.</w:t>
      </w:r>
      <w:r w:rsidRPr="009B6EE6">
        <w:tab/>
      </w:r>
      <w:proofErr w:type="gramStart"/>
      <w:r w:rsidRPr="009B6EE6">
        <w:t>podkreśla</w:t>
      </w:r>
      <w:proofErr w:type="gramEnd"/>
      <w:r w:rsidRPr="009B6EE6">
        <w:t xml:space="preserve"> działania Parlamentu na rzecz ratyfikacji i wdrożenia odpowiednich konwencji ONZ i innych konwencji międzynarodowych oraz protokołów fakultatywnych, takich jak porozumienie paryskie i Konwencja o zapobieganiu i zwalczaniu przemocy wobec kobiet i przemocy domowej;</w:t>
      </w:r>
    </w:p>
    <w:p w:rsidR="00FB3EB2" w:rsidRPr="009B6EE6" w:rsidRDefault="00FB3EB2" w:rsidP="00FB3EB2">
      <w:pPr>
        <w:pStyle w:val="Normal12a24b"/>
      </w:pPr>
      <w:r w:rsidRPr="009B6EE6">
        <w:rPr>
          <w:rStyle w:val="BoldItalic"/>
        </w:rPr>
        <w:t>Drużyna Europy – Parlament jako partner w polityce zagranicznej</w:t>
      </w:r>
    </w:p>
    <w:p w:rsidR="00FB3EB2" w:rsidRPr="009B6EE6" w:rsidRDefault="00FB3EB2" w:rsidP="00FB3EB2">
      <w:pPr>
        <w:pStyle w:val="NormalHanging12a"/>
      </w:pPr>
      <w:r w:rsidRPr="009B6EE6">
        <w:t>37.</w:t>
      </w:r>
      <w:r w:rsidRPr="009B6EE6">
        <w:tab/>
      </w:r>
      <w:proofErr w:type="gramStart"/>
      <w:r w:rsidRPr="009B6EE6">
        <w:t>uważa</w:t>
      </w:r>
      <w:proofErr w:type="gramEnd"/>
      <w:r w:rsidRPr="009B6EE6">
        <w:t>, że chociaż Parlament powinien zachować pełną autonomię w realizacji swojego programu polityki zewnętrznej, wspólne wizyty ad hoc i oświadczenia Parlamentu oraz przedstawicieli Komisji i Rady dotyczące kluczowych wydarzeń w państwach trzecich stanowią obiecujący obszar dla wdrożenia podejścia „Drużyna Europy”; w związku z tym wzywa, by uruchomić międzyinstytucjonalny program pilotażowy „Drużyna Europy” w wybranych państwach trzecich; apeluje, aby ten program pilotażowy zapewnił pełną integrację narzędzi Parlamentu w ramach wspólnego międzyinstytucjonalnego podejścia do zainteresowanych krajów;</w:t>
      </w:r>
    </w:p>
    <w:p w:rsidR="00FB3EB2" w:rsidRPr="009B6EE6" w:rsidRDefault="00FB3EB2" w:rsidP="00FB3EB2">
      <w:pPr>
        <w:pStyle w:val="NormalHanging12a"/>
      </w:pPr>
      <w:r w:rsidRPr="009B6EE6">
        <w:t>38.</w:t>
      </w:r>
      <w:r w:rsidRPr="009B6EE6">
        <w:tab/>
      </w:r>
      <w:proofErr w:type="gramStart"/>
      <w:r w:rsidRPr="009B6EE6">
        <w:t>potępia</w:t>
      </w:r>
      <w:proofErr w:type="gramEnd"/>
      <w:r w:rsidRPr="009B6EE6">
        <w:t xml:space="preserve"> decyzję niektórych krajów, również tych, które zawarły umowy z UE, o zakazie wjazdu delegacji Parlamentu i indywidualnych posłów do PE na niektóre lub wszystkie ich terytoria; potępia groźby i sankcje wobec posłów do PE ze strony państw trzecich; nalega, aby Komisja i państwa członkowskie podejmowały natychmiastowe i zdecydowane działania, np. w razie konieczności sankcje, w przypadku gdy organy Parlamentu lub indywidualni posłowie do PE są celem środków ograniczających ze strony państw trzecich;</w:t>
      </w:r>
    </w:p>
    <w:p w:rsidR="00FB3EB2" w:rsidRPr="009B6EE6" w:rsidRDefault="00FB3EB2" w:rsidP="00FB3EB2">
      <w:pPr>
        <w:pStyle w:val="NormalHanging12a"/>
      </w:pPr>
      <w:r w:rsidRPr="009B6EE6">
        <w:t>39.</w:t>
      </w:r>
      <w:r w:rsidRPr="009B6EE6">
        <w:tab/>
      </w:r>
      <w:proofErr w:type="gramStart"/>
      <w:r w:rsidRPr="009B6EE6">
        <w:t>zaznacza</w:t>
      </w:r>
      <w:proofErr w:type="gramEnd"/>
      <w:r w:rsidRPr="009B6EE6">
        <w:t>, że obserwacja wyborów jest najlepiej ustrukturyzowaną dziedziną współpracy między Parlamentem a ESDZ, a obie instytucje prowadzą działania w zakresie obserwacji wyborów, które są ze sobą dobrze zintegrowane pod wieloma względami;</w:t>
      </w:r>
    </w:p>
    <w:p w:rsidR="00FB3EB2" w:rsidRPr="009B6EE6" w:rsidRDefault="00FB3EB2" w:rsidP="00FB3EB2">
      <w:pPr>
        <w:pStyle w:val="NormalHanging12a"/>
      </w:pPr>
      <w:r w:rsidRPr="009B6EE6">
        <w:t>40.</w:t>
      </w:r>
      <w:r w:rsidRPr="009B6EE6">
        <w:tab/>
      </w:r>
      <w:proofErr w:type="gramStart"/>
      <w:r w:rsidRPr="009B6EE6">
        <w:t>ponawia</w:t>
      </w:r>
      <w:proofErr w:type="gramEnd"/>
      <w:r w:rsidRPr="009B6EE6">
        <w:t xml:space="preserve"> swój apel o bardziej strategiczną koordynację między instytucjami UE w odniesieniu do pilnych indywidualnych przypadków związanych z obrońcami praw człowieka, dziennikarzami lub członkami grup szczególnie wrażliwych; jest przekonany, że w takich przypadkach dyplomacja parlamentarna może okazać się skutecznym i uzupełniającym mechanizmem współpracy z państwami trzecimi; wzywa do utworzenia międzyinstytucjonalnej grupy zadaniowej ds. obrońców praw człowieka, by koordynować europejskie wysiłki w priorytetowych sprawach związanych z obrońcami praw człowieka;</w:t>
      </w:r>
    </w:p>
    <w:p w:rsidR="00FB3EB2" w:rsidRPr="009B6EE6" w:rsidRDefault="00FB3EB2" w:rsidP="00FB3EB2">
      <w:pPr>
        <w:pStyle w:val="NormalHanging12a"/>
      </w:pPr>
      <w:r w:rsidRPr="009B6EE6">
        <w:t>41.</w:t>
      </w:r>
      <w:r w:rsidRPr="009B6EE6">
        <w:tab/>
      </w:r>
      <w:proofErr w:type="gramStart"/>
      <w:r w:rsidRPr="009B6EE6">
        <w:t>ponownie</w:t>
      </w:r>
      <w:proofErr w:type="gramEnd"/>
      <w:r w:rsidRPr="009B6EE6">
        <w:t xml:space="preserve"> zwraca się do wiceprzewodniczącego Komisji / wysokiego przedstawiciela Unii do spraw zagranicznych i polityki bezpieczeństwa o przyjęcie, we współpracy z państwami członkowskimi i Parlamentem, rocznego wykazu państw, które budzą poważne obawy w związku z trudną sytuacją obrońców praw człowieka i działaczy na rzecz demokracji, co pozwoliłoby m.in. na w pełni skoordynowaną praktyczną reakcję „Drużyny Europy” w terenie; uważa, że Parlament mógłby odegrać decydującą rolę przez wykorzystanie swoich środków instytucjonalnych i środków innego rodzaju do wspierania tego ukierunkowanego i wspólnego podejścia;</w:t>
      </w:r>
    </w:p>
    <w:p w:rsidR="00FB3EB2" w:rsidRPr="009B6EE6" w:rsidRDefault="00FB3EB2" w:rsidP="00FB3EB2">
      <w:pPr>
        <w:pStyle w:val="NormalHanging12a"/>
      </w:pPr>
      <w:r w:rsidRPr="009B6EE6">
        <w:lastRenderedPageBreak/>
        <w:t>42.</w:t>
      </w:r>
      <w:r w:rsidRPr="009B6EE6">
        <w:tab/>
      </w:r>
      <w:proofErr w:type="gramStart"/>
      <w:r w:rsidRPr="009B6EE6">
        <w:t>wzywa</w:t>
      </w:r>
      <w:proofErr w:type="gramEnd"/>
      <w:r w:rsidRPr="009B6EE6">
        <w:t xml:space="preserve"> wszystkie delegatury UE, aby publikowały na swoich stronach internetowych informacje o pracach Parlamentu dotyczących danego kraju – </w:t>
      </w:r>
      <w:proofErr w:type="spellStart"/>
      <w:r w:rsidRPr="009B6EE6">
        <w:t>rownież</w:t>
      </w:r>
      <w:proofErr w:type="spellEnd"/>
      <w:r w:rsidRPr="009B6EE6">
        <w:t xml:space="preserve"> w języku lokalnym – oraz by podejmowały działania następcze wraz z władzami lokalnymi i grupami społeczeństwa obywatelskiego;</w:t>
      </w:r>
    </w:p>
    <w:p w:rsidR="00FB3EB2" w:rsidRPr="009B6EE6" w:rsidRDefault="00FB3EB2" w:rsidP="00FB3EB2">
      <w:pPr>
        <w:pStyle w:val="NormalCenter12a"/>
      </w:pPr>
      <w:r w:rsidRPr="009B6EE6">
        <w:t>°</w:t>
      </w:r>
    </w:p>
    <w:p w:rsidR="00FB3EB2" w:rsidRPr="009B6EE6" w:rsidRDefault="00FB3EB2" w:rsidP="00FB3EB2">
      <w:pPr>
        <w:pStyle w:val="NormalCenter12a"/>
      </w:pPr>
      <w:r w:rsidRPr="009B6EE6">
        <w:t>°</w:t>
      </w:r>
      <w:r w:rsidRPr="009B6EE6">
        <w:tab/>
        <w:t>°</w:t>
      </w:r>
    </w:p>
    <w:p w:rsidR="00FB3EB2" w:rsidRPr="009B6EE6" w:rsidRDefault="00FB3EB2" w:rsidP="00FB3EB2">
      <w:pPr>
        <w:pStyle w:val="NormalHanging12a"/>
      </w:pPr>
      <w:r w:rsidRPr="009B6EE6">
        <w:t>43.</w:t>
      </w:r>
      <w:r w:rsidRPr="009B6EE6">
        <w:tab/>
      </w:r>
      <w:proofErr w:type="gramStart"/>
      <w:r w:rsidRPr="009B6EE6">
        <w:t>zobowiązuje</w:t>
      </w:r>
      <w:proofErr w:type="gramEnd"/>
      <w:r w:rsidRPr="009B6EE6">
        <w:t xml:space="preserve"> swoją przewodniczącą do przekazania niniejszej rezolucji Radzie, Komisji, wiceprzewodniczącemu Komisji / wysokiemu przedstawicielowi Unii do spraw zagranicznych i polityki bezpieczeństwa oraz rządom i parlamentom państw członkowskich.</w:t>
      </w:r>
    </w:p>
    <w:sectPr w:rsidR="00FB3EB2" w:rsidRPr="009B6EE6" w:rsidSect="009B6E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865" w:rsidRPr="009B6EE6" w:rsidRDefault="003F7865">
      <w:r w:rsidRPr="009B6EE6">
        <w:separator/>
      </w:r>
    </w:p>
  </w:endnote>
  <w:endnote w:type="continuationSeparator" w:id="0">
    <w:p w:rsidR="003F7865" w:rsidRPr="009B6EE6" w:rsidRDefault="003F7865">
      <w:r w:rsidRPr="009B6E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865" w:rsidRPr="009B6EE6" w:rsidRDefault="003F7865">
      <w:r w:rsidRPr="009B6EE6">
        <w:separator/>
      </w:r>
    </w:p>
  </w:footnote>
  <w:footnote w:type="continuationSeparator" w:id="0">
    <w:p w:rsidR="003F7865" w:rsidRPr="009B6EE6" w:rsidRDefault="003F7865">
      <w:r w:rsidRPr="009B6EE6">
        <w:continuationSeparator/>
      </w:r>
    </w:p>
  </w:footnote>
  <w:footnote w:id="1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 xml:space="preserve">Dz.U. L 201 z 3.8.2010, </w:t>
      </w:r>
      <w:proofErr w:type="gramStart"/>
      <w:r w:rsidRPr="009B6EE6">
        <w:rPr>
          <w:sz w:val="24"/>
          <w:lang w:val="pl-PL"/>
        </w:rPr>
        <w:t>s</w:t>
      </w:r>
      <w:proofErr w:type="gramEnd"/>
      <w:r w:rsidRPr="009B6EE6">
        <w:rPr>
          <w:sz w:val="24"/>
          <w:lang w:val="pl-PL"/>
        </w:rPr>
        <w:t>. 30.</w:t>
      </w:r>
    </w:p>
  </w:footnote>
  <w:footnote w:id="2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>Dz.U. C</w:t>
      </w:r>
      <w:proofErr w:type="gramStart"/>
      <w:r w:rsidRPr="009B6EE6">
        <w:rPr>
          <w:sz w:val="24"/>
          <w:lang w:val="pl-PL"/>
        </w:rPr>
        <w:t>, C</w:t>
      </w:r>
      <w:proofErr w:type="gramEnd"/>
      <w:r w:rsidRPr="009B6EE6">
        <w:rPr>
          <w:sz w:val="24"/>
          <w:lang w:val="pl-PL"/>
        </w:rPr>
        <w:t xml:space="preserve">/2023/410, 23.11.2023, ELI: </w:t>
      </w:r>
      <w:hyperlink r:id="rId1" w:history="1">
        <w:r w:rsidRPr="009B6EE6">
          <w:rPr>
            <w:rStyle w:val="Hyperlink"/>
            <w:sz w:val="24"/>
            <w:lang w:val="pl-PL"/>
          </w:rPr>
          <w:t>http://data.europa.eu/eli/C/2023/410/oj</w:t>
        </w:r>
      </w:hyperlink>
      <w:r w:rsidRPr="009B6EE6">
        <w:rPr>
          <w:sz w:val="24"/>
          <w:lang w:val="pl-PL"/>
        </w:rPr>
        <w:t xml:space="preserve">. </w:t>
      </w:r>
    </w:p>
  </w:footnote>
  <w:footnote w:id="3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 xml:space="preserve">Dz.U. C 214 z 16.6.2023, </w:t>
      </w:r>
      <w:proofErr w:type="gramStart"/>
      <w:r w:rsidRPr="009B6EE6">
        <w:rPr>
          <w:sz w:val="24"/>
          <w:lang w:val="pl-PL"/>
        </w:rPr>
        <w:t>s</w:t>
      </w:r>
      <w:proofErr w:type="gramEnd"/>
      <w:r w:rsidRPr="009B6EE6">
        <w:rPr>
          <w:sz w:val="24"/>
          <w:lang w:val="pl-PL"/>
        </w:rPr>
        <w:t>. </w:t>
      </w:r>
      <w:r w:rsidR="00723833">
        <w:rPr>
          <w:sz w:val="24"/>
          <w:lang w:val="pl-PL"/>
        </w:rPr>
        <w:t>26</w:t>
      </w:r>
      <w:r w:rsidRPr="009B6EE6">
        <w:rPr>
          <w:sz w:val="24"/>
          <w:lang w:val="pl-PL"/>
        </w:rPr>
        <w:t>.</w:t>
      </w:r>
    </w:p>
  </w:footnote>
  <w:footnote w:id="4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 xml:space="preserve">Dz.U. C 214 z 16.6.2023, </w:t>
      </w:r>
      <w:proofErr w:type="gramStart"/>
      <w:r w:rsidRPr="009B6EE6">
        <w:rPr>
          <w:sz w:val="24"/>
          <w:lang w:val="pl-PL"/>
        </w:rPr>
        <w:t>s</w:t>
      </w:r>
      <w:proofErr w:type="gramEnd"/>
      <w:r w:rsidRPr="009B6EE6">
        <w:rPr>
          <w:sz w:val="24"/>
          <w:lang w:val="pl-PL"/>
        </w:rPr>
        <w:t>. 54.</w:t>
      </w:r>
    </w:p>
  </w:footnote>
  <w:footnote w:id="5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 xml:space="preserve">Dz.U. C 23 z 21.1.2021, </w:t>
      </w:r>
      <w:proofErr w:type="gramStart"/>
      <w:r w:rsidRPr="009B6EE6">
        <w:rPr>
          <w:sz w:val="24"/>
          <w:lang w:val="pl-PL"/>
        </w:rPr>
        <w:t>s</w:t>
      </w:r>
      <w:proofErr w:type="gramEnd"/>
      <w:r w:rsidRPr="009B6EE6">
        <w:rPr>
          <w:sz w:val="24"/>
          <w:lang w:val="pl-PL"/>
        </w:rPr>
        <w:t>. 16.</w:t>
      </w:r>
    </w:p>
  </w:footnote>
  <w:footnote w:id="6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>Teksty przyjęte, P9_TA(2023)0316.</w:t>
      </w:r>
    </w:p>
  </w:footnote>
  <w:footnote w:id="7">
    <w:p w:rsidR="00FB3EB2" w:rsidRPr="009B6EE6" w:rsidRDefault="00FB3EB2" w:rsidP="009B6EE6">
      <w:pPr>
        <w:pStyle w:val="FootnoteText"/>
        <w:ind w:left="567" w:hanging="567"/>
        <w:rPr>
          <w:sz w:val="24"/>
          <w:lang w:val="pl-PL"/>
        </w:rPr>
      </w:pPr>
      <w:r w:rsidRPr="009B6EE6">
        <w:rPr>
          <w:rStyle w:val="FootnoteReference"/>
          <w:sz w:val="24"/>
          <w:lang w:val="pl-PL"/>
        </w:rPr>
        <w:footnoteRef/>
      </w:r>
      <w:r w:rsidR="009B6EE6" w:rsidRPr="009B6EE6">
        <w:rPr>
          <w:sz w:val="24"/>
          <w:lang w:val="pl-PL"/>
        </w:rPr>
        <w:t xml:space="preserve"> </w:t>
      </w:r>
      <w:r w:rsidR="009B6EE6" w:rsidRPr="009B6EE6">
        <w:rPr>
          <w:sz w:val="24"/>
          <w:lang w:val="pl-PL"/>
        </w:rPr>
        <w:tab/>
      </w:r>
      <w:r w:rsidRPr="009B6EE6">
        <w:rPr>
          <w:sz w:val="24"/>
          <w:lang w:val="pl-PL"/>
        </w:rPr>
        <w:t xml:space="preserve">Dz.U. C 298 z 30.11.2002, </w:t>
      </w:r>
      <w:proofErr w:type="gramStart"/>
      <w:r w:rsidRPr="009B6EE6">
        <w:rPr>
          <w:sz w:val="24"/>
          <w:lang w:val="pl-PL"/>
        </w:rPr>
        <w:t>s</w:t>
      </w:r>
      <w:proofErr w:type="gramEnd"/>
      <w:r w:rsidRPr="009B6EE6">
        <w:rPr>
          <w:sz w:val="24"/>
          <w:lang w:val="pl-PL"/>
        </w:rPr>
        <w:t>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B6E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5/2023"/>
    <w:docVar w:name="dvlangue" w:val="PL"/>
    <w:docVar w:name="dvnumam" w:val="0"/>
    <w:docVar w:name="dvpe" w:val="753.617"/>
    <w:docVar w:name="dvrapporteur" w:val="Sprawozdawca: "/>
    <w:docVar w:name="dvtitre" w:val="Rezolucja Parlamentu Europejskiego z dnia  2024 r. w sprawie roli Parlamentu Europejskiego i jego dyplomacji parlamentarnej w polityce zagranicznej i bezpieczeństwa UE(2023/2105(INI))"/>
  </w:docVars>
  <w:rsids>
    <w:rsidRoot w:val="003F786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86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383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1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EE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EB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13FDE"/>
  <w15:chartTrackingRefBased/>
  <w15:docId w15:val="{F3EE310C-8C8A-433C-93D3-0B8FEA75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3EB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B3EB2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B3EB2"/>
    <w:pPr>
      <w:spacing w:after="240"/>
      <w:jc w:val="center"/>
    </w:pPr>
  </w:style>
  <w:style w:type="character" w:customStyle="1" w:styleId="BoldItalic">
    <w:name w:val="BoldItalic"/>
    <w:uiPriority w:val="1"/>
    <w:rsid w:val="00FB3EB2"/>
    <w:rPr>
      <w:b/>
      <w:i/>
      <w:u w:val="none"/>
    </w:rPr>
  </w:style>
  <w:style w:type="character" w:customStyle="1" w:styleId="Italic">
    <w:name w:val="Italic"/>
    <w:uiPriority w:val="1"/>
    <w:rsid w:val="00FB3EB2"/>
    <w:rPr>
      <w:i/>
    </w:rPr>
  </w:style>
  <w:style w:type="paragraph" w:customStyle="1" w:styleId="Normal12a24b">
    <w:name w:val="Normal12a24b"/>
    <w:basedOn w:val="Normal"/>
    <w:rsid w:val="00FB3EB2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B3EB2"/>
    <w:rPr>
      <w:snapToGrid w:val="0"/>
      <w:sz w:val="24"/>
      <w:lang w:val="pl-PL" w:eastAsia="en-US"/>
    </w:rPr>
  </w:style>
  <w:style w:type="character" w:styleId="Hyperlink">
    <w:name w:val="Hyperlink"/>
    <w:basedOn w:val="DefaultParagraphFont"/>
    <w:unhideWhenUsed/>
    <w:rsid w:val="00FB3E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4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24A39-2F4C-4C0B-BF26-2765730C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3920</Words>
  <Characters>26330</Characters>
  <Application>Microsoft Office Word</Application>
  <DocSecurity>0</DocSecurity>
  <Lines>1097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2024-01-16T11:46:00Z</dcterms:created>
  <dcterms:modified xsi:type="dcterms:W3CDTF">2024-01-16T11:46:00Z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A9-0405/2023</vt:lpwstr>
  </property>
  <property fmtid="{D5CDD505-2E9C-101B-9397-08002B2CF9AE}" pid="4" name="&lt;Type&gt;">
    <vt:lpwstr>RR</vt:lpwstr>
  </property>
</Properties>
</file>