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1DF1" w:rsidTr="0010095E">
        <w:trPr>
          <w:trHeight w:hRule="exact" w:val="1418"/>
        </w:trPr>
        <w:tc>
          <w:tcPr>
            <w:tcW w:w="6804" w:type="dxa"/>
            <w:shd w:val="clear" w:color="auto" w:fill="auto"/>
            <w:vAlign w:val="center"/>
          </w:tcPr>
          <w:p w:rsidR="00751A4A" w:rsidRPr="005C1DF1" w:rsidRDefault="005C6A76" w:rsidP="0010095E">
            <w:pPr>
              <w:pStyle w:val="EPName"/>
            </w:pPr>
            <w:r w:rsidRPr="005C1DF1">
              <w:t>Europaparlamentet</w:t>
            </w:r>
          </w:p>
          <w:p w:rsidR="00751A4A" w:rsidRPr="005C1DF1" w:rsidRDefault="00817416" w:rsidP="00756632">
            <w:pPr>
              <w:pStyle w:val="EPTerm"/>
              <w:rPr>
                <w:rStyle w:val="HideTWBExt"/>
                <w:noProof w:val="0"/>
                <w:vanish w:val="0"/>
                <w:color w:val="auto"/>
              </w:rPr>
            </w:pPr>
            <w:r w:rsidRPr="005C1DF1">
              <w:t>2019-2024</w:t>
            </w:r>
          </w:p>
        </w:tc>
        <w:tc>
          <w:tcPr>
            <w:tcW w:w="2268" w:type="dxa"/>
            <w:shd w:val="clear" w:color="auto" w:fill="auto"/>
          </w:tcPr>
          <w:p w:rsidR="00751A4A" w:rsidRPr="005C1DF1" w:rsidRDefault="00187494" w:rsidP="0010095E">
            <w:pPr>
              <w:pStyle w:val="EPLogo"/>
            </w:pPr>
            <w:r w:rsidRPr="005C1DF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C1DF1" w:rsidRDefault="00D058B8" w:rsidP="004C5D52">
      <w:pPr>
        <w:pStyle w:val="LineTop"/>
      </w:pPr>
    </w:p>
    <w:p w:rsidR="00680577" w:rsidRPr="005C1DF1" w:rsidRDefault="005C6A76" w:rsidP="00680577">
      <w:pPr>
        <w:pStyle w:val="EPBodyTA1"/>
      </w:pPr>
      <w:r w:rsidRPr="005C1DF1">
        <w:t>ANTAGNA TEXTER</w:t>
      </w:r>
    </w:p>
    <w:p w:rsidR="00D058B8" w:rsidRPr="005C1DF1" w:rsidRDefault="00D058B8" w:rsidP="00D058B8">
      <w:pPr>
        <w:pStyle w:val="LineBottom"/>
      </w:pPr>
    </w:p>
    <w:p w:rsidR="005C6A76" w:rsidRPr="005C1DF1" w:rsidRDefault="005C6A76" w:rsidP="005C6A76">
      <w:pPr>
        <w:pStyle w:val="ATHeading1"/>
      </w:pPr>
      <w:bookmarkStart w:id="0" w:name="TANumber"/>
      <w:r w:rsidRPr="005C1DF1">
        <w:t>P9_TA(2024)00</w:t>
      </w:r>
      <w:r w:rsidR="00454021" w:rsidRPr="005C1DF1">
        <w:t>13</w:t>
      </w:r>
      <w:bookmarkEnd w:id="0"/>
    </w:p>
    <w:p w:rsidR="005C6A76" w:rsidRPr="005C1DF1" w:rsidRDefault="005C6A76" w:rsidP="005C6A76">
      <w:pPr>
        <w:pStyle w:val="ATHeading2"/>
      </w:pPr>
      <w:bookmarkStart w:id="1" w:name="title"/>
      <w:r w:rsidRPr="005C1DF1">
        <w:t>Europaparlamentets och den parlamentariska diplomatins roll i EU:s utrikes- och säkerhetspolitik</w:t>
      </w:r>
      <w:bookmarkEnd w:id="1"/>
    </w:p>
    <w:p w:rsidR="005C6A76" w:rsidRPr="005C1DF1" w:rsidRDefault="005C6A76" w:rsidP="005C6A76">
      <w:pPr>
        <w:rPr>
          <w:i/>
          <w:vanish/>
        </w:rPr>
      </w:pPr>
      <w:r w:rsidRPr="005C1DF1">
        <w:rPr>
          <w:i/>
        </w:rPr>
        <w:fldChar w:fldCharType="begin"/>
      </w:r>
      <w:r w:rsidRPr="005C1DF1">
        <w:rPr>
          <w:i/>
        </w:rPr>
        <w:instrText xml:space="preserve"> TC"(</w:instrText>
      </w:r>
      <w:bookmarkStart w:id="2" w:name="DocNumber"/>
      <w:r w:rsidRPr="005C1DF1">
        <w:rPr>
          <w:i/>
        </w:rPr>
        <w:instrText>A9-0405/2023</w:instrText>
      </w:r>
      <w:bookmarkEnd w:id="2"/>
      <w:r w:rsidRPr="005C1DF1">
        <w:rPr>
          <w:i/>
        </w:rPr>
        <w:instrText xml:space="preserve"> - Föredragande: Jordi Solé)"\l3 \n&gt; \* MERGEFORMAT </w:instrText>
      </w:r>
      <w:r w:rsidRPr="005C1DF1">
        <w:rPr>
          <w:i/>
        </w:rPr>
        <w:fldChar w:fldCharType="end"/>
      </w:r>
    </w:p>
    <w:p w:rsidR="005C6A76" w:rsidRPr="005C1DF1" w:rsidRDefault="005C6A76" w:rsidP="005C6A76">
      <w:pPr>
        <w:rPr>
          <w:vanish/>
        </w:rPr>
      </w:pPr>
      <w:bookmarkStart w:id="3" w:name="Commission"/>
      <w:r w:rsidRPr="005C1DF1">
        <w:rPr>
          <w:vanish/>
        </w:rPr>
        <w:t>Utskottet för utrikesfrågor</w:t>
      </w:r>
      <w:bookmarkEnd w:id="3"/>
    </w:p>
    <w:p w:rsidR="005C6A76" w:rsidRPr="005C1DF1" w:rsidRDefault="005C6A76" w:rsidP="005C6A76">
      <w:pPr>
        <w:rPr>
          <w:vanish/>
        </w:rPr>
      </w:pPr>
      <w:bookmarkStart w:id="4" w:name="PE"/>
      <w:r w:rsidRPr="005C1DF1">
        <w:rPr>
          <w:vanish/>
        </w:rPr>
        <w:t>PE753.617</w:t>
      </w:r>
      <w:bookmarkEnd w:id="4"/>
    </w:p>
    <w:p w:rsidR="005C6A76" w:rsidRPr="005C1DF1" w:rsidRDefault="005C6A76" w:rsidP="005C6A76">
      <w:pPr>
        <w:pStyle w:val="ATHeading3"/>
      </w:pPr>
      <w:bookmarkStart w:id="5" w:name="Sujet"/>
      <w:r w:rsidRPr="005C1DF1">
        <w:t xml:space="preserve">Europaparlamentets resolution av den </w:t>
      </w:r>
      <w:r w:rsidR="00454021" w:rsidRPr="005C1DF1">
        <w:t>16</w:t>
      </w:r>
      <w:r w:rsidRPr="005C1DF1">
        <w:t xml:space="preserve"> </w:t>
      </w:r>
      <w:r w:rsidR="00614EEB" w:rsidRPr="005C1DF1">
        <w:t>januari</w:t>
      </w:r>
      <w:r w:rsidRPr="005C1DF1">
        <w:t xml:space="preserve"> 2024 om Europaparlamentets och den parlamentariska diplomatins roll i EU:s utrikes- och säkerhetspolitik</w:t>
      </w:r>
      <w:bookmarkEnd w:id="5"/>
      <w:r w:rsidRPr="005C1DF1">
        <w:t xml:space="preserve"> </w:t>
      </w:r>
      <w:bookmarkStart w:id="6" w:name="References"/>
      <w:r w:rsidRPr="005C1DF1">
        <w:t>(2023/2105(INI))</w:t>
      </w:r>
      <w:bookmarkEnd w:id="6"/>
    </w:p>
    <w:p w:rsidR="00AA2E33" w:rsidRPr="005C1DF1" w:rsidRDefault="00AA2E33" w:rsidP="00AA2E33">
      <w:pPr>
        <w:pStyle w:val="EPComma"/>
      </w:pPr>
      <w:bookmarkStart w:id="7" w:name="TextBodyBegin"/>
      <w:bookmarkEnd w:id="7"/>
      <w:r w:rsidRPr="005C1DF1">
        <w:rPr>
          <w:i/>
          <w:iCs/>
        </w:rPr>
        <w:t>Europaparlamentet utfärdar denna resolution</w:t>
      </w:r>
      <w:r w:rsidRPr="005C1DF1">
        <w:t>,</w:t>
      </w:r>
    </w:p>
    <w:p w:rsidR="00AA2E33" w:rsidRPr="005C1DF1" w:rsidRDefault="00AA2E33" w:rsidP="00AA2E33">
      <w:pPr>
        <w:pStyle w:val="NormalHanging12a"/>
      </w:pPr>
      <w:r w:rsidRPr="005C1DF1">
        <w:t>–</w:t>
      </w:r>
      <w:r w:rsidRPr="005C1DF1">
        <w:tab/>
        <w:t>med beaktande av artiklarna 14.1, 21 och 36 i fördraget om Europeiska unionen (EU</w:t>
      </w:r>
      <w:r w:rsidRPr="005C1DF1">
        <w:noBreakHyphen/>
        <w:t>fördraget),</w:t>
      </w:r>
      <w:bookmarkStart w:id="8" w:name="_GoBack"/>
      <w:bookmarkEnd w:id="8"/>
    </w:p>
    <w:p w:rsidR="00AA2E33" w:rsidRPr="005C1DF1" w:rsidRDefault="00AA2E33" w:rsidP="00AA2E33">
      <w:pPr>
        <w:pStyle w:val="NormalHanging12a"/>
      </w:pPr>
      <w:r w:rsidRPr="005C1DF1">
        <w:t>–</w:t>
      </w:r>
      <w:r w:rsidRPr="005C1DF1">
        <w:tab/>
        <w:t>med beaktande av förklaringen om politisk ansvarsskyldighet av den 20 juli 2010 från vice ordföranden för kommissionen/unionens höga representant för utrikes frågor och säkerhetspolitik (vice ordföranden/den höga representanten),</w:t>
      </w:r>
    </w:p>
    <w:p w:rsidR="00AA2E33" w:rsidRPr="005C1DF1" w:rsidRDefault="00AA2E33" w:rsidP="00AA2E33">
      <w:pPr>
        <w:pStyle w:val="NormalHanging12a"/>
      </w:pPr>
      <w:r w:rsidRPr="005C1DF1">
        <w:t>–</w:t>
      </w:r>
      <w:r w:rsidRPr="005C1DF1">
        <w:tab/>
        <w:t xml:space="preserve">med beaktande av rådets slutsatser av den 28 juni 2016 som antog rapporten </w:t>
      </w:r>
      <w:r w:rsidRPr="005C1DF1">
        <w:rPr>
          <w:i/>
          <w:iCs/>
        </w:rPr>
        <w:t>Delade visioner, gemensamma åtgärder: Ett starkare Europa – En global strategi för Europeiska unionens utrikes- och säkerhetspolitik</w:t>
      </w:r>
      <w:r w:rsidRPr="005C1DF1">
        <w:t>,</w:t>
      </w:r>
    </w:p>
    <w:p w:rsidR="00AA2E33" w:rsidRPr="005C1DF1" w:rsidRDefault="00AA2E33" w:rsidP="00AA2E33">
      <w:pPr>
        <w:pStyle w:val="NormalHanging12a"/>
      </w:pPr>
      <w:r w:rsidRPr="005C1DF1">
        <w:t>–</w:t>
      </w:r>
      <w:r w:rsidRPr="005C1DF1">
        <w:tab/>
        <w:t xml:space="preserve">med beaktande av det gemensamma meddelandet av den 25 mars 2020 från kommissionen och unionens höga representant för utrikes frågor och säkerhetspolitik </w:t>
      </w:r>
      <w:r w:rsidRPr="005C1DF1">
        <w:rPr>
          <w:i/>
          <w:iCs/>
        </w:rPr>
        <w:t>EU:s handlingsplan för mänskliga rättigheter och demokrati 2020–2024</w:t>
      </w:r>
      <w:r w:rsidRPr="005C1DF1">
        <w:t xml:space="preserve"> (JOIN(2020)0005),</w:t>
      </w:r>
    </w:p>
    <w:p w:rsidR="00AA2E33" w:rsidRPr="005C1DF1" w:rsidRDefault="00AA2E33" w:rsidP="00AA2E33">
      <w:pPr>
        <w:pStyle w:val="NormalHanging12a"/>
      </w:pPr>
      <w:r w:rsidRPr="005C1DF1">
        <w:t>–</w:t>
      </w:r>
      <w:r w:rsidRPr="005C1DF1">
        <w:tab/>
        <w:t>med beaktande av EU:s strategiska kompass för säkerhet och försvar – För ett EU som skyddar sina medborgare, värden och intressen och bidrar till internationell fred och säkerhet, som antogs den 21 mars 2022,</w:t>
      </w:r>
    </w:p>
    <w:p w:rsidR="00AA2E33" w:rsidRPr="005C1DF1" w:rsidRDefault="00AA2E33" w:rsidP="00AA2E33">
      <w:pPr>
        <w:pStyle w:val="NormalHanging12a"/>
      </w:pPr>
      <w:r w:rsidRPr="005C1DF1">
        <w:t>–</w:t>
      </w:r>
      <w:r w:rsidRPr="005C1DF1">
        <w:tab/>
        <w:t xml:space="preserve">med beaktande av det gemensamma meddelandet av den 25 november 2020 från kommissionen och unionens höga representant för utrikes frågor och säkerhetspolitik </w:t>
      </w:r>
      <w:r w:rsidRPr="005C1DF1">
        <w:rPr>
          <w:i/>
          <w:iCs/>
        </w:rPr>
        <w:t>EU:s handlingsplan för jämställdhet III: En ambitiös agenda för jämställdhet och kvinnors egenmakt i EU:s yttre åtgärder</w:t>
      </w:r>
      <w:r w:rsidRPr="005C1DF1">
        <w:t xml:space="preserve"> (JOIN(2020)0017),</w:t>
      </w:r>
    </w:p>
    <w:p w:rsidR="00AA2E33" w:rsidRPr="005C1DF1" w:rsidRDefault="00AA2E33" w:rsidP="00AA2E33">
      <w:pPr>
        <w:pStyle w:val="NormalHanging12a"/>
      </w:pPr>
      <w:r w:rsidRPr="005C1DF1">
        <w:lastRenderedPageBreak/>
        <w:t>–</w:t>
      </w:r>
      <w:r w:rsidRPr="005C1DF1">
        <w:tab/>
        <w:t>med beaktande av rådets beslut 2010/427/EU av den 26 juli 2010 om hur den europeiska avdelningen för yttre åtgärder ska organiseras och arbeta</w:t>
      </w:r>
      <w:r w:rsidRPr="005C1DF1">
        <w:rPr>
          <w:rStyle w:val="FootnoteReference"/>
        </w:rPr>
        <w:footnoteReference w:id="1"/>
      </w:r>
      <w:r w:rsidRPr="005C1DF1">
        <w:t>,</w:t>
      </w:r>
    </w:p>
    <w:p w:rsidR="00AA2E33" w:rsidRPr="005C1DF1" w:rsidRDefault="00AA2E33" w:rsidP="00AA2E33">
      <w:pPr>
        <w:pStyle w:val="NormalHanging12a"/>
      </w:pPr>
      <w:r w:rsidRPr="005C1DF1">
        <w:t>–</w:t>
      </w:r>
      <w:r w:rsidRPr="005C1DF1">
        <w:tab/>
        <w:t>med beaktande av punkt 34 i förklaringen från toppmötet 2023 mellan EU och Gemenskapen för Latinamerikas och Västindiens stater av den 18 juli 2023, där parlamentarisk diplomati erkändes som en viktig dimension av förbindelserna,</w:t>
      </w:r>
    </w:p>
    <w:p w:rsidR="00AA2E33" w:rsidRPr="005C1DF1" w:rsidRDefault="00AA2E33" w:rsidP="00AA2E33">
      <w:pPr>
        <w:pStyle w:val="NormalHanging12a"/>
      </w:pPr>
      <w:r w:rsidRPr="005C1DF1">
        <w:t>–</w:t>
      </w:r>
      <w:r w:rsidRPr="005C1DF1">
        <w:tab/>
        <w:t>med beaktande av sin rekommendation av den 15 mars 2023 till rådet och vice ordföranden för kommissionen/unionens höga representant för utrikes frågor och säkerhetspolitik om en utvärdering av Europeiska utrikestjänstens funktionssätt och ett starkare EU i världen</w:t>
      </w:r>
      <w:r w:rsidRPr="005C1DF1">
        <w:rPr>
          <w:rStyle w:val="FootnoteReference"/>
        </w:rPr>
        <w:footnoteReference w:id="2"/>
      </w:r>
      <w:r w:rsidRPr="005C1DF1">
        <w:t>,</w:t>
      </w:r>
    </w:p>
    <w:p w:rsidR="00AA2E33" w:rsidRPr="005C1DF1" w:rsidRDefault="00AA2E33" w:rsidP="00AA2E33">
      <w:pPr>
        <w:pStyle w:val="NormalHanging12a"/>
      </w:pPr>
      <w:r w:rsidRPr="005C1DF1">
        <w:t>–</w:t>
      </w:r>
      <w:r w:rsidRPr="005C1DF1">
        <w:tab/>
        <w:t>med beaktande av sin resolution av den 18 januari 2023 om genomförandet av den gemensamma utrikes- och säkerhetspolitiken – årsrapport 2022</w:t>
      </w:r>
      <w:r w:rsidRPr="005C1DF1">
        <w:rPr>
          <w:rStyle w:val="FootnoteReference"/>
        </w:rPr>
        <w:footnoteReference w:id="3"/>
      </w:r>
      <w:r w:rsidRPr="005C1DF1">
        <w:t>,</w:t>
      </w:r>
    </w:p>
    <w:p w:rsidR="00AA2E33" w:rsidRPr="005C1DF1" w:rsidRDefault="00AA2E33" w:rsidP="00AA2E33">
      <w:pPr>
        <w:pStyle w:val="NormalHanging12a"/>
      </w:pPr>
      <w:r w:rsidRPr="005C1DF1">
        <w:t>–</w:t>
      </w:r>
      <w:r w:rsidRPr="005C1DF1">
        <w:tab/>
        <w:t>med beaktande av sin resolution av den 18 januari 2023 om genomförandet av den gemensamma säkerhets- och försvarspolitiken – årsrapport 2022</w:t>
      </w:r>
      <w:r w:rsidRPr="005C1DF1">
        <w:rPr>
          <w:rStyle w:val="FootnoteReference"/>
        </w:rPr>
        <w:footnoteReference w:id="4"/>
      </w:r>
      <w:r w:rsidRPr="005C1DF1">
        <w:t>,</w:t>
      </w:r>
    </w:p>
    <w:p w:rsidR="00AA2E33" w:rsidRPr="005C1DF1" w:rsidRDefault="00AA2E33" w:rsidP="00AA2E33">
      <w:pPr>
        <w:pStyle w:val="NormalHanging12a"/>
      </w:pPr>
      <w:r w:rsidRPr="005C1DF1">
        <w:t>–</w:t>
      </w:r>
      <w:r w:rsidRPr="005C1DF1">
        <w:tab/>
        <w:t>med beaktande av sin resolution av den 12 mars 2019 om utveckling av EU:s kapacitet för konfliktförebyggande och medling</w:t>
      </w:r>
      <w:r w:rsidRPr="005C1DF1">
        <w:rPr>
          <w:rStyle w:val="FootnoteReference"/>
        </w:rPr>
        <w:footnoteReference w:id="5"/>
      </w:r>
      <w:r w:rsidRPr="005C1DF1">
        <w:t>,</w:t>
      </w:r>
    </w:p>
    <w:p w:rsidR="00AA2E33" w:rsidRPr="005C1DF1" w:rsidRDefault="00AA2E33" w:rsidP="00AA2E33">
      <w:pPr>
        <w:pStyle w:val="NormalHanging12a"/>
      </w:pPr>
      <w:r w:rsidRPr="005C1DF1">
        <w:t>–</w:t>
      </w:r>
      <w:r w:rsidRPr="005C1DF1">
        <w:tab/>
        <w:t>med beaktande av sitt beslut av den 13 september 2023 om ändringar av Europaparlamentets arbetsordning i syfte att stärka integriteten, oberoendet och ansvarsskyldigheten</w:t>
      </w:r>
      <w:r w:rsidRPr="005C1DF1">
        <w:rPr>
          <w:rStyle w:val="FootnoteReference"/>
        </w:rPr>
        <w:footnoteReference w:id="6"/>
      </w:r>
      <w:r w:rsidRPr="005C1DF1">
        <w:t>,</w:t>
      </w:r>
    </w:p>
    <w:p w:rsidR="00AA2E33" w:rsidRPr="005C1DF1" w:rsidRDefault="00AA2E33" w:rsidP="00AA2E33">
      <w:pPr>
        <w:pStyle w:val="NormalHanging12a"/>
      </w:pPr>
      <w:r w:rsidRPr="005C1DF1">
        <w:t>–</w:t>
      </w:r>
      <w:r w:rsidRPr="005C1DF1">
        <w:tab/>
        <w:t>med beaktande av artikel 54 i arbetsordningen,</w:t>
      </w:r>
    </w:p>
    <w:p w:rsidR="00AA2E33" w:rsidRPr="005C1DF1" w:rsidRDefault="00AA2E33" w:rsidP="00AA2E33">
      <w:pPr>
        <w:pStyle w:val="NormalHanging12a"/>
      </w:pPr>
      <w:r w:rsidRPr="005C1DF1">
        <w:t>–</w:t>
      </w:r>
      <w:r w:rsidRPr="005C1DF1">
        <w:tab/>
        <w:t>med beaktande av betänkandet från utskottet för utrikesfrågor (A9-0405/2023), och av följande skäl:</w:t>
      </w:r>
    </w:p>
    <w:p w:rsidR="00AA2E33" w:rsidRPr="005C1DF1" w:rsidRDefault="00AA2E33" w:rsidP="00AA2E33">
      <w:pPr>
        <w:pStyle w:val="NormalHanging12a"/>
      </w:pPr>
      <w:r w:rsidRPr="005C1DF1">
        <w:t>A.</w:t>
      </w:r>
      <w:r w:rsidRPr="005C1DF1">
        <w:tab/>
        <w:t>Parlamentets roll som medlagstiftare och medansvarig budgetmyndighet omfattar inte bara EU-intern politik, utan även i stor utsträckning EU:s yttre åtgärder.</w:t>
      </w:r>
    </w:p>
    <w:p w:rsidR="00AA2E33" w:rsidRPr="005C1DF1" w:rsidRDefault="00AA2E33" w:rsidP="00AA2E33">
      <w:pPr>
        <w:pStyle w:val="NormalHanging12a"/>
      </w:pPr>
      <w:r w:rsidRPr="005C1DF1">
        <w:t>B.</w:t>
      </w:r>
      <w:r w:rsidRPr="005C1DF1">
        <w:tab/>
        <w:t>Enligt artikel 36 i EU-fördraget ska vice ordföranden/den höga representanten regelbundet höra parlamentet om de viktigaste aspekterna av och de val som görs inom ramen för den gemensamma utrikes- och säkerhetspolitiken (Gusp) samt informera parlamentet om den politiska utvecklingen.</w:t>
      </w:r>
    </w:p>
    <w:p w:rsidR="00AA2E33" w:rsidRPr="005C1DF1" w:rsidRDefault="00AA2E33" w:rsidP="00AA2E33">
      <w:pPr>
        <w:pStyle w:val="NormalHanging12a"/>
      </w:pPr>
      <w:r w:rsidRPr="005C1DF1">
        <w:t>C.</w:t>
      </w:r>
      <w:r w:rsidRPr="005C1DF1">
        <w:tab/>
        <w:t>Parlamentets godkännande krävs för att de flesta internationella avtal ska kunna träda i kraft. I artikel 218.10 i fördraget om Europeiska unionens funktionssätt föreskrivs att Europaparlamentet omedelbart och fullständigt ska informeras i alla skeden av förfarandet för förhandlingarna av sådana avtal.</w:t>
      </w:r>
    </w:p>
    <w:p w:rsidR="00AA2E33" w:rsidRPr="005C1DF1" w:rsidRDefault="00AA2E33" w:rsidP="00AA2E33">
      <w:pPr>
        <w:pStyle w:val="NormalHanging12a"/>
      </w:pPr>
      <w:r w:rsidRPr="005C1DF1">
        <w:t>D.</w:t>
      </w:r>
      <w:r w:rsidRPr="005C1DF1">
        <w:tab/>
        <w:t xml:space="preserve">Parlamentet granskar och diskuterar EU:s yttre förbindelser, särskilt genom arbetet i dess utskott för utrikesfrågor och dess två underutskott för mänskliga rättigheter och för </w:t>
      </w:r>
      <w:r w:rsidRPr="005C1DF1">
        <w:lastRenderedPageBreak/>
        <w:t>säkerhet och försvar, samt genom sina utskott för internationell handel och för utveckling. Denna granskningsroll inkluderar frågor som rör antagande, genomförande och översyn av EU:s tematiska, regionala och landsspecifika strategier och andra policydokument, såsom EU:s handlingsplan för jämställdhet och ekonomiskt stöd samt utnämningar till högre befattningar inom EU:s externa representation.</w:t>
      </w:r>
    </w:p>
    <w:p w:rsidR="00AA2E33" w:rsidRPr="005C1DF1" w:rsidRDefault="00AA2E33" w:rsidP="00AA2E33">
      <w:pPr>
        <w:pStyle w:val="NormalHanging12a"/>
      </w:pPr>
      <w:r w:rsidRPr="005C1DF1">
        <w:t>E.</w:t>
      </w:r>
      <w:r w:rsidRPr="005C1DF1">
        <w:tab/>
        <w:t>Parlamentet, som är den enda EU-institution som väljs direkt av medborgarna, håller offentliga debatter i kammaren och i utskotten och antar betänkanden och resolutioner som rör EU:s utrikes- och säkerhetspolitik och situationen i tredjeländer, särskilt när det gäller mänskliga rättigheter, och bidrar därmed till att öka allmänhetens medvetenhet och främja diskussion både inom EU och i de berörda länderna. Dessa betänkanden och resolutioner bidrar till den normativa utvecklingen i hela världen och granskas noggrant av aktörer från tredjeländer, däribland regeringar, parlament och företrädare för det civila samhället och medier, och kan ge upphov till reaktioner och återverkningar i dessa länder.</w:t>
      </w:r>
    </w:p>
    <w:p w:rsidR="00AA2E33" w:rsidRPr="005C1DF1" w:rsidRDefault="00AA2E33" w:rsidP="00AA2E33">
      <w:pPr>
        <w:pStyle w:val="NormalHanging12a"/>
      </w:pPr>
      <w:r w:rsidRPr="005C1DF1">
        <w:t>F.</w:t>
      </w:r>
      <w:r w:rsidRPr="005C1DF1">
        <w:tab/>
        <w:t>Parlamentet har ett unikt nätverk med 45 ständiga delegationer som upprätthåller och fördjupar förbindelserna med andra parlament från länder, regioner och organisationer utanför EU. Sådana organ utgör ofta den parlamentariska dimensionen av EU:s bilaterala avtal med sådana länder.</w:t>
      </w:r>
    </w:p>
    <w:p w:rsidR="00AA2E33" w:rsidRPr="005C1DF1" w:rsidRDefault="00AA2E33" w:rsidP="00AA2E33">
      <w:pPr>
        <w:pStyle w:val="NormalHanging12a"/>
      </w:pPr>
      <w:r w:rsidRPr="005C1DF1">
        <w:t>G.</w:t>
      </w:r>
      <w:r w:rsidRPr="005C1DF1">
        <w:tab/>
        <w:t>Parlamentets roll för att fastställa unionens årliga budget är avgörande för att stödja de länder som har störst behov av att övervinna långsiktiga utvecklingsutmaningar genom instrumentet för grannskapet, utvecklingssamarbete och internationellt samarbete – Europa i världen, samt för att ta itu med större humanitära katastrofer och nödsituationer, bland annat genom att öka det humanitära stödet.</w:t>
      </w:r>
    </w:p>
    <w:p w:rsidR="00AA2E33" w:rsidRPr="005C1DF1" w:rsidRDefault="00AA2E33" w:rsidP="00AA2E33">
      <w:pPr>
        <w:pStyle w:val="NormalHanging12a"/>
      </w:pPr>
      <w:r w:rsidRPr="005C1DF1">
        <w:t>H.</w:t>
      </w:r>
      <w:r w:rsidRPr="005C1DF1">
        <w:tab/>
        <w:t>Främjandet av jämställdhet är ett mål för EU:s utrikespolitik. Alla EU:s medlemsstater och Europaparlamentet har åtagit sig att genomföra FN:s säkerhetsråds resolution 1325 (2000) om kvinnor, fred och säkerhet.</w:t>
      </w:r>
    </w:p>
    <w:p w:rsidR="00AA2E33" w:rsidRPr="005C1DF1" w:rsidRDefault="00AA2E33" w:rsidP="00AA2E33">
      <w:pPr>
        <w:pStyle w:val="NormalHanging12a"/>
      </w:pPr>
      <w:r w:rsidRPr="005C1DF1">
        <w:t>I.</w:t>
      </w:r>
      <w:r w:rsidRPr="005C1DF1">
        <w:tab/>
        <w:t>Europaparlamentet har blivit ett av de mest aktiva parlamenten i fråga om parlamentarisk diplomatisk verksamhet och de resurser som avsätts för denna. Parlamentarisk diplomati bidrar till att uppnå EU:s mål och till att främja EU:s värden, intressen och politik, inbegripet på multilateral nivå, och därigenom skapa mervärde genom att främja mer konsekventa och sammanhållna europeiska yttre åtgärder. Parlamentarisk diplomati kan förbättra den strategiska kommunikationen och synligheten och genomslagskraften för beslut och genomförandeåtgärder inom både EU:s gemensamma utrikes- och säkerhetspolitik och gemensamma säkerhets- och försvarspolitik.</w:t>
      </w:r>
    </w:p>
    <w:p w:rsidR="00AA2E33" w:rsidRPr="005C1DF1" w:rsidRDefault="00AA2E33" w:rsidP="00AA2E33">
      <w:pPr>
        <w:pStyle w:val="NormalHanging12a"/>
      </w:pPr>
      <w:r w:rsidRPr="005C1DF1">
        <w:t>J.</w:t>
      </w:r>
      <w:r w:rsidRPr="005C1DF1">
        <w:tab/>
        <w:t>Genom den parlamentariska diplomatin för parlamentet kontinuerligt en dialog med världsledare, valda tjänstemän, företrädare för regeringar och diplomater, offentliga institutioner, organisationer och företrädare för det civila samhället, inbegripet från utsatta grupper och riskgrupper, samt andra berörda parter från tredjeländer och multilaterala institutioner, särskilt genom arbetet i dess delegationer och utskott, bland annat genom att hålla utfrågningar, anta betänkanden och resolutioner och avlägga landsbesök.</w:t>
      </w:r>
    </w:p>
    <w:p w:rsidR="00AA2E33" w:rsidRPr="005C1DF1" w:rsidRDefault="00AA2E33" w:rsidP="00AA2E33">
      <w:pPr>
        <w:pStyle w:val="NormalHanging12a"/>
      </w:pPr>
      <w:r w:rsidRPr="005C1DF1">
        <w:t>K.</w:t>
      </w:r>
      <w:r w:rsidRPr="005C1DF1">
        <w:tab/>
        <w:t xml:space="preserve">Artikel 36 i EU-fördraget ger vice ordföranden/den höga representanten i uppdrag att besöka parlamentet minst två gånger om året för att rapportera om det rådande läget när </w:t>
      </w:r>
      <w:r w:rsidRPr="005C1DF1">
        <w:lastRenderedPageBreak/>
        <w:t>det gäller Gusp/GSFP och besvara frågor. Det interinstitutionella avtalet av den 20 november 2002 mellan Europaparlamentet och rådet om Europaparlamentets tillgång till känslig information i rådet om säkerhets- och försvarspolitiken</w:t>
      </w:r>
      <w:r w:rsidRPr="005C1DF1">
        <w:rPr>
          <w:rStyle w:val="FootnoteReference"/>
        </w:rPr>
        <w:footnoteReference w:id="7"/>
      </w:r>
      <w:r w:rsidRPr="005C1DF1">
        <w:t xml:space="preserve"> behöver uppdateras.</w:t>
      </w:r>
    </w:p>
    <w:p w:rsidR="00AA2E33" w:rsidRPr="005C1DF1" w:rsidRDefault="00AA2E33" w:rsidP="00AA2E33">
      <w:pPr>
        <w:pStyle w:val="NormalHanging12a"/>
      </w:pPr>
      <w:r w:rsidRPr="005C1DF1">
        <w:t>L.</w:t>
      </w:r>
      <w:r w:rsidRPr="005C1DF1">
        <w:tab/>
        <w:t xml:space="preserve">Parlamentets grupp för demokratistöd och valsamordning, som leds av ordförandena för utskottet för utrikesfrågor och utskottet för utveckling och omfattar Europaparlamentsledamöter från hela det politiska spektrumet, övervakar parlamentets insatser för att stödja demokratin utanför EU, bland annat när det gäller valövervakning, medling och dialog. Genom Jean Monnet-dialogen för fred och demokrati sammanför parlamentet politiska ledare från tredjeländer för att främja kommunikation mellan partier och skapa samförstånd. Parlamentets ledamöter kan fungera som särskilda sändebud och medlare för konfliktförebyggande arbete i vissa situationer med stora spänningar i världen. </w:t>
      </w:r>
    </w:p>
    <w:p w:rsidR="00AA2E33" w:rsidRPr="005C1DF1" w:rsidRDefault="00AA2E33" w:rsidP="00AA2E33">
      <w:pPr>
        <w:pStyle w:val="NormalHanging12a"/>
      </w:pPr>
      <w:r w:rsidRPr="005C1DF1">
        <w:t>M.</w:t>
      </w:r>
      <w:r w:rsidRPr="005C1DF1">
        <w:tab/>
        <w:t xml:space="preserve">Europaparlamentet bistår nationella parlament och internationella regionala församlingar utanför EU:s gränser för att förbättra deras institutionella kapacitet. Det har inrättat en fortlöpande dialog med dessa lagstiftande församlingar och utbyter regelbundet bästa praxis. </w:t>
      </w:r>
    </w:p>
    <w:p w:rsidR="00AA2E33" w:rsidRPr="005C1DF1" w:rsidRDefault="00AA2E33" w:rsidP="00AA2E33">
      <w:pPr>
        <w:pStyle w:val="NormalHanging12a"/>
      </w:pPr>
      <w:r w:rsidRPr="005C1DF1">
        <w:t>N.</w:t>
      </w:r>
      <w:r w:rsidRPr="005C1DF1">
        <w:tab/>
        <w:t>Europaparlamentet är en internationellt erkänd valobservatör. Parlamentets valövervakningsdelegationer är en del av antingen EU:s valobservatörsuppdrag eller internationella valobservatörsuppdrag.</w:t>
      </w:r>
    </w:p>
    <w:p w:rsidR="00AA2E33" w:rsidRPr="005C1DF1" w:rsidRDefault="00AA2E33" w:rsidP="00AA2E33">
      <w:pPr>
        <w:pStyle w:val="NormalHanging12a"/>
      </w:pPr>
      <w:r w:rsidRPr="005C1DF1">
        <w:t>O.</w:t>
      </w:r>
      <w:r w:rsidRPr="005C1DF1">
        <w:tab/>
        <w:t>Politiska grupper och enskilda parlamentsledamöter har ett tätt och vittgående nätverk av kontakter med politiska partier, parlamentsledamöter, regeringstjänstemän och aktörer från den privata sektorn och det civila samhället i tredjeländer, särskilt i anslutningsländerna och EU:s grannskap.</w:t>
      </w:r>
    </w:p>
    <w:p w:rsidR="00AA2E33" w:rsidRPr="005C1DF1" w:rsidRDefault="00AA2E33" w:rsidP="00AA2E33">
      <w:pPr>
        <w:pStyle w:val="NormalHanging12a"/>
      </w:pPr>
      <w:r w:rsidRPr="005C1DF1">
        <w:t>P.</w:t>
      </w:r>
      <w:r w:rsidRPr="005C1DF1">
        <w:tab/>
        <w:t>Utöver Europaparlamentets förbindelsekontor utanför EU i London och Washington har parlamentet lokalkontor vid FN i New York, vid Afrikanska unionen i Addis Abeba och vid Sydostasiatiska nationers förbund i Jakarta, som har som mål att stärka det parlamentariska samarbetet med dessa multilaterala organisationer.</w:t>
      </w:r>
    </w:p>
    <w:p w:rsidR="00AA2E33" w:rsidRPr="005C1DF1" w:rsidRDefault="00AA2E33" w:rsidP="00AA2E33">
      <w:pPr>
        <w:pStyle w:val="NormalHanging12a"/>
      </w:pPr>
      <w:r w:rsidRPr="005C1DF1">
        <w:t>Q.</w:t>
      </w:r>
      <w:r w:rsidRPr="005C1DF1">
        <w:tab/>
        <w:t>I artikel 5.7 i rådets beslut 2010/427/EU anges att ”[u]nionens delegationer ska ha kapacitet att tillgodose behoven hos andra unionsinstitutioner, särskilt Europaparlamentet, i sina kontakter med de internationella organisationer eller tredjeländer där delegationerna är ackrediterade”.</w:t>
      </w:r>
    </w:p>
    <w:p w:rsidR="00AA2E33" w:rsidRPr="005C1DF1" w:rsidRDefault="00AA2E33" w:rsidP="00AA2E33">
      <w:pPr>
        <w:pStyle w:val="Normal12a24b"/>
      </w:pPr>
      <w:r w:rsidRPr="005C1DF1">
        <w:rPr>
          <w:rStyle w:val="BoldItalic"/>
        </w:rPr>
        <w:t>Stärkandet av den parlamentariska diplomatin</w:t>
      </w:r>
    </w:p>
    <w:p w:rsidR="00AA2E33" w:rsidRPr="005C1DF1" w:rsidRDefault="00AA2E33" w:rsidP="00AA2E33">
      <w:pPr>
        <w:pStyle w:val="NormalHanging12a"/>
      </w:pPr>
      <w:r w:rsidRPr="005C1DF1">
        <w:t>1.</w:t>
      </w:r>
      <w:r w:rsidRPr="005C1DF1">
        <w:tab/>
        <w:t>Europaparlamentet välkomnar parlamentets växande roll i EU:s yttre åtgärder, som gradvis har utvecklats till en betydande roll, där dess lagstiftnings-, budget- och kontrollbefogenheter kombineras med olika former av offentlig och tyst samarbete med internationella organisationer, länder, samhällen och individer utanför EU.</w:t>
      </w:r>
    </w:p>
    <w:p w:rsidR="00AA2E33" w:rsidRPr="005C1DF1" w:rsidRDefault="00AA2E33" w:rsidP="00AA2E33">
      <w:pPr>
        <w:pStyle w:val="NormalHanging12a"/>
      </w:pPr>
      <w:r w:rsidRPr="005C1DF1">
        <w:t>2.</w:t>
      </w:r>
      <w:r w:rsidRPr="005C1DF1">
        <w:tab/>
        <w:t>Europaparlamentet framhåller den europeiska parlamentariska diplomatins särskilda roll och värde när det gäller att komplettera och stärka synligheten och effekterna av EU:s utrikes- och säkerhetspolitik, tillsammans med Europeiska utrikestjänsten, kommissionen och medlemsstaternas diplomattjänster och parlament, samtidigt som Europaparlamentets eget oberoende bevaras.</w:t>
      </w:r>
    </w:p>
    <w:p w:rsidR="00AA2E33" w:rsidRPr="005C1DF1" w:rsidRDefault="00AA2E33" w:rsidP="00AA2E33">
      <w:pPr>
        <w:pStyle w:val="NormalHanging12a"/>
      </w:pPr>
      <w:r w:rsidRPr="005C1DF1">
        <w:t>3.</w:t>
      </w:r>
      <w:r w:rsidRPr="005C1DF1">
        <w:tab/>
        <w:t>Europaparlamentet understryker betydelsen av parlamentarisk diplomati som ett sätt att nå ut till fler olika berörda parter i partnerländer och tredjeländer i syfte att öka medvetenheten om EU:s lagstiftning och ståndpunkter, bättre förstå hur de uppfattas och vilken inverkan och vilka konsekvenser de får i dessa länder samt upprätta jämbördiga allianser och solida partnerskap i ett alltmer komplext och multipolärt internationellt sammanhang.</w:t>
      </w:r>
    </w:p>
    <w:p w:rsidR="00AA2E33" w:rsidRPr="005C1DF1" w:rsidRDefault="00AA2E33" w:rsidP="00AA2E33">
      <w:pPr>
        <w:pStyle w:val="NormalHanging12a"/>
      </w:pPr>
      <w:r w:rsidRPr="005C1DF1">
        <w:t>4.</w:t>
      </w:r>
      <w:r w:rsidRPr="005C1DF1">
        <w:tab/>
        <w:t>Europaparlamentet beklagar att parlamentet, trots sitt tydliga bidrag till uppnåendet av EU:s utrikes- och säkerhetspolitiska mål och den parlamentariska diplomatins mervärde och komplementaritet, ännu inte har erkänts fullt ut av kommissionen, rådet och utrikestjänsten som en integrerad aktör i Team Europe-strategin.</w:t>
      </w:r>
    </w:p>
    <w:p w:rsidR="00AA2E33" w:rsidRPr="005C1DF1" w:rsidRDefault="00AA2E33" w:rsidP="00AA2E33">
      <w:pPr>
        <w:pStyle w:val="NormalHanging12a"/>
      </w:pPr>
      <w:r w:rsidRPr="005C1DF1">
        <w:t>5.</w:t>
      </w:r>
      <w:r w:rsidRPr="005C1DF1">
        <w:tab/>
        <w:t>Europaparlamentet anser att det finns en stor outnyttjad potential för parlamentet att ytterligare utveckla sin diplomatiska roll och sitt diplomatiska bidrag till uppnåendet av EU:s utrikes- och säkerhetspolitiska mål.</w:t>
      </w:r>
    </w:p>
    <w:p w:rsidR="00AA2E33" w:rsidRPr="005C1DF1" w:rsidRDefault="00AA2E33" w:rsidP="00AA2E33">
      <w:pPr>
        <w:pStyle w:val="Normal12a24b"/>
      </w:pPr>
      <w:r w:rsidRPr="005C1DF1">
        <w:rPr>
          <w:rStyle w:val="BoldItalic"/>
        </w:rPr>
        <w:t>Den parlamentariska diplomatins verktyg, medel och värden</w:t>
      </w:r>
    </w:p>
    <w:p w:rsidR="00AA2E33" w:rsidRPr="005C1DF1" w:rsidRDefault="00AA2E33" w:rsidP="00AA2E33">
      <w:pPr>
        <w:pStyle w:val="NormalHanging12a"/>
      </w:pPr>
      <w:r w:rsidRPr="005C1DF1">
        <w:t>6.</w:t>
      </w:r>
      <w:r w:rsidRPr="005C1DF1">
        <w:tab/>
        <w:t>Europaparlamentet framhåller parlamentets specifika, dynamiska och offentliga bidrag till EU:s utrikes- och säkerhetspolitik och till att hantera globala utmaningar genom arbetet i dess utskott för utrikesfrågor, inbegripet underutskotten för mänskliga rättigheter samt säkerhet och försvar, som bidrar till förbindelserna med tredjeländer, internationella organisationer och det civila samhället i hela världen.</w:t>
      </w:r>
    </w:p>
    <w:p w:rsidR="00AA2E33" w:rsidRPr="005C1DF1" w:rsidRDefault="00AA2E33" w:rsidP="00AA2E33">
      <w:pPr>
        <w:pStyle w:val="NormalHanging12a"/>
      </w:pPr>
      <w:r w:rsidRPr="005C1DF1">
        <w:t>7.</w:t>
      </w:r>
      <w:r w:rsidRPr="005C1DF1">
        <w:tab/>
        <w:t>Europaparlamentet noterar att de ständiga delegationerna bidrar med viktigt och kompletterande arbete jämte utskottens arbete genom att inrätta ett regelbundet och varaktigt forum för politisk dialog med tredjeländer och internationella organisationer, bland annat genom gemensamma parlamentariska organ och multilaterala församlingar.</w:t>
      </w:r>
    </w:p>
    <w:p w:rsidR="00AA2E33" w:rsidRPr="005C1DF1" w:rsidRDefault="00AA2E33" w:rsidP="00AA2E33">
      <w:pPr>
        <w:pStyle w:val="NormalHanging12a"/>
      </w:pPr>
      <w:r w:rsidRPr="005C1DF1">
        <w:t>8.</w:t>
      </w:r>
      <w:r w:rsidRPr="005C1DF1">
        <w:tab/>
        <w:t>Europaparlamentet betonar att de ständiga delegationerna spelar en nyckelroll som förbindelselänk mellan parlamentet och dess partner runt om i världen genom att underlätta interaktion, konsekvent tillhandahålla information till utskott och andra parlamentsorgan, diskutera ståndpunkter och politik av gemensamt intresse och även lyssna på olika partner och andra berörda aktörer och förmedla deras synpunkter till parlamentets behöriga organ.</w:t>
      </w:r>
    </w:p>
    <w:p w:rsidR="00AA2E33" w:rsidRPr="005C1DF1" w:rsidRDefault="00AA2E33" w:rsidP="00AA2E33">
      <w:pPr>
        <w:pStyle w:val="NormalHanging12a"/>
      </w:pPr>
      <w:r w:rsidRPr="005C1DF1">
        <w:t>9.</w:t>
      </w:r>
      <w:r w:rsidRPr="005C1DF1">
        <w:tab/>
        <w:t>Europaparlamentet anser att parlamentets officiella uppdrag utanför EU utgör en integrerad del av EU:s utrikespolitik och därför måste få fullt stöd av EU:s delegationer och omfattas av den högsta informations- och säkerhetsnivån från utrikestjänsten i detta avseende. Parlamentet begär att utrikestjänstens krishanteringscentrum ska förses med alla nödvändiga resurser. Parlamentet anser att bättre samordning, planering och prioritering av uppdrag mellan parlamentets olika organ skulle öka konsekvensen, trovärdigheten och effekterna hos parlamentets diplomatiska roll.</w:t>
      </w:r>
    </w:p>
    <w:p w:rsidR="00AA2E33" w:rsidRPr="005C1DF1" w:rsidRDefault="00AA2E33" w:rsidP="00AA2E33">
      <w:pPr>
        <w:pStyle w:val="NormalHanging12a"/>
      </w:pPr>
      <w:r w:rsidRPr="005C1DF1">
        <w:t>10.</w:t>
      </w:r>
      <w:r w:rsidRPr="005C1DF1">
        <w:tab/>
        <w:t>Europaparlamentet föreslår att parlamentets relevanta organ inrättar den interna samordningen genom att, bland andra åtgärder, regelbundet utarbeta en förteckning över prioriterade länder med vilka man ska samarbeta – på grundval av kommande lagstiftningsärenden och geopolitiska eller strategiska prioriteringar – genom att anordna gemensamma diskussioner med dessa prioriterade länder om EU:s förbindelser eller om övergripande geopolitiska frågor eller konfliktfrågor, och genom att främja synergier mellan parlamentets tjänsteresor utomlands för att undvika onödigt dubbelarbete, rationalisera resurserna och förbättra konsekvensen i parlamentets budskap.</w:t>
      </w:r>
    </w:p>
    <w:p w:rsidR="00AA2E33" w:rsidRPr="005C1DF1" w:rsidRDefault="00AA2E33" w:rsidP="00AA2E33">
      <w:pPr>
        <w:pStyle w:val="NormalHanging12a"/>
      </w:pPr>
      <w:r w:rsidRPr="005C1DF1">
        <w:t>11.</w:t>
      </w:r>
      <w:r w:rsidRPr="005C1DF1">
        <w:tab/>
        <w:t>Europaparlamentet understryker att parlamentets ledamöter bör vara fullt förberedda på den kulturella dimensionen och de internationella kulturella förbindelserna i ett tredjeland när de deltar i ett officiellt uppdrag, för att på så sätt främja en kultur av dialog inom ramen för en kulturdialog. Parlamentet uppmanar i detta avseende utrikestjänsten, särskilt dess avdelning för strategisk kommunikation och framförhållning att fullt ut stödja parlamentets officiella uppdrag i tredjeländer.</w:t>
      </w:r>
    </w:p>
    <w:p w:rsidR="00AA2E33" w:rsidRPr="005C1DF1" w:rsidRDefault="00AA2E33" w:rsidP="00AA2E33">
      <w:pPr>
        <w:pStyle w:val="NormalHanging12a"/>
      </w:pPr>
      <w:r w:rsidRPr="005C1DF1">
        <w:t>12.</w:t>
      </w:r>
      <w:r w:rsidRPr="005C1DF1">
        <w:tab/>
        <w:t>Europaparlamentet anser att den politiska dialog som förs av parlamentet och dess enskilda parlamentsledamöter med statliga, parlamentariska och civilsamhälleliga aktörer runt om i världen bidrar till att främja EU:s prioriteringar, åsikter och värden avseende globala standarder på områden såsom universella mänskliga rättigheter och demokrati, hbti-personers rättigheter, kvinnors rättigheter och jämställdhet, klimat- och energidiplomati, konnektivitet, artificiell intelligens samt digital och teknisk politik.</w:t>
      </w:r>
    </w:p>
    <w:p w:rsidR="00AA2E33" w:rsidRPr="005C1DF1" w:rsidRDefault="00AA2E33" w:rsidP="00AA2E33">
      <w:pPr>
        <w:pStyle w:val="NormalHanging12a"/>
      </w:pPr>
      <w:r w:rsidRPr="005C1DF1">
        <w:t>13.</w:t>
      </w:r>
      <w:r w:rsidRPr="005C1DF1">
        <w:tab/>
        <w:t>Europaparlamentet betonar parlamentets konsekventa engagemang för att sätta mänskliga rättigheter, rättsstatsprincipen och demokrati i centrum för EU:s yttre åtgärder och för att tillhandahålla ett viktigt forum för att höra och stärka de globala civilsamhälleliga och demokratiska aktörernas röst. Parlamentet framhåller i detta avseende sina åtgärder till stöd för människorättsförsvarare, parlamentsledamöter i riskzonen och unga politiska ledare samt till stöd för kvinnors deltagande i det politiska livet och kampen mot desinformation. Parlamentet begär att parlamentets åtgärder ska vidareutvecklas och att de vars rättigheter är hotade ska få komma till tals under nästa valperiod.</w:t>
      </w:r>
    </w:p>
    <w:p w:rsidR="00AA2E33" w:rsidRPr="005C1DF1" w:rsidRDefault="00AA2E33" w:rsidP="00AA2E33">
      <w:pPr>
        <w:pStyle w:val="NormalHanging12a"/>
      </w:pPr>
      <w:r w:rsidRPr="005C1DF1">
        <w:t>14.</w:t>
      </w:r>
      <w:r w:rsidRPr="005C1DF1">
        <w:tab/>
        <w:t>Europaparlamentet betonar den stora betydelsen av parlamentets debatter och resolutioner om kränkningar av de mänskliga rättigheterna samt av demokratiska och rättsstatliga principer som ett av sina verktyg med störst inverkan utomlands när det gäller att hantera människorättssituationer i tredjeländer. Parlamentet efterlyser därför bättre synlighet för dessa debatter och resolutioner, även när det gäller föredragningslistorna för plenarsammanträdena och i linje med arbetet i utskotten och i andra ständiga parlamentsorgan.</w:t>
      </w:r>
    </w:p>
    <w:p w:rsidR="00AA2E33" w:rsidRPr="005C1DF1" w:rsidRDefault="00AA2E33" w:rsidP="00AA2E33">
      <w:pPr>
        <w:pStyle w:val="NormalHanging12a"/>
      </w:pPr>
      <w:r w:rsidRPr="005C1DF1">
        <w:t>15.</w:t>
      </w:r>
      <w:r w:rsidRPr="005C1DF1">
        <w:tab/>
        <w:t>Europaparlamentet understryker betydelsen och den unika karaktären av parlamentets roll i valobservatörsuppdrag och mer allmänt i program för demokratistöd, såsom dess förstärkning av den parlamentariska demokratin i tredjeländer, och i initiativ som inbegriper medling, underlättande av kapacitetsuppbyggnad, konfliktförebyggande, främjande av en samförståndsbaserad och demokratisk parlamentarisk kultur och främjande av mänskliga rättigheter. Parlamentet begär att resultaten av verksamheten i gruppen för demokratistöd och valsamordning om specifika länder samt resultaten av EU:s valobservatörsuppdrag integreras bättre i utskottens och delegationernas relevanta arbete samt i plenarsessionerna när fokus ligger på dessa länder.</w:t>
      </w:r>
    </w:p>
    <w:p w:rsidR="00AA2E33" w:rsidRPr="005C1DF1" w:rsidRDefault="00AA2E33" w:rsidP="00AA2E33">
      <w:pPr>
        <w:pStyle w:val="NormalHanging12a"/>
      </w:pPr>
      <w:r w:rsidRPr="005C1DF1">
        <w:t>16.</w:t>
      </w:r>
      <w:r w:rsidRPr="005C1DF1">
        <w:tab/>
        <w:t xml:space="preserve">Europaparlamentet efterlyser stärkt samordning med kommissionen, inbegripet generaldirektoratet för grannskapspolitik och utvidgningsförhandlingar och generaldirektoratet för internationella partnerskap, för att stödja parlamentarisk demokrati i hela världen och stärka det institutionella stödet till parlamenten. Parlamentet föreslår att nätverket med de nationella parlamenten för demokratistöd, inrättat av parlamentet, skulle kunna bli ett regelbundet institutionellt forum för att samordna verksamhet och dra nytta av expertis. </w:t>
      </w:r>
    </w:p>
    <w:p w:rsidR="00AA2E33" w:rsidRPr="005C1DF1" w:rsidRDefault="00AA2E33" w:rsidP="00AA2E33">
      <w:pPr>
        <w:pStyle w:val="NormalHanging12a"/>
      </w:pPr>
      <w:r w:rsidRPr="005C1DF1">
        <w:t>17.</w:t>
      </w:r>
      <w:r w:rsidRPr="005C1DF1">
        <w:tab/>
        <w:t>Europaparlamentet betonar behovet av att uppnå en jämn könsfördelning i all verksamhet och alla uppdrag, inbegripet i parlamentets representation, i samband med resor utanför EU och att utöka jämställdhetsexpertisen genom att utstationera jämställdhetsexperter som en del av åtgärderna och programmen för assistentstöd till ledamöterna.</w:t>
      </w:r>
    </w:p>
    <w:p w:rsidR="00AA2E33" w:rsidRPr="005C1DF1" w:rsidRDefault="00AA2E33" w:rsidP="00AA2E33">
      <w:pPr>
        <w:pStyle w:val="Normal12a24b"/>
      </w:pPr>
      <w:r w:rsidRPr="005C1DF1">
        <w:rPr>
          <w:rStyle w:val="BoldItalic"/>
        </w:rPr>
        <w:t>Parlamentets bidrag till EU:s utrikes- och säkerhetspolitik</w:t>
      </w:r>
    </w:p>
    <w:p w:rsidR="00AA2E33" w:rsidRPr="005C1DF1" w:rsidRDefault="00AA2E33" w:rsidP="00AA2E33">
      <w:pPr>
        <w:pStyle w:val="NormalHanging12a"/>
      </w:pPr>
      <w:r w:rsidRPr="005C1DF1">
        <w:t>18.</w:t>
      </w:r>
      <w:r w:rsidRPr="005C1DF1">
        <w:tab/>
        <w:t>Europaparlamentet anser att nästa valperiod och inrättandet av den framtida kommissionen bör vara ett tillfälle att stärka ramen för de interinstitutionella förbindelserna mellan parlamentet, utrikestjänsten och kommissionen, inbegripet EU:s delegationer, i syfte att stärka den parlamentariska diplomatin och stärka EU:s verktygslåda för yttre åtgärder.</w:t>
      </w:r>
    </w:p>
    <w:p w:rsidR="00AA2E33" w:rsidRPr="005C1DF1" w:rsidRDefault="00AA2E33" w:rsidP="00AA2E33">
      <w:pPr>
        <w:pStyle w:val="NormalHanging12a"/>
      </w:pPr>
      <w:r w:rsidRPr="005C1DF1">
        <w:t>19.</w:t>
      </w:r>
      <w:r w:rsidRPr="005C1DF1">
        <w:tab/>
        <w:t>Europaparlamentet begär särskilt att parlamentets tillsyn över arbetet inom ramen för EU:s utrikes- och säkerhetspolitik ska stärkas genom att öka ansvarsskyldigheten och transparensen inom utrikestjänsten och kommissionens externa tjänster. Parlamentet betonar i detta sammanhang behovet av att uppdatera 2010 års förklaring om politisk ansvarsskyldighet för att omdefiniera förbindelserna mellan utrikestjänsten och parlamentet.</w:t>
      </w:r>
    </w:p>
    <w:p w:rsidR="00AA2E33" w:rsidRPr="005C1DF1" w:rsidRDefault="00AA2E33" w:rsidP="00AA2E33">
      <w:pPr>
        <w:pStyle w:val="NormalHanging12a"/>
      </w:pPr>
      <w:r w:rsidRPr="005C1DF1">
        <w:t>20.</w:t>
      </w:r>
      <w:r w:rsidRPr="005C1DF1">
        <w:tab/>
        <w:t>Europaparlamentet uppmanar kommissionen, rådet och medlemsstaterna att verkligen involvera parlamentet i genomförandet och granskningen av frågor av strategisk betydelse för EU:s utrikespolitik, inbegripet tillämpning av restriktiva åtgärder, samt i granskningen av externa finansieringsinstrument.</w:t>
      </w:r>
    </w:p>
    <w:p w:rsidR="00AA2E33" w:rsidRPr="005C1DF1" w:rsidRDefault="00AA2E33" w:rsidP="00AA2E33">
      <w:pPr>
        <w:pStyle w:val="NormalHanging12a"/>
      </w:pPr>
      <w:r w:rsidRPr="005C1DF1">
        <w:t>21.</w:t>
      </w:r>
      <w:r w:rsidRPr="005C1DF1">
        <w:tab/>
        <w:t>Europaparlamentet insisterar på parlamentets rätt till information om frågor som avser den gemensamma utrikes- och säkerhetspolitiken, i enlighet med artikel 36 i EU-fördraget, inbegripet tillgång i rätt tid till rapporter, landsstrategier och annan konfidentiell information som vägleder genomförandet av EU:s utrikes- och säkerhetspolitik. Parlamentet betonar i detta avseende vikten av att så snart som möjligt slutföra uppdateringen av det interinstitutionella avtalet av den 20 november 2002 mellan Europaparlamentet och rådet om Europaparlamentets tillgång till känslig information i rådet om säkerhets- och försvarspolitiken.</w:t>
      </w:r>
    </w:p>
    <w:p w:rsidR="00AA2E33" w:rsidRPr="005C1DF1" w:rsidRDefault="00AA2E33" w:rsidP="00AA2E33">
      <w:pPr>
        <w:pStyle w:val="NormalHanging12a"/>
      </w:pPr>
      <w:r w:rsidRPr="005C1DF1">
        <w:t>22.</w:t>
      </w:r>
      <w:r w:rsidRPr="005C1DF1">
        <w:tab/>
        <w:t>Europaparlamentet betonar att parlamentets kontrollfunktion och befogenhet att övervaka förhandlingarna om och genomförandet av internationella avtal bör ge parlamentet en avgörande roll i utformningen av unionens samarbete med tredjeländer och internationella organisationer, och dess övergripande åtgärder på den internationella arenan, vilket också skulle göra det möjligt för EU att främja jämställdhetsintegrering och klimatdiplomati i internationella förbindelser. Parlamentet beklagar i detta avseende så kallade informella arrangemang eller ad hoc-arrangemang som inte kräver parlamentets godkännande och som därmed undergräver parlamentets befogenheter som medlagstiftare och dess tillsynsroll.</w:t>
      </w:r>
    </w:p>
    <w:p w:rsidR="00AA2E33" w:rsidRPr="005C1DF1" w:rsidRDefault="00AA2E33" w:rsidP="00AA2E33">
      <w:pPr>
        <w:pStyle w:val="NormalHanging12a"/>
      </w:pPr>
      <w:r w:rsidRPr="005C1DF1">
        <w:t>23.</w:t>
      </w:r>
      <w:r w:rsidRPr="005C1DF1">
        <w:tab/>
        <w:t>Europaparlamentet anser att EU:s ambassadörer i strategiska länder och EU:s särskilda representanter bör bekräftas först efter en positiv utvärdering i parlamentets utskott för utrikesfrågor.</w:t>
      </w:r>
    </w:p>
    <w:p w:rsidR="00AA2E33" w:rsidRPr="005C1DF1" w:rsidRDefault="00AA2E33" w:rsidP="00AA2E33">
      <w:pPr>
        <w:pStyle w:val="NormalHanging12a"/>
      </w:pPr>
      <w:r w:rsidRPr="005C1DF1">
        <w:t>24.</w:t>
      </w:r>
      <w:r w:rsidRPr="005C1DF1">
        <w:tab/>
        <w:t>Europaparlamentet efterlyser ett mer systematiskt deltagande av ordförandena för parlamentets externa utskott i möten och evenemang på hög nivå inom Gusp, inbegripet rådet för utrikes frågor. Parlamentet efterlyser gemensamma delegationer från utrikestjänsten, kommissionen och parlamentet till större multilaterala och regionala sammankomster.</w:t>
      </w:r>
    </w:p>
    <w:p w:rsidR="00AA2E33" w:rsidRPr="005C1DF1" w:rsidRDefault="00AA2E33" w:rsidP="00AA2E33">
      <w:pPr>
        <w:pStyle w:val="NormalHanging12a"/>
      </w:pPr>
      <w:r w:rsidRPr="005C1DF1">
        <w:t>25.</w:t>
      </w:r>
      <w:r w:rsidRPr="005C1DF1">
        <w:tab/>
        <w:t>Europaparlamentet insisterar på att alla viktiga strategiska policydokument som antas av kommissionen och rådet i samband med genomförandet av EU:s utrikespolitik bör utarbetas i samråd med parlamentet och bör ta hänsyn till parlamentets roll och integrera dess bidrag.</w:t>
      </w:r>
    </w:p>
    <w:p w:rsidR="00AA2E33" w:rsidRPr="005C1DF1" w:rsidRDefault="00AA2E33" w:rsidP="00AA2E33">
      <w:pPr>
        <w:pStyle w:val="NormalHanging12a"/>
      </w:pPr>
      <w:r w:rsidRPr="005C1DF1">
        <w:t>26.</w:t>
      </w:r>
      <w:r w:rsidRPr="005C1DF1">
        <w:tab/>
        <w:t>Europaparlamentet efterlyser en förstärkning av parlamentets förbindelser med medlemsstaternas nationella parlament, som är väl lämpade att fungera som en förbindelselänk till medlemsstaternas verkställande organ. Parlamentet understryker därför att den interparlamentariska konferensen om Gusp/GSFP samt de interparlamentariska konferenser som hålls årligen av underutskottet för mänskliga rättigheter utgör ett viktigt forum för utbyte av information och bästa praxis mellan de nationella parlamenten och Europaparlamentet på de berörda områdena och bör stärkas.</w:t>
      </w:r>
    </w:p>
    <w:p w:rsidR="00AA2E33" w:rsidRPr="005C1DF1" w:rsidRDefault="00AA2E33" w:rsidP="00AA2E33">
      <w:pPr>
        <w:pStyle w:val="NormalHanging12a"/>
      </w:pPr>
      <w:r w:rsidRPr="005C1DF1">
        <w:t>27.</w:t>
      </w:r>
      <w:r w:rsidRPr="005C1DF1">
        <w:tab/>
        <w:t>Europaparlamentet anser att det kan spela en unik roll för att föra EU:s utrikespolitik närmare EU-medborgarna och för att stärka sin demokratiska legitimitet, inbegripet genom att samarbeta med understatliga organ såsom regionala regeringar och parlament, och därmed möjliggöra flernivådiplomati inom de respektive rättsliga och institutionella ramarna så att EU:s och medlemsstaternas utrikespolitik ska kunna bidra till och bygga vidare på EU:s yttre åtgärder.</w:t>
      </w:r>
    </w:p>
    <w:p w:rsidR="00AA2E33" w:rsidRPr="005C1DF1" w:rsidRDefault="00AA2E33" w:rsidP="00AA2E33">
      <w:pPr>
        <w:pStyle w:val="NormalHanging12a"/>
      </w:pPr>
      <w:r w:rsidRPr="005C1DF1">
        <w:t>28.</w:t>
      </w:r>
      <w:r w:rsidRPr="005C1DF1">
        <w:tab/>
        <w:t>Europaparlamentet upprepar sin uppmaning om att utveckla en autonom EU-diplomati som bygger på en gemensam diplomatisk kultur ur ett EU-perspektiv samt understryker parlamentets roll i detta sammanhang. Parlamentet anser att genomförandet av dess pilotprojekt om inrättandet av den europeiska diplomatakademin, och särskilt dess kommande permanenta struktur, är ett konkret steg framåt i detta avseende. Parlamentet vill att parlamentets permanenta och aktiva deltagande i de framtida förvaltningsorganen eller styrande organen i den europeiska diplomatakademin samt i dess utbildningsprogram och utbildningsverksamhet ska garanteras.</w:t>
      </w:r>
    </w:p>
    <w:p w:rsidR="00AA2E33" w:rsidRPr="005C1DF1" w:rsidRDefault="00AA2E33" w:rsidP="00AA2E33">
      <w:pPr>
        <w:pStyle w:val="NormalHanging12a"/>
      </w:pPr>
      <w:r w:rsidRPr="005C1DF1">
        <w:t>29.</w:t>
      </w:r>
      <w:r w:rsidRPr="005C1DF1">
        <w:tab/>
        <w:t>Europaparlamentet anser att i samband med tillbakagången för mänskliga rättigheter och demokrati i hela världen har parlamentet en särskild roll att spela när det gäller att försvara regelbaserad multilateralism, demokrati och rättsstatsprincipen, främja mänskliga rättigheter och politisk pluralism, motverka desinformation och utländsk inblandning i tredjeländer och hjälpa demokratiskt valda parlament globalt att befästa sina institutionella roller och interna arbetsmetoder genom riktade program. Parlamentet noterar att dess ledamöter kan ta upp känsligare frågor, såsom kränkningar av de mänskliga rättigheterna, göra offentliga uttalanden, använda offentliga eller privata kommunikationskanaler eller samarbeta med lokala partner när utrymmet för traditionell diplomati är mer begränsat.</w:t>
      </w:r>
    </w:p>
    <w:p w:rsidR="00AA2E33" w:rsidRPr="005C1DF1" w:rsidRDefault="00AA2E33" w:rsidP="00AA2E33">
      <w:pPr>
        <w:pStyle w:val="NormalHanging12a"/>
      </w:pPr>
      <w:r w:rsidRPr="005C1DF1">
        <w:t>30.</w:t>
      </w:r>
      <w:r w:rsidRPr="005C1DF1">
        <w:tab/>
        <w:t>Europaparlamentet framhåller de parlamentariska organens särskilda roll när det gäller att hjälpa partnerländer, särskilt utvidgningsländer och potentiella kandidatländer på västra Balkan och i det östra grannskapet. Parlamentet begär en förstärkning av deras roll i processen för anslutning till EU, med tanke på den specifika nyckelroll som nationella parlament spelar i den nödvändiga reformprocessen, bland annat genom tillnärmning av lagstiftning, tillsyn och kontakter med medborgarna. Parlamentet påminner om behovet av att EU:s delegationer aktivt stöder sådant interparlamentariskt samarbete i kandidatländer och potentiella kandidatländer.</w:t>
      </w:r>
    </w:p>
    <w:p w:rsidR="00AA2E33" w:rsidRPr="005C1DF1" w:rsidRDefault="00AA2E33" w:rsidP="00AA2E33">
      <w:pPr>
        <w:pStyle w:val="NormalHanging12a"/>
      </w:pPr>
      <w:r w:rsidRPr="005C1DF1">
        <w:t>31.</w:t>
      </w:r>
      <w:r w:rsidRPr="005C1DF1">
        <w:tab/>
        <w:t>Europaparlamentet välkomnar innovativa strategier såsom det samarbete mellan utskott som nyligen inletts mellan Europaparlamentet och Ukrainas Verchovna Rada, och uppmuntrar utveckling av ytterligare initiativ på detta område med tanke på utvidgningsprocessens politiska betydelse.</w:t>
      </w:r>
    </w:p>
    <w:p w:rsidR="00AA2E33" w:rsidRPr="005C1DF1" w:rsidRDefault="00AA2E33" w:rsidP="00AA2E33">
      <w:pPr>
        <w:pStyle w:val="NormalHanging12a"/>
      </w:pPr>
      <w:r w:rsidRPr="005C1DF1">
        <w:t>32.</w:t>
      </w:r>
      <w:r w:rsidRPr="005C1DF1">
        <w:tab/>
        <w:t>Europaparlamentet upprepar sin uppmaning om att stärka EU:s institutionella kapacitet för förebyggande diplomati, konfliktförebyggande och medling, och anser att parlamentet kan tillhandahålla expertis och ett betydande bidrag genom sina organ och åtgärder på detta område, bland annat genom att använda mekanismer för tidig varning och besök på plats.</w:t>
      </w:r>
    </w:p>
    <w:p w:rsidR="00AA2E33" w:rsidRPr="005C1DF1" w:rsidRDefault="00AA2E33" w:rsidP="00AA2E33">
      <w:pPr>
        <w:pStyle w:val="NormalHanging12a"/>
      </w:pPr>
      <w:r w:rsidRPr="005C1DF1">
        <w:t>33.</w:t>
      </w:r>
      <w:r w:rsidRPr="005C1DF1">
        <w:tab/>
        <w:t>Europaparlamentet betonar att det breda interparlamentariska nätverk som parlamentet har utvecklat genom sina ständiga delegationer och multilaterala församlingar är ett viktigt verktyg för att diskutera och samordna ståndpunkter med internationella partner i multilaterala forum, till exempel när det gäller FN:s resolutioner, jämställdhetsintegrering, klimatdiplomati eller ståndpunkter i G20, samt för att klargöra EU:s avsikter för partner och främja dess åtgärder. Parlamentet framhåller sitt viktiga bidrag till arbetet i multilaterala forum genom sitt deltagande i bland annat de parlamentariska toppmötena i G7 och G20 och Interparlamentariska unionens sammanträden.</w:t>
      </w:r>
    </w:p>
    <w:p w:rsidR="00AA2E33" w:rsidRPr="005C1DF1" w:rsidRDefault="00AA2E33" w:rsidP="00AA2E33">
      <w:pPr>
        <w:pStyle w:val="NormalHanging12a"/>
      </w:pPr>
      <w:r w:rsidRPr="005C1DF1">
        <w:t>34.</w:t>
      </w:r>
      <w:r w:rsidRPr="005C1DF1">
        <w:tab/>
        <w:t>Europaparlamentet framhåller sin roll när det gäller att globalt främja jämställdhet, inbegripet kampen mot kvinnomord och könsrelaterat våld, och hbti-personers rättigheter i EU:s yttre åtgärder. Parlamentet hänvisar till parlamentsledamöternas betydelse för att främja hänsynstagande till jämställdhetsaspekter i EU:s yttre förbindelser genom informationskampanjer, kapacitetsuppbyggnad och utbyte av god praxis, inbegripet, men inte begränsat till, mervärdet av att säkerställa jämställda parlament och ett jämställdhetsperspektiv i de parlamentariska organens funktionssätt. Parlamentet vill att det som institution ytterligare ska stärka denna relevanta dimension av sin parlamentariska diplomati i kontakterna med partnerländer.</w:t>
      </w:r>
    </w:p>
    <w:p w:rsidR="00AA2E33" w:rsidRPr="005C1DF1" w:rsidRDefault="00AA2E33" w:rsidP="00AA2E33">
      <w:pPr>
        <w:pStyle w:val="NormalHanging12a"/>
      </w:pPr>
      <w:r w:rsidRPr="005C1DF1">
        <w:t>35.</w:t>
      </w:r>
      <w:r w:rsidRPr="005C1DF1">
        <w:tab/>
        <w:t>Europaparlamentet anser mot bakgrund av mål nr 5 för hållbar utveckling (uppnå jämställdhet och alla kvinnors och flickors egenmakt) att det som institution måste spela en viktig roll när det gäller att nå viktiga strategiska riktmärken för jämställdhet.</w:t>
      </w:r>
    </w:p>
    <w:p w:rsidR="00AA2E33" w:rsidRPr="005C1DF1" w:rsidRDefault="00AA2E33" w:rsidP="00AA2E33">
      <w:pPr>
        <w:pStyle w:val="NormalHanging12a"/>
      </w:pPr>
      <w:r w:rsidRPr="005C1DF1">
        <w:t>36.</w:t>
      </w:r>
      <w:r w:rsidRPr="005C1DF1">
        <w:tab/>
        <w:t>Europaparlamentet understryker sitt arbete för ratificering och genomförande av relevanta FN-konventioner och andra internationella konventioner och fakultativa protokoll, såsom Parisavtalet och konventionen om förebyggande och bekämpning av våld mot kvinnor och våld i hemmet.</w:t>
      </w:r>
    </w:p>
    <w:p w:rsidR="00AA2E33" w:rsidRPr="005C1DF1" w:rsidRDefault="00AA2E33" w:rsidP="00AA2E33">
      <w:pPr>
        <w:pStyle w:val="Normal12a24b"/>
      </w:pPr>
      <w:r w:rsidRPr="005C1DF1">
        <w:rPr>
          <w:rStyle w:val="BoldItalic"/>
        </w:rPr>
        <w:t>Team Europe: Parlamentet som utrikespolitisk partner</w:t>
      </w:r>
    </w:p>
    <w:p w:rsidR="00AA2E33" w:rsidRPr="005C1DF1" w:rsidRDefault="00AA2E33" w:rsidP="00AA2E33">
      <w:pPr>
        <w:pStyle w:val="NormalHanging12a"/>
      </w:pPr>
      <w:r w:rsidRPr="005C1DF1">
        <w:t>37.</w:t>
      </w:r>
      <w:r w:rsidRPr="005C1DF1">
        <w:tab/>
        <w:t>Europaparlamentet anser att även om parlamentet bör behålla sitt fulla oberoende i genomförandet av sin utrikespolitiska agenda, utgör gemensamma ad hoc-besök och uttalanden av parlamentet tillsammans med företrädare för kommissionen och rådet i samband med viktiga händelser i tredjeländer ett lovande område för att genomföra Team Europe-strategin. Parlamentet efterlyser i detta avseende att ett interinstitutionellt Team Europe-pilotprogram inleds i ett utvalt antal tredjeländer. Parlamentet begär att detta pilotprogram ska säkerställa att parlamentets verktyg integreras fullt ut i en gemensam interinstitutionell strategi gentemot de berörda länderna.</w:t>
      </w:r>
    </w:p>
    <w:p w:rsidR="00AA2E33" w:rsidRPr="005C1DF1" w:rsidRDefault="00AA2E33" w:rsidP="00AA2E33">
      <w:pPr>
        <w:pStyle w:val="NormalHanging12a"/>
      </w:pPr>
      <w:r w:rsidRPr="005C1DF1">
        <w:t>38.</w:t>
      </w:r>
      <w:r w:rsidRPr="005C1DF1">
        <w:tab/>
        <w:t>Europaparlamentet fördömer det beslut som fattats i vissa länder, inbegripet vissa länder som har avtal med EU, att förbjuda parlamentets delegationer och enskilda ledamöter av Europaparlamentet att resa in i vissa eller alla sina territorier. Parlamentet fördömer tredjeländers hot och sanktioner mot ledamöter av Europaparlamentet. Europaparlamentet insisterar på att rådet och medlemsstaterna vidtar omedelbara och kraftfulla åtgärder, vid behov inbegripet sanktioner, när parlamentets organ eller enskilda ledamöter av Europaparlamentet är föremål för restriktiva åtgärder från tredjeländers sida.</w:t>
      </w:r>
    </w:p>
    <w:p w:rsidR="00AA2E33" w:rsidRPr="005C1DF1" w:rsidRDefault="00AA2E33" w:rsidP="00AA2E33">
      <w:pPr>
        <w:pStyle w:val="NormalHanging12a"/>
      </w:pPr>
      <w:r w:rsidRPr="005C1DF1">
        <w:t>39.</w:t>
      </w:r>
      <w:r w:rsidRPr="005C1DF1">
        <w:tab/>
        <w:t>Europaparlamentet framhåller valövervakning som ett område där samarbetet mellan parlamentet och utrikestjänsten är det mest strukturerade, där båda institutionerna bedriver valövervakningsverksamhet som är väl sammankopplade med varandra på flera sätt.</w:t>
      </w:r>
    </w:p>
    <w:p w:rsidR="00AA2E33" w:rsidRPr="005C1DF1" w:rsidRDefault="00AA2E33" w:rsidP="00AA2E33">
      <w:pPr>
        <w:pStyle w:val="NormalHanging12a"/>
      </w:pPr>
      <w:r w:rsidRPr="005C1DF1">
        <w:t>40.</w:t>
      </w:r>
      <w:r w:rsidRPr="005C1DF1">
        <w:tab/>
        <w:t>Europaparlamentet upprepar sitt krav på mer strategisk samordning mellan EU-institutionerna när det gäller brådskande enskilda fall som rör människorättsförsvarare, journalister eller personer som ingår i särskilt utsatta grupper. Parlamentet är övertygat om att parlamentarisk diplomati kan visa sig vara en effektiv och kompletterande mekanism för samarbete med tredjeländer i sådana fall. Parlamentet efterlyser en interinstitutionell arbetsgrupp för människorättsförsvarare i syfte att samordna EU:s insatser i prioriterade fall som rör människorättsförsvarare.</w:t>
      </w:r>
    </w:p>
    <w:p w:rsidR="00AA2E33" w:rsidRPr="005C1DF1" w:rsidRDefault="00AA2E33" w:rsidP="00AA2E33">
      <w:pPr>
        <w:pStyle w:val="NormalHanging12a"/>
      </w:pPr>
      <w:r w:rsidRPr="005C1DF1">
        <w:t>41.</w:t>
      </w:r>
      <w:r w:rsidRPr="005C1DF1">
        <w:tab/>
        <w:t>Europaparlamentet upprepar sin begäran till vice ordföranden/den höga representanten att i samarbete med medlemsstaterna och parlamentet anta en årlig förteckning över fokusländer med särskilt allvarliga problem beträffande människorättsförsvarares och demokratiaktivisters belägenhet. Detta skulle bland annat möjliggöra fullständigt samordnade, konkreta svarsåtgärder från Team Europe på plats. Parlamentet anser att det som institution skulle kunna spela en avgörande roll genom att använda sina institutionella och andra medel till stöd för denna gemensamma riktade strategi.</w:t>
      </w:r>
    </w:p>
    <w:p w:rsidR="00AA2E33" w:rsidRPr="005C1DF1" w:rsidRDefault="00AA2E33" w:rsidP="00AA2E33">
      <w:pPr>
        <w:pStyle w:val="NormalHanging12a"/>
      </w:pPr>
      <w:r w:rsidRPr="005C1DF1">
        <w:t>42.</w:t>
      </w:r>
      <w:r w:rsidRPr="005C1DF1">
        <w:tab/>
        <w:t>Europaparlamentet uppmanar med kraft varje EU-delegation att offentliggöra sådant parlamentsarbete som är relevant för dess värdland, inbegripet på det lokala språket, på sin webbplats, och att följa upp det med lokala myndigheter och grupper i det civila samhället.</w:t>
      </w:r>
    </w:p>
    <w:p w:rsidR="00AA2E33" w:rsidRPr="005C1DF1" w:rsidRDefault="00AA2E33" w:rsidP="00AA2E33">
      <w:pPr>
        <w:pStyle w:val="NormalCenter12a"/>
      </w:pPr>
      <w:r w:rsidRPr="005C1DF1">
        <w:t>°</w:t>
      </w:r>
    </w:p>
    <w:p w:rsidR="00AA2E33" w:rsidRPr="005C1DF1" w:rsidRDefault="00AA2E33" w:rsidP="00AA2E33">
      <w:pPr>
        <w:pStyle w:val="NormalCenter12a"/>
      </w:pPr>
      <w:r w:rsidRPr="005C1DF1">
        <w:t>°</w:t>
      </w:r>
      <w:r w:rsidRPr="005C1DF1">
        <w:tab/>
        <w:t>°</w:t>
      </w:r>
    </w:p>
    <w:p w:rsidR="00AA2E33" w:rsidRPr="00D85335" w:rsidRDefault="00AA2E33" w:rsidP="00AA2E33">
      <w:pPr>
        <w:pStyle w:val="NormalHanging12a"/>
      </w:pPr>
      <w:r w:rsidRPr="005C1DF1">
        <w:t>43.</w:t>
      </w:r>
      <w:r w:rsidRPr="005C1DF1">
        <w:tab/>
        <w:t>Europaparlamentet uppdrar åt talmannen att översända denna resolution till rådet, kommissionen, vice ordföranden för kommissionen/unionens höga representant för utrikes frågor och säkerhetspolitik samt till medlemsstaternas regeringar och parlament.</w:t>
      </w:r>
    </w:p>
    <w:sectPr w:rsidR="00AA2E33" w:rsidRPr="00D85335" w:rsidSect="00D8533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A76" w:rsidRPr="00D85335" w:rsidRDefault="005C6A76">
      <w:r w:rsidRPr="00D85335">
        <w:separator/>
      </w:r>
    </w:p>
  </w:endnote>
  <w:endnote w:type="continuationSeparator" w:id="0">
    <w:p w:rsidR="005C6A76" w:rsidRPr="00D85335" w:rsidRDefault="005C6A76">
      <w:r w:rsidRPr="00D853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533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533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53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A76" w:rsidRPr="00D85335" w:rsidRDefault="005C6A76">
      <w:r w:rsidRPr="00D85335">
        <w:separator/>
      </w:r>
    </w:p>
  </w:footnote>
  <w:footnote w:type="continuationSeparator" w:id="0">
    <w:p w:rsidR="005C6A76" w:rsidRPr="00D85335" w:rsidRDefault="005C6A76">
      <w:r w:rsidRPr="00D85335">
        <w:continuationSeparator/>
      </w:r>
    </w:p>
  </w:footnote>
  <w:footnote w:id="1">
    <w:p w:rsidR="00AA2E33" w:rsidRPr="005C1DF1" w:rsidRDefault="00AA2E33" w:rsidP="00D85335">
      <w:pPr>
        <w:pStyle w:val="FootnoteText"/>
        <w:ind w:left="567" w:hanging="567"/>
        <w:rPr>
          <w:sz w:val="24"/>
          <w:lang w:val="fi-FI"/>
        </w:rPr>
      </w:pPr>
      <w:r w:rsidRPr="00D85335">
        <w:rPr>
          <w:rStyle w:val="FootnoteReference"/>
          <w:sz w:val="24"/>
          <w:lang w:val="sv-SE"/>
        </w:rPr>
        <w:footnoteRef/>
      </w:r>
      <w:r w:rsidR="00D85335" w:rsidRPr="005C1DF1">
        <w:rPr>
          <w:sz w:val="24"/>
          <w:lang w:val="fi-FI"/>
        </w:rPr>
        <w:t xml:space="preserve"> </w:t>
      </w:r>
      <w:r w:rsidR="00D85335" w:rsidRPr="005C1DF1">
        <w:rPr>
          <w:sz w:val="24"/>
          <w:lang w:val="fi-FI"/>
        </w:rPr>
        <w:tab/>
      </w:r>
      <w:r w:rsidRPr="005C1DF1">
        <w:rPr>
          <w:sz w:val="24"/>
          <w:lang w:val="fi-FI"/>
        </w:rPr>
        <w:t>EUT L 201, 3.8.2010, s. 30.</w:t>
      </w:r>
    </w:p>
  </w:footnote>
  <w:footnote w:id="2">
    <w:p w:rsidR="00AA2E33" w:rsidRPr="005C1DF1" w:rsidRDefault="00AA2E33" w:rsidP="00D85335">
      <w:pPr>
        <w:pStyle w:val="FootnoteText"/>
        <w:ind w:left="567" w:hanging="567"/>
        <w:rPr>
          <w:sz w:val="24"/>
          <w:lang w:val="fi-FI"/>
        </w:rPr>
      </w:pPr>
      <w:r w:rsidRPr="00D85335">
        <w:rPr>
          <w:rStyle w:val="FootnoteReference"/>
          <w:sz w:val="24"/>
          <w:lang w:val="sv-SE"/>
        </w:rPr>
        <w:footnoteRef/>
      </w:r>
      <w:r w:rsidR="00D85335" w:rsidRPr="005C1DF1">
        <w:rPr>
          <w:sz w:val="24"/>
          <w:lang w:val="fi-FI"/>
        </w:rPr>
        <w:t xml:space="preserve"> </w:t>
      </w:r>
      <w:r w:rsidR="00D85335" w:rsidRPr="005C1DF1">
        <w:rPr>
          <w:sz w:val="24"/>
          <w:lang w:val="fi-FI"/>
        </w:rPr>
        <w:tab/>
      </w:r>
      <w:r w:rsidRPr="005C1DF1">
        <w:rPr>
          <w:sz w:val="24"/>
          <w:lang w:val="fi-FI"/>
        </w:rPr>
        <w:t xml:space="preserve">EUT C, C/2023/410, 23.11.2023, ELI: </w:t>
      </w:r>
      <w:hyperlink r:id="rId1" w:history="1">
        <w:r w:rsidRPr="005C1DF1">
          <w:rPr>
            <w:rStyle w:val="Hyperlink"/>
            <w:sz w:val="24"/>
            <w:lang w:val="fi-FI"/>
          </w:rPr>
          <w:t>http://data.europa.eu/eli/C/2023/410/oj</w:t>
        </w:r>
      </w:hyperlink>
      <w:r w:rsidRPr="005C1DF1">
        <w:rPr>
          <w:sz w:val="24"/>
          <w:lang w:val="fi-FI"/>
        </w:rPr>
        <w:t xml:space="preserve">. </w:t>
      </w:r>
    </w:p>
  </w:footnote>
  <w:footnote w:id="3">
    <w:p w:rsidR="00AA2E33" w:rsidRPr="005C1DF1" w:rsidRDefault="00AA2E33" w:rsidP="00D85335">
      <w:pPr>
        <w:pStyle w:val="FootnoteText"/>
        <w:ind w:left="567" w:hanging="567"/>
        <w:rPr>
          <w:sz w:val="24"/>
          <w:lang w:val="fi-FI"/>
        </w:rPr>
      </w:pPr>
      <w:r w:rsidRPr="00D85335">
        <w:rPr>
          <w:rStyle w:val="FootnoteReference"/>
          <w:sz w:val="24"/>
          <w:lang w:val="sv-SE"/>
        </w:rPr>
        <w:footnoteRef/>
      </w:r>
      <w:r w:rsidR="00D85335" w:rsidRPr="005C1DF1">
        <w:rPr>
          <w:sz w:val="24"/>
          <w:lang w:val="fi-FI"/>
        </w:rPr>
        <w:t xml:space="preserve"> </w:t>
      </w:r>
      <w:r w:rsidR="00D85335" w:rsidRPr="005C1DF1">
        <w:rPr>
          <w:sz w:val="24"/>
          <w:lang w:val="fi-FI"/>
        </w:rPr>
        <w:tab/>
      </w:r>
      <w:r w:rsidRPr="005C1DF1">
        <w:rPr>
          <w:sz w:val="24"/>
          <w:lang w:val="fi-FI"/>
        </w:rPr>
        <w:t xml:space="preserve">EUT C 214, 16.6.2023, s. </w:t>
      </w:r>
      <w:r w:rsidR="00151190" w:rsidRPr="005C1DF1">
        <w:rPr>
          <w:sz w:val="24"/>
          <w:lang w:val="fi-FI"/>
        </w:rPr>
        <w:t>26</w:t>
      </w:r>
      <w:r w:rsidRPr="005C1DF1">
        <w:rPr>
          <w:sz w:val="24"/>
          <w:lang w:val="fi-FI"/>
        </w:rPr>
        <w:t>.</w:t>
      </w:r>
    </w:p>
  </w:footnote>
  <w:footnote w:id="4">
    <w:p w:rsidR="00AA2E33" w:rsidRPr="005C1DF1" w:rsidRDefault="00AA2E33" w:rsidP="00D85335">
      <w:pPr>
        <w:pStyle w:val="FootnoteText"/>
        <w:ind w:left="567" w:hanging="567"/>
        <w:rPr>
          <w:sz w:val="24"/>
        </w:rPr>
      </w:pPr>
      <w:r w:rsidRPr="00D85335">
        <w:rPr>
          <w:rStyle w:val="FootnoteReference"/>
          <w:sz w:val="24"/>
          <w:lang w:val="sv-SE"/>
        </w:rPr>
        <w:footnoteRef/>
      </w:r>
      <w:r w:rsidR="00D85335" w:rsidRPr="005C1DF1">
        <w:rPr>
          <w:sz w:val="24"/>
        </w:rPr>
        <w:t xml:space="preserve"> </w:t>
      </w:r>
      <w:r w:rsidR="00D85335" w:rsidRPr="005C1DF1">
        <w:rPr>
          <w:sz w:val="24"/>
        </w:rPr>
        <w:tab/>
      </w:r>
      <w:r w:rsidRPr="005C1DF1">
        <w:rPr>
          <w:sz w:val="24"/>
        </w:rPr>
        <w:t>EUT C 214, 16.6.2023, s. 54.</w:t>
      </w:r>
    </w:p>
  </w:footnote>
  <w:footnote w:id="5">
    <w:p w:rsidR="00AA2E33" w:rsidRPr="005C1DF1" w:rsidRDefault="00AA2E33" w:rsidP="00D85335">
      <w:pPr>
        <w:pStyle w:val="FootnoteText"/>
        <w:ind w:left="567" w:hanging="567"/>
        <w:rPr>
          <w:sz w:val="24"/>
        </w:rPr>
      </w:pPr>
      <w:r w:rsidRPr="00D85335">
        <w:rPr>
          <w:rStyle w:val="FootnoteReference"/>
          <w:sz w:val="24"/>
          <w:lang w:val="sv-SE"/>
        </w:rPr>
        <w:footnoteRef/>
      </w:r>
      <w:r w:rsidR="00D85335" w:rsidRPr="005C1DF1">
        <w:rPr>
          <w:sz w:val="24"/>
        </w:rPr>
        <w:t xml:space="preserve"> </w:t>
      </w:r>
      <w:r w:rsidR="00D85335" w:rsidRPr="005C1DF1">
        <w:rPr>
          <w:sz w:val="24"/>
        </w:rPr>
        <w:tab/>
      </w:r>
      <w:r w:rsidRPr="005C1DF1">
        <w:rPr>
          <w:sz w:val="24"/>
        </w:rPr>
        <w:t>EUT C 23, 21.1.2021, s. 16.</w:t>
      </w:r>
    </w:p>
  </w:footnote>
  <w:footnote w:id="6">
    <w:p w:rsidR="00AA2E33" w:rsidRPr="00D85335" w:rsidRDefault="00AA2E33" w:rsidP="00D85335">
      <w:pPr>
        <w:pStyle w:val="FootnoteText"/>
        <w:ind w:left="567" w:hanging="567"/>
        <w:rPr>
          <w:sz w:val="24"/>
          <w:lang w:val="sv-SE"/>
        </w:rPr>
      </w:pPr>
      <w:r w:rsidRPr="00D85335">
        <w:rPr>
          <w:rStyle w:val="FootnoteReference"/>
          <w:sz w:val="24"/>
          <w:lang w:val="sv-SE"/>
        </w:rPr>
        <w:footnoteRef/>
      </w:r>
      <w:r w:rsidR="00D85335" w:rsidRPr="00D85335">
        <w:rPr>
          <w:sz w:val="24"/>
          <w:lang w:val="sv-SE"/>
        </w:rPr>
        <w:t xml:space="preserve"> </w:t>
      </w:r>
      <w:r w:rsidR="00D85335" w:rsidRPr="00D85335">
        <w:rPr>
          <w:sz w:val="24"/>
          <w:lang w:val="sv-SE"/>
        </w:rPr>
        <w:tab/>
      </w:r>
      <w:r w:rsidRPr="00D85335">
        <w:rPr>
          <w:sz w:val="24"/>
          <w:lang w:val="sv-SE"/>
        </w:rPr>
        <w:t>Antagna texter, P9_TA(2023)0316.</w:t>
      </w:r>
    </w:p>
  </w:footnote>
  <w:footnote w:id="7">
    <w:p w:rsidR="00AA2E33" w:rsidRPr="00D85335" w:rsidRDefault="00AA2E33" w:rsidP="00D85335">
      <w:pPr>
        <w:pStyle w:val="FootnoteText"/>
        <w:ind w:left="567" w:hanging="567"/>
        <w:rPr>
          <w:sz w:val="24"/>
          <w:lang w:val="sv-SE"/>
        </w:rPr>
      </w:pPr>
      <w:r w:rsidRPr="00D85335">
        <w:rPr>
          <w:rStyle w:val="FootnoteReference"/>
          <w:sz w:val="24"/>
          <w:lang w:val="sv-SE"/>
        </w:rPr>
        <w:footnoteRef/>
      </w:r>
      <w:r w:rsidR="00D85335" w:rsidRPr="00D85335">
        <w:rPr>
          <w:sz w:val="24"/>
          <w:lang w:val="sv-SE"/>
        </w:rPr>
        <w:t xml:space="preserve"> </w:t>
      </w:r>
      <w:r w:rsidR="00D85335" w:rsidRPr="00D85335">
        <w:rPr>
          <w:sz w:val="24"/>
          <w:lang w:val="sv-SE"/>
        </w:rPr>
        <w:tab/>
      </w:r>
      <w:r w:rsidRPr="00D85335">
        <w:rPr>
          <w:sz w:val="24"/>
          <w:lang w:val="sv-SE"/>
        </w:rPr>
        <w:t>EUT C 298, 30.11.2002,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533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533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53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5/2023"/>
    <w:docVar w:name="dvlangue" w:val="SV"/>
    <w:docVar w:name="dvnumam" w:val="0"/>
    <w:docVar w:name="dvpe" w:val="753.617"/>
    <w:docVar w:name="dvrapporteur" w:val="Föredragande: "/>
    <w:docVar w:name="dvtitre" w:val="Europaparlamentets resolution av den xx xx 2024 om Europaparlamentets och den parlamentariska diplomatins roll i EU:s utrikes- och säkerhetspolitik(2023/2105(INI))"/>
  </w:docVars>
  <w:rsids>
    <w:rsidRoot w:val="005C6A76"/>
    <w:rsid w:val="00002272"/>
    <w:rsid w:val="00064002"/>
    <w:rsid w:val="000677B9"/>
    <w:rsid w:val="000831BA"/>
    <w:rsid w:val="000A42CC"/>
    <w:rsid w:val="000E7DD9"/>
    <w:rsid w:val="0010095E"/>
    <w:rsid w:val="00125B37"/>
    <w:rsid w:val="00151190"/>
    <w:rsid w:val="00187494"/>
    <w:rsid w:val="001F32AE"/>
    <w:rsid w:val="002767FF"/>
    <w:rsid w:val="002B18FE"/>
    <w:rsid w:val="002B5493"/>
    <w:rsid w:val="00343214"/>
    <w:rsid w:val="00361C00"/>
    <w:rsid w:val="00395FA1"/>
    <w:rsid w:val="003E15D4"/>
    <w:rsid w:val="00411CCE"/>
    <w:rsid w:val="0041666E"/>
    <w:rsid w:val="00421060"/>
    <w:rsid w:val="00454021"/>
    <w:rsid w:val="00471C19"/>
    <w:rsid w:val="004867E3"/>
    <w:rsid w:val="00494A28"/>
    <w:rsid w:val="004C0004"/>
    <w:rsid w:val="004C5D52"/>
    <w:rsid w:val="0050519A"/>
    <w:rsid w:val="005072A1"/>
    <w:rsid w:val="00514517"/>
    <w:rsid w:val="00545827"/>
    <w:rsid w:val="00560270"/>
    <w:rsid w:val="005C1DF1"/>
    <w:rsid w:val="005C2568"/>
    <w:rsid w:val="005C6A76"/>
    <w:rsid w:val="006037C0"/>
    <w:rsid w:val="00614EEB"/>
    <w:rsid w:val="006565F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2E3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5335"/>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9685D0"/>
  <w15:chartTrackingRefBased/>
  <w15:docId w15:val="{7A65E78A-22E5-4C87-89B1-6D97035A5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A2E33"/>
    <w:pPr>
      <w:spacing w:before="480" w:after="240"/>
    </w:pPr>
    <w:rPr>
      <w:snapToGrid w:val="0"/>
      <w:lang w:eastAsia="en-US"/>
    </w:rPr>
  </w:style>
  <w:style w:type="paragraph" w:customStyle="1" w:styleId="NormalHanging12a">
    <w:name w:val="NormalHanging12a"/>
    <w:basedOn w:val="Normal"/>
    <w:link w:val="NormalHanging12aChar"/>
    <w:rsid w:val="00AA2E33"/>
    <w:pPr>
      <w:widowControl/>
      <w:spacing w:after="240"/>
      <w:ind w:left="567" w:hanging="567"/>
    </w:pPr>
    <w:rPr>
      <w:snapToGrid w:val="0"/>
      <w:lang w:eastAsia="en-US"/>
    </w:rPr>
  </w:style>
  <w:style w:type="paragraph" w:customStyle="1" w:styleId="NormalCenter12a">
    <w:name w:val="NormalCenter12a"/>
    <w:basedOn w:val="Normal"/>
    <w:rsid w:val="00AA2E33"/>
    <w:pPr>
      <w:spacing w:after="240"/>
      <w:jc w:val="center"/>
    </w:pPr>
  </w:style>
  <w:style w:type="character" w:customStyle="1" w:styleId="BoldItalic">
    <w:name w:val="BoldItalic"/>
    <w:uiPriority w:val="1"/>
    <w:rsid w:val="00AA2E33"/>
    <w:rPr>
      <w:b/>
      <w:i/>
      <w:u w:val="none"/>
    </w:rPr>
  </w:style>
  <w:style w:type="paragraph" w:customStyle="1" w:styleId="Normal12a24b">
    <w:name w:val="Normal12a24b"/>
    <w:basedOn w:val="Normal"/>
    <w:rsid w:val="00AA2E33"/>
    <w:pPr>
      <w:spacing w:before="360" w:after="240"/>
    </w:pPr>
    <w:rPr>
      <w:snapToGrid w:val="0"/>
      <w:lang w:eastAsia="en-US"/>
    </w:rPr>
  </w:style>
  <w:style w:type="character" w:customStyle="1" w:styleId="NormalHanging12aChar">
    <w:name w:val="NormalHanging12a Char"/>
    <w:basedOn w:val="DefaultParagraphFont"/>
    <w:link w:val="NormalHanging12a"/>
    <w:rsid w:val="00AA2E33"/>
    <w:rPr>
      <w:snapToGrid w:val="0"/>
      <w:sz w:val="24"/>
      <w:lang w:val="sv-SE" w:eastAsia="en-US"/>
    </w:rPr>
  </w:style>
  <w:style w:type="character" w:styleId="Hyperlink">
    <w:name w:val="Hyperlink"/>
    <w:basedOn w:val="DefaultParagraphFont"/>
    <w:unhideWhenUsed/>
    <w:rsid w:val="00AA2E33"/>
    <w:rPr>
      <w:color w:val="0563C1" w:themeColor="hyperlink"/>
      <w:u w:val="single"/>
    </w:rPr>
  </w:style>
  <w:style w:type="character" w:styleId="FollowedHyperlink">
    <w:name w:val="FollowedHyperlink"/>
    <w:basedOn w:val="DefaultParagraphFont"/>
    <w:rsid w:val="00151190"/>
    <w:rPr>
      <w:color w:val="954F72" w:themeColor="followedHyperlink"/>
      <w:u w:val="single"/>
    </w:rPr>
  </w:style>
  <w:style w:type="paragraph" w:styleId="BalloonText">
    <w:name w:val="Balloon Text"/>
    <w:basedOn w:val="Normal"/>
    <w:link w:val="BalloonTextChar"/>
    <w:rsid w:val="00454021"/>
    <w:rPr>
      <w:rFonts w:ascii="Segoe UI" w:hAnsi="Segoe UI" w:cs="Segoe UI"/>
      <w:sz w:val="18"/>
      <w:szCs w:val="18"/>
    </w:rPr>
  </w:style>
  <w:style w:type="character" w:customStyle="1" w:styleId="BalloonTextChar">
    <w:name w:val="Balloon Text Char"/>
    <w:basedOn w:val="DefaultParagraphFont"/>
    <w:link w:val="BalloonText"/>
    <w:rsid w:val="00454021"/>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4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63FB3-9A88-4646-BBB6-52455AFAB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3866</Words>
  <Characters>26340</Characters>
  <Application>Microsoft Office Word</Application>
  <DocSecurity>0</DocSecurity>
  <Lines>219</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ANDERSSON Terese</cp:lastModifiedBy>
  <cp:revision>2</cp:revision>
  <cp:lastPrinted>2004-11-19T15:42:00Z</cp:lastPrinted>
  <dcterms:created xsi:type="dcterms:W3CDTF">2024-01-16T13:05:00Z</dcterms:created>
  <dcterms:modified xsi:type="dcterms:W3CDTF">2024-01-16T13:05:00Z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A9-0405/2023</vt:lpwstr>
  </property>
  <property fmtid="{D5CDD505-2E9C-101B-9397-08002B2CF9AE}" pid="4" name="&lt;Type&gt;">
    <vt:lpwstr>RR</vt:lpwstr>
  </property>
</Properties>
</file>