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2A3E" w:rsidTr="0010095E">
        <w:trPr>
          <w:trHeight w:hRule="exact" w:val="1418"/>
        </w:trPr>
        <w:tc>
          <w:tcPr>
            <w:tcW w:w="6804" w:type="dxa"/>
            <w:shd w:val="clear" w:color="auto" w:fill="auto"/>
            <w:vAlign w:val="center"/>
          </w:tcPr>
          <w:p w:rsidR="00751A4A" w:rsidRPr="00312A3E" w:rsidRDefault="00852F92" w:rsidP="0010095E">
            <w:pPr>
              <w:pStyle w:val="EPName"/>
            </w:pPr>
            <w:r w:rsidRPr="00312A3E">
              <w:t>Parlamento Europeo</w:t>
            </w:r>
          </w:p>
          <w:p w:rsidR="00751A4A" w:rsidRPr="00312A3E" w:rsidRDefault="00817416" w:rsidP="00756632">
            <w:pPr>
              <w:pStyle w:val="EPTerm"/>
              <w:rPr>
                <w:rStyle w:val="HideTWBExt"/>
                <w:noProof w:val="0"/>
                <w:vanish w:val="0"/>
                <w:color w:val="auto"/>
              </w:rPr>
            </w:pPr>
            <w:r w:rsidRPr="00312A3E">
              <w:t>2019-2024</w:t>
            </w:r>
          </w:p>
        </w:tc>
        <w:tc>
          <w:tcPr>
            <w:tcW w:w="2268" w:type="dxa"/>
            <w:shd w:val="clear" w:color="auto" w:fill="auto"/>
          </w:tcPr>
          <w:p w:rsidR="00751A4A" w:rsidRPr="00312A3E" w:rsidRDefault="00187494" w:rsidP="0010095E">
            <w:pPr>
              <w:pStyle w:val="EPLogo"/>
            </w:pPr>
            <w:r w:rsidRPr="00312A3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12A3E" w:rsidRDefault="00D058B8" w:rsidP="004C5D52">
      <w:pPr>
        <w:pStyle w:val="LineTop"/>
      </w:pPr>
    </w:p>
    <w:p w:rsidR="00680577" w:rsidRPr="00312A3E" w:rsidRDefault="00852F92" w:rsidP="00680577">
      <w:pPr>
        <w:pStyle w:val="EPBodyTA1"/>
      </w:pPr>
      <w:r w:rsidRPr="00312A3E">
        <w:t>TEXTOS APROBADOS</w:t>
      </w:r>
    </w:p>
    <w:p w:rsidR="00D058B8" w:rsidRPr="00312A3E" w:rsidRDefault="00D058B8" w:rsidP="00D058B8">
      <w:pPr>
        <w:pStyle w:val="LineBottom"/>
      </w:pPr>
    </w:p>
    <w:p w:rsidR="00852F92" w:rsidRPr="00312A3E" w:rsidRDefault="00852F92" w:rsidP="00852F92">
      <w:pPr>
        <w:pStyle w:val="ATHeading1"/>
      </w:pPr>
      <w:bookmarkStart w:id="0" w:name="TANumber"/>
      <w:r w:rsidRPr="00312A3E">
        <w:t>P9_</w:t>
      </w:r>
      <w:proofErr w:type="gramStart"/>
      <w:r w:rsidRPr="00312A3E">
        <w:t>TA(</w:t>
      </w:r>
      <w:proofErr w:type="gramEnd"/>
      <w:r w:rsidRPr="00312A3E">
        <w:t>2024)00</w:t>
      </w:r>
      <w:r w:rsidR="00E2038D" w:rsidRPr="00312A3E">
        <w:t>14</w:t>
      </w:r>
      <w:bookmarkEnd w:id="0"/>
    </w:p>
    <w:p w:rsidR="00852F92" w:rsidRPr="00312A3E" w:rsidRDefault="00852F92" w:rsidP="00852F92">
      <w:pPr>
        <w:pStyle w:val="ATHeading2"/>
      </w:pPr>
      <w:bookmarkStart w:id="1" w:name="title"/>
      <w:r w:rsidRPr="00312A3E">
        <w:t>Aviación eléctrica: una solución para los vuelos de corta y media distancia</w:t>
      </w:r>
      <w:bookmarkEnd w:id="1"/>
    </w:p>
    <w:p w:rsidR="00852F92" w:rsidRPr="00312A3E" w:rsidRDefault="00852F92" w:rsidP="00852F92">
      <w:pPr>
        <w:rPr>
          <w:i/>
          <w:vanish/>
        </w:rPr>
      </w:pPr>
      <w:r w:rsidRPr="00312A3E">
        <w:rPr>
          <w:i/>
        </w:rPr>
        <w:fldChar w:fldCharType="begin"/>
      </w:r>
      <w:r w:rsidRPr="00312A3E">
        <w:rPr>
          <w:i/>
        </w:rPr>
        <w:instrText xml:space="preserve"> TC"(</w:instrText>
      </w:r>
      <w:bookmarkStart w:id="2" w:name="DocNumber"/>
      <w:r w:rsidRPr="00312A3E">
        <w:rPr>
          <w:i/>
        </w:rPr>
        <w:instrText>A9-0438/2023</w:instrText>
      </w:r>
      <w:bookmarkEnd w:id="2"/>
      <w:r w:rsidRPr="00312A3E">
        <w:rPr>
          <w:i/>
        </w:rPr>
        <w:instrText xml:space="preserve"> - Ponente: Erik Bergkvist)"\l3 \n&gt; \* MERGEFORMAT </w:instrText>
      </w:r>
      <w:r w:rsidRPr="00312A3E">
        <w:rPr>
          <w:i/>
        </w:rPr>
        <w:fldChar w:fldCharType="end"/>
      </w:r>
    </w:p>
    <w:p w:rsidR="00852F92" w:rsidRPr="00312A3E" w:rsidRDefault="00852F92" w:rsidP="00852F92">
      <w:pPr>
        <w:rPr>
          <w:vanish/>
        </w:rPr>
      </w:pPr>
      <w:bookmarkStart w:id="3" w:name="Commission"/>
      <w:r w:rsidRPr="00312A3E">
        <w:rPr>
          <w:vanish/>
        </w:rPr>
        <w:t>Comisión de Transportes y Turismo</w:t>
      </w:r>
      <w:bookmarkEnd w:id="3"/>
    </w:p>
    <w:p w:rsidR="00852F92" w:rsidRPr="00312A3E" w:rsidRDefault="00852F92" w:rsidP="00852F92">
      <w:pPr>
        <w:rPr>
          <w:vanish/>
        </w:rPr>
      </w:pPr>
      <w:bookmarkStart w:id="4" w:name="PE"/>
      <w:r w:rsidRPr="00312A3E">
        <w:rPr>
          <w:vanish/>
        </w:rPr>
        <w:t>PE751.901</w:t>
      </w:r>
      <w:bookmarkEnd w:id="4"/>
    </w:p>
    <w:p w:rsidR="00852F92" w:rsidRPr="00312A3E" w:rsidRDefault="00852F92" w:rsidP="00852F92">
      <w:pPr>
        <w:pStyle w:val="ATHeading3"/>
      </w:pPr>
      <w:bookmarkStart w:id="5" w:name="Sujet"/>
      <w:r w:rsidRPr="00312A3E">
        <w:t>Resolución del Parlamento Europeo, de 16 de enero de 2024, sobre la aviación eléctrica: una solución para los vuelos de corta y media distancia</w:t>
      </w:r>
      <w:bookmarkEnd w:id="5"/>
      <w:r w:rsidRPr="00312A3E">
        <w:t xml:space="preserve"> </w:t>
      </w:r>
      <w:bookmarkStart w:id="6" w:name="References"/>
      <w:r w:rsidRPr="00312A3E">
        <w:t>(2023/2060(INI))</w:t>
      </w:r>
      <w:bookmarkEnd w:id="6"/>
    </w:p>
    <w:p w:rsidR="00852F92" w:rsidRPr="00312A3E" w:rsidRDefault="00852F92" w:rsidP="00852F92"/>
    <w:p w:rsidR="005D246C" w:rsidRPr="00312A3E" w:rsidRDefault="005D246C" w:rsidP="00C45217">
      <w:pPr>
        <w:pStyle w:val="EPComma"/>
        <w:spacing w:before="0"/>
      </w:pPr>
      <w:bookmarkStart w:id="7" w:name="TextBodyBegin"/>
      <w:bookmarkEnd w:id="7"/>
      <w:r w:rsidRPr="00312A3E">
        <w:rPr>
          <w:i/>
        </w:rPr>
        <w:t>El Parlamento Europeo</w:t>
      </w:r>
      <w:r w:rsidRPr="00312A3E">
        <w:t>,</w:t>
      </w:r>
    </w:p>
    <w:p w:rsidR="005D246C" w:rsidRPr="00312A3E" w:rsidRDefault="005D246C" w:rsidP="005D246C">
      <w:pPr>
        <w:pStyle w:val="NormalHanging12a"/>
        <w:rPr>
          <w:i/>
        </w:rPr>
      </w:pPr>
      <w:r w:rsidRPr="00312A3E">
        <w:t>–</w:t>
      </w:r>
      <w:r w:rsidRPr="00312A3E">
        <w:tab/>
        <w:t>Visto el Tratado de Funcionamiento de la Unión Europea, y en particular su artículo 90,</w:t>
      </w:r>
    </w:p>
    <w:p w:rsidR="005D246C" w:rsidRPr="00312A3E" w:rsidRDefault="005D246C" w:rsidP="005D246C">
      <w:pPr>
        <w:pStyle w:val="NormalHanging12a"/>
      </w:pPr>
      <w:r w:rsidRPr="00312A3E">
        <w:t>–</w:t>
      </w:r>
      <w:r w:rsidRPr="00312A3E">
        <w:tab/>
        <w:t>Visto el Tratado de la Unión Europea, y en particular su artículo 3, apartado 3,</w:t>
      </w:r>
    </w:p>
    <w:p w:rsidR="005D246C" w:rsidRPr="00312A3E" w:rsidRDefault="005D246C" w:rsidP="005D246C">
      <w:pPr>
        <w:pStyle w:val="NormalHanging12a"/>
      </w:pPr>
      <w:r w:rsidRPr="00312A3E">
        <w:t>–</w:t>
      </w:r>
      <w:r w:rsidRPr="00312A3E">
        <w:tab/>
        <w:t>Vista la propuesta de la Comisión, de 16 de marzo de 2023, de Reglamento del Parlamento Europeo y del Consejo por el que se establece un marco de medidas para reforzar el ecosistema europeo de fabricación de productos de tecnologías de cero emisiones netas (Ley sobre la industria de cero emisiones netas) (</w:t>
      </w:r>
      <w:proofErr w:type="gramStart"/>
      <w:r w:rsidRPr="00312A3E">
        <w:t>COM(</w:t>
      </w:r>
      <w:proofErr w:type="gramEnd"/>
      <w:r w:rsidRPr="00312A3E">
        <w:t>2023)0161),</w:t>
      </w:r>
    </w:p>
    <w:p w:rsidR="005D246C" w:rsidRPr="00312A3E" w:rsidRDefault="005D246C" w:rsidP="005D246C">
      <w:pPr>
        <w:pStyle w:val="NormalHanging12a"/>
      </w:pPr>
      <w:r w:rsidRPr="00312A3E">
        <w:t>–</w:t>
      </w:r>
      <w:r w:rsidRPr="00312A3E">
        <w:tab/>
        <w:t>Vista la propuesta de la Comisión, de 14 de julio de 2021, de Reglamento del Parlamento Europeo y del Consejo relativo a la implantación de una infraestructura para los combustibles alternativos y por el que se deroga la Directiva 2014/94/UE del Parlamento Europeo y del Consejo (</w:t>
      </w:r>
      <w:proofErr w:type="gramStart"/>
      <w:r w:rsidRPr="00312A3E">
        <w:rPr>
          <w:shd w:val="clear" w:color="auto" w:fill="FFFFFF"/>
        </w:rPr>
        <w:t>COM(</w:t>
      </w:r>
      <w:proofErr w:type="gramEnd"/>
      <w:r w:rsidRPr="00312A3E">
        <w:rPr>
          <w:shd w:val="clear" w:color="auto" w:fill="FFFFFF"/>
        </w:rPr>
        <w:t>2021)0559</w:t>
      </w:r>
      <w:r w:rsidRPr="00312A3E">
        <w:t>),</w:t>
      </w:r>
    </w:p>
    <w:p w:rsidR="005D246C" w:rsidRPr="00312A3E" w:rsidRDefault="005D246C" w:rsidP="005D246C">
      <w:pPr>
        <w:pStyle w:val="NormalHanging12a"/>
        <w:rPr>
          <w:szCs w:val="24"/>
        </w:rPr>
      </w:pPr>
      <w:r w:rsidRPr="00312A3E">
        <w:t>–</w:t>
      </w:r>
      <w:r w:rsidRPr="00312A3E">
        <w:tab/>
        <w:t>Vista la propuesta de la Comisión, de 14 de diciembre de 2021, de Reglamento del Parlamento Europeo y del Consejo relativo a las orientaciones de la Unión para el desarrollo de la red transeuropea de transporte, y por el que se modifican el Reglamento (UE) 2021/1153 y el Reglamento (UE) n.º 913/2010 y se deroga el Reglamento (UE) n.º 1315/2013 (</w:t>
      </w:r>
      <w:proofErr w:type="gramStart"/>
      <w:r w:rsidRPr="00312A3E">
        <w:t>COM(</w:t>
      </w:r>
      <w:proofErr w:type="gramEnd"/>
      <w:r w:rsidRPr="00312A3E">
        <w:t>2021)0812), en particular su sección 5 sobre la infraestructura de transporte aéreo,</w:t>
      </w:r>
    </w:p>
    <w:p w:rsidR="005D246C" w:rsidRPr="00312A3E" w:rsidRDefault="005D246C" w:rsidP="005D246C">
      <w:pPr>
        <w:pStyle w:val="NormalHanging12a"/>
        <w:rPr>
          <w:szCs w:val="24"/>
        </w:rPr>
      </w:pPr>
      <w:r w:rsidRPr="00312A3E">
        <w:t>–</w:t>
      </w:r>
      <w:r w:rsidRPr="00312A3E">
        <w:tab/>
        <w:t>Vista la propuesta de la Comisión, de 7 de junio de 2018, de Reglamento del Parlamento Europeo y del Consejo por el que se crea el Programa Marco de Investigación e Innovación «Horizonte Europa» y se establecen sus normas de participación y difusión (</w:t>
      </w:r>
      <w:proofErr w:type="gramStart"/>
      <w:r w:rsidRPr="00312A3E">
        <w:rPr>
          <w:shd w:val="clear" w:color="auto" w:fill="FFFFFF"/>
        </w:rPr>
        <w:t>COM(</w:t>
      </w:r>
      <w:proofErr w:type="gramEnd"/>
      <w:r w:rsidRPr="00312A3E">
        <w:rPr>
          <w:shd w:val="clear" w:color="auto" w:fill="FFFFFF"/>
        </w:rPr>
        <w:t>2018)0435</w:t>
      </w:r>
      <w:r w:rsidRPr="00312A3E">
        <w:t>),</w:t>
      </w:r>
    </w:p>
    <w:p w:rsidR="005D246C" w:rsidRPr="00312A3E" w:rsidRDefault="005D246C" w:rsidP="005D246C">
      <w:pPr>
        <w:pStyle w:val="NormalHanging12a"/>
        <w:rPr>
          <w:szCs w:val="24"/>
        </w:rPr>
      </w:pPr>
      <w:r w:rsidRPr="00312A3E">
        <w:t>–</w:t>
      </w:r>
      <w:r w:rsidRPr="00312A3E">
        <w:tab/>
        <w:t>Vista la propuesta de la Comisión, de 11 de junio de 2013, de Reglamento del Parlamento Europeo y del Consejo relativo a la puesta en práctica del Cielo Único Europeo (</w:t>
      </w:r>
      <w:proofErr w:type="gramStart"/>
      <w:r w:rsidRPr="00312A3E">
        <w:t>COM(</w:t>
      </w:r>
      <w:proofErr w:type="gramEnd"/>
      <w:r w:rsidRPr="00312A3E">
        <w:t>2013)0410),</w:t>
      </w:r>
    </w:p>
    <w:p w:rsidR="005D246C" w:rsidRPr="00312A3E" w:rsidRDefault="005D246C" w:rsidP="005D246C">
      <w:pPr>
        <w:pStyle w:val="NormalHanging12a"/>
        <w:rPr>
          <w:szCs w:val="24"/>
        </w:rPr>
      </w:pPr>
      <w:r w:rsidRPr="00312A3E">
        <w:t>–</w:t>
      </w:r>
      <w:r w:rsidRPr="00312A3E">
        <w:tab/>
        <w:t>Vista la Comunicación de la Comisión, de 29 de noviembre de 2022, titulada «Una Estrategia 2.0 para los drones encaminada a lograr un ecosistema de aeronaves no tripuladas inteligente y sostenible en Europa» (</w:t>
      </w:r>
      <w:proofErr w:type="gramStart"/>
      <w:r w:rsidRPr="00312A3E">
        <w:t>COM(</w:t>
      </w:r>
      <w:proofErr w:type="gramEnd"/>
      <w:r w:rsidRPr="00312A3E">
        <w:t>2022)0652),</w:t>
      </w:r>
    </w:p>
    <w:p w:rsidR="005D246C" w:rsidRPr="00312A3E" w:rsidRDefault="005D246C" w:rsidP="005D246C">
      <w:pPr>
        <w:pStyle w:val="NormalHanging12a"/>
        <w:rPr>
          <w:szCs w:val="24"/>
        </w:rPr>
      </w:pPr>
      <w:r w:rsidRPr="00312A3E">
        <w:lastRenderedPageBreak/>
        <w:t>–</w:t>
      </w:r>
      <w:r w:rsidRPr="00312A3E">
        <w:tab/>
        <w:t>Vista la Comunicación de la Comisión, de 9 de diciembre de 2020, titulada «Estrategia de movilidad sostenible e inteligente: encauzar el transporte europeo de cara al futuro» (</w:t>
      </w:r>
      <w:proofErr w:type="gramStart"/>
      <w:r w:rsidRPr="00312A3E">
        <w:t>COM(</w:t>
      </w:r>
      <w:proofErr w:type="gramEnd"/>
      <w:r w:rsidRPr="00312A3E">
        <w:t>2020)0789),</w:t>
      </w:r>
    </w:p>
    <w:p w:rsidR="005D246C" w:rsidRPr="00312A3E" w:rsidRDefault="005D246C" w:rsidP="005D246C">
      <w:pPr>
        <w:pStyle w:val="NormalHanging12a"/>
        <w:rPr>
          <w:szCs w:val="24"/>
        </w:rPr>
      </w:pPr>
      <w:r w:rsidRPr="00312A3E">
        <w:t>–</w:t>
      </w:r>
      <w:r w:rsidRPr="00312A3E">
        <w:tab/>
        <w:t>Visto el Reglamento (UE) 2021/1119 del Parlamento Europeo y del Consejo, de 30 de junio de 2021, por el que se establece el marco para lograr la neutralidad climática y se modifican los Reglamentos (CE) n.º 401/2009 y (UE) 2018/1999 («Legislación europea sobre el clima»)</w:t>
      </w:r>
      <w:r w:rsidRPr="00312A3E">
        <w:rPr>
          <w:rStyle w:val="FootnoteReference"/>
          <w:szCs w:val="24"/>
        </w:rPr>
        <w:footnoteReference w:id="1"/>
      </w:r>
      <w:r w:rsidRPr="00312A3E">
        <w:t>, por el que se transforman los objetivos del Pacto Verde Europeo en legislación,</w:t>
      </w:r>
    </w:p>
    <w:p w:rsidR="005D246C" w:rsidRPr="00312A3E" w:rsidRDefault="005D246C" w:rsidP="005D246C">
      <w:pPr>
        <w:pStyle w:val="NormalHanging12a"/>
        <w:rPr>
          <w:bCs/>
          <w:szCs w:val="24"/>
        </w:rPr>
      </w:pPr>
      <w:r w:rsidRPr="00312A3E">
        <w:t>–</w:t>
      </w:r>
      <w:r w:rsidRPr="00312A3E">
        <w:tab/>
        <w:t>Visto el Reglamento (UE) n.º 598/2014 del Parlamento Europeo y del Consejo, de 16 de abril de 2014, relativo al establecimiento de normas y procedimientos con respecto a la introducción de restricciones operativas relacionadas con el ruido en los aeropuertos de la Unión dentro de un enfoque equilibrado y que deroga la Directiva 2002/30/CE</w:t>
      </w:r>
      <w:r w:rsidRPr="00312A3E">
        <w:rPr>
          <w:rStyle w:val="FootnoteReference"/>
          <w:bCs/>
          <w:szCs w:val="24"/>
        </w:rPr>
        <w:footnoteReference w:id="2"/>
      </w:r>
      <w:r w:rsidRPr="00312A3E">
        <w:t>,</w:t>
      </w:r>
    </w:p>
    <w:p w:rsidR="005D246C" w:rsidRPr="00312A3E" w:rsidRDefault="005D246C" w:rsidP="005D246C">
      <w:pPr>
        <w:pStyle w:val="NormalHanging12a"/>
        <w:rPr>
          <w:szCs w:val="24"/>
        </w:rPr>
      </w:pPr>
      <w:r w:rsidRPr="00312A3E">
        <w:t>–</w:t>
      </w:r>
      <w:r w:rsidRPr="00312A3E">
        <w:tab/>
        <w:t>Vistos la Directiva 2003/87/CE del Parlamento Europeo y del Consejo, de 13 de octubre de 2003, por la que se establece un régimen para el comercio de derechos de emisión de gases de efecto invernadero en la Unión y por la que se modifica la Directiva 96/61/CE del Consejo</w:t>
      </w:r>
      <w:r w:rsidRPr="00312A3E">
        <w:rPr>
          <w:rStyle w:val="FootnoteReference"/>
          <w:szCs w:val="24"/>
        </w:rPr>
        <w:footnoteReference w:id="3"/>
      </w:r>
      <w:r w:rsidRPr="00312A3E">
        <w:t xml:space="preserve"> y, en particular, el establecimiento del Fondo de Innovación,</w:t>
      </w:r>
    </w:p>
    <w:p w:rsidR="005D246C" w:rsidRPr="00312A3E" w:rsidRDefault="005D246C" w:rsidP="005D246C">
      <w:pPr>
        <w:pStyle w:val="NormalHanging12a"/>
        <w:rPr>
          <w:szCs w:val="24"/>
        </w:rPr>
      </w:pPr>
      <w:r w:rsidRPr="00312A3E">
        <w:t>–</w:t>
      </w:r>
      <w:r w:rsidRPr="00312A3E">
        <w:tab/>
        <w:t>Visto el Pacto Verde Europeo, cuyo objetivo es situar a la Unión en la senda hacia una transición ecológica, con el fin último de alcanzar la neutralidad climática de aquí a 2050,</w:t>
      </w:r>
    </w:p>
    <w:p w:rsidR="005D246C" w:rsidRPr="00312A3E" w:rsidRDefault="005D246C" w:rsidP="005D246C">
      <w:pPr>
        <w:pStyle w:val="NormalHanging12a"/>
        <w:rPr>
          <w:szCs w:val="24"/>
        </w:rPr>
      </w:pPr>
      <w:r w:rsidRPr="00312A3E">
        <w:t>–</w:t>
      </w:r>
      <w:r w:rsidRPr="00312A3E">
        <w:tab/>
        <w:t>Vista la adopción del paquete de medidas «Objetivo 55» y las propuestas incluidas en el mismo, en particular la propuesta de aumentar la producción y la adopción de combustibles de aviación sostenibles (CAS), también conocida como iniciativa «ReFuelEU Aviation», y la propuesta de revisión de los regímenes de comercio de derechos de emisión de la Unión (RCDE) en lo que respecta a las emisiones de CO</w:t>
      </w:r>
      <w:r w:rsidRPr="00312A3E">
        <w:rPr>
          <w:vertAlign w:val="subscript"/>
        </w:rPr>
        <w:t>2</w:t>
      </w:r>
      <w:r w:rsidRPr="00312A3E">
        <w:t xml:space="preserve"> del sector de la aviación,</w:t>
      </w:r>
    </w:p>
    <w:p w:rsidR="005D246C" w:rsidRPr="00312A3E" w:rsidRDefault="005D246C" w:rsidP="005D246C">
      <w:pPr>
        <w:pStyle w:val="NormalHanging12a"/>
        <w:rPr>
          <w:szCs w:val="24"/>
        </w:rPr>
      </w:pPr>
      <w:r w:rsidRPr="00312A3E">
        <w:t>–</w:t>
      </w:r>
      <w:r w:rsidRPr="00312A3E">
        <w:tab/>
        <w:t>Vista su Resolución, de 9 de mayo de 2023, sobre el nuevo Marco de Movilidad Urbana de la UE</w:t>
      </w:r>
      <w:r w:rsidRPr="00312A3E">
        <w:rPr>
          <w:rStyle w:val="FootnoteReference"/>
          <w:szCs w:val="24"/>
        </w:rPr>
        <w:footnoteReference w:id="4"/>
      </w:r>
      <w:r w:rsidRPr="00312A3E">
        <w:t>,</w:t>
      </w:r>
    </w:p>
    <w:p w:rsidR="005D246C" w:rsidRPr="00312A3E" w:rsidRDefault="005D246C" w:rsidP="005D246C">
      <w:pPr>
        <w:pStyle w:val="NormalHanging12a"/>
        <w:rPr>
          <w:szCs w:val="24"/>
        </w:rPr>
      </w:pPr>
      <w:r w:rsidRPr="00312A3E">
        <w:t>–</w:t>
      </w:r>
      <w:r w:rsidRPr="00312A3E">
        <w:tab/>
        <w:t>Vista su Resolución, de 11 de noviembre de 2015, sobre el sector de la aviación</w:t>
      </w:r>
      <w:r w:rsidRPr="00312A3E">
        <w:rPr>
          <w:rStyle w:val="FootnoteReference"/>
          <w:szCs w:val="24"/>
        </w:rPr>
        <w:footnoteReference w:id="5"/>
      </w:r>
      <w:r w:rsidRPr="00312A3E">
        <w:t>,</w:t>
      </w:r>
    </w:p>
    <w:p w:rsidR="005D246C" w:rsidRPr="00312A3E" w:rsidRDefault="005D246C" w:rsidP="005D246C">
      <w:pPr>
        <w:pStyle w:val="NormalHanging12a"/>
        <w:rPr>
          <w:bCs/>
          <w:szCs w:val="24"/>
        </w:rPr>
      </w:pPr>
      <w:r w:rsidRPr="00312A3E">
        <w:t>–</w:t>
      </w:r>
      <w:r w:rsidRPr="00312A3E">
        <w:rPr>
          <w:b/>
        </w:rPr>
        <w:tab/>
      </w:r>
      <w:r w:rsidRPr="00312A3E">
        <w:t>Vistas su Resolución, de 10 de mayo de 2012, sobre el futuro de los aeropuertos regionales y los servicios aéreos en la UE</w:t>
      </w:r>
      <w:r w:rsidRPr="00312A3E">
        <w:rPr>
          <w:rStyle w:val="FootnoteReference"/>
          <w:bCs/>
          <w:szCs w:val="24"/>
        </w:rPr>
        <w:footnoteReference w:id="6"/>
      </w:r>
      <w:r w:rsidRPr="00312A3E">
        <w:t xml:space="preserve"> y su Resolución, de 16 de febrero de 2017, sobre una estrategia de aviación para Europa</w:t>
      </w:r>
      <w:r w:rsidRPr="00312A3E">
        <w:rPr>
          <w:rStyle w:val="FootnoteReference"/>
          <w:bCs/>
          <w:szCs w:val="24"/>
        </w:rPr>
        <w:footnoteReference w:id="7"/>
      </w:r>
      <w:r w:rsidRPr="00312A3E">
        <w:t>,</w:t>
      </w:r>
    </w:p>
    <w:p w:rsidR="005D246C" w:rsidRPr="00312A3E" w:rsidRDefault="005D246C" w:rsidP="005D246C">
      <w:pPr>
        <w:pStyle w:val="NormalHanging12a"/>
        <w:rPr>
          <w:bCs/>
          <w:szCs w:val="24"/>
        </w:rPr>
      </w:pPr>
      <w:r w:rsidRPr="00312A3E">
        <w:t>–</w:t>
      </w:r>
      <w:r w:rsidRPr="00312A3E">
        <w:tab/>
        <w:t>Vistas las condiciones especiales de certificación SC E</w:t>
      </w:r>
      <w:r w:rsidRPr="00312A3E">
        <w:noBreakHyphen/>
        <w:t xml:space="preserve">19 de la Agencia de la Unión Europea para la Seguridad Aérea (AESA) para los sistemas de propulsión eléctrica o </w:t>
      </w:r>
      <w:r w:rsidRPr="00312A3E">
        <w:lastRenderedPageBreak/>
        <w:t>híbrida,</w:t>
      </w:r>
    </w:p>
    <w:p w:rsidR="005D246C" w:rsidRPr="00312A3E" w:rsidRDefault="005D246C" w:rsidP="005D246C">
      <w:pPr>
        <w:pStyle w:val="NormalHanging12a"/>
      </w:pPr>
      <w:r w:rsidRPr="00312A3E">
        <w:t>–</w:t>
      </w:r>
      <w:r w:rsidRPr="00312A3E">
        <w:rPr>
          <w:b/>
        </w:rPr>
        <w:tab/>
      </w:r>
      <w:r w:rsidRPr="00312A3E">
        <w:t>Visto el artículo 54 de su Reglamento interno,</w:t>
      </w:r>
    </w:p>
    <w:p w:rsidR="005D246C" w:rsidRPr="00312A3E" w:rsidRDefault="005D246C" w:rsidP="005D246C">
      <w:pPr>
        <w:pStyle w:val="NormalHanging12a"/>
      </w:pPr>
      <w:r w:rsidRPr="00312A3E">
        <w:t>–</w:t>
      </w:r>
      <w:r w:rsidRPr="00312A3E">
        <w:tab/>
        <w:t>Visto el informe de la Comisión de Transportes y Turismo (A9-0438/2023),</w:t>
      </w:r>
    </w:p>
    <w:p w:rsidR="005D246C" w:rsidRPr="00312A3E" w:rsidRDefault="005D246C" w:rsidP="005D246C">
      <w:pPr>
        <w:pStyle w:val="NormalHanging12a"/>
        <w:rPr>
          <w:szCs w:val="24"/>
        </w:rPr>
      </w:pPr>
      <w:r w:rsidRPr="00312A3E">
        <w:t>A.</w:t>
      </w:r>
      <w:r w:rsidRPr="00312A3E">
        <w:tab/>
        <w:t>Considerando que, en 2019, las emisiones procedentes de la aviación internacional habían aumentado un 146 % en comparación con 1990</w:t>
      </w:r>
      <w:r w:rsidRPr="00312A3E">
        <w:rPr>
          <w:rStyle w:val="FootnoteReference"/>
          <w:szCs w:val="24"/>
        </w:rPr>
        <w:footnoteReference w:id="8"/>
      </w:r>
      <w:r w:rsidRPr="00312A3E">
        <w:t>; que se espera que este porcentaje aumente a medida que crece la demanda de viajes en avión;</w:t>
      </w:r>
    </w:p>
    <w:p w:rsidR="005D246C" w:rsidRPr="00312A3E" w:rsidRDefault="005D246C" w:rsidP="005D246C">
      <w:pPr>
        <w:pStyle w:val="NormalHanging12a"/>
        <w:rPr>
          <w:szCs w:val="24"/>
        </w:rPr>
      </w:pPr>
      <w:r w:rsidRPr="00312A3E">
        <w:t>B.</w:t>
      </w:r>
      <w:r w:rsidRPr="00312A3E">
        <w:tab/>
        <w:t>Considerando que entre el 50 y el 55 % de las emisiones podría reducirse pasando a los CAS, entre el 30 y el 35 % mediante el despliegue de nuevas tecnologías, entre el 5 y el 10 % optimizando el funcionamiento y la infraestructura de las aeronaves, y el 5 % optando por nuevos instrumentos basados en el mercado</w:t>
      </w:r>
      <w:r w:rsidRPr="00312A3E">
        <w:rPr>
          <w:rStyle w:val="FootnoteReference"/>
          <w:szCs w:val="24"/>
        </w:rPr>
        <w:footnoteReference w:id="9"/>
      </w:r>
      <w:r w:rsidRPr="00312A3E">
        <w:t>;</w:t>
      </w:r>
    </w:p>
    <w:p w:rsidR="005D246C" w:rsidRPr="00312A3E" w:rsidRDefault="005D246C" w:rsidP="005D246C">
      <w:pPr>
        <w:pStyle w:val="NormalHanging12a"/>
        <w:rPr>
          <w:szCs w:val="24"/>
        </w:rPr>
      </w:pPr>
      <w:r w:rsidRPr="00312A3E">
        <w:t>C.</w:t>
      </w:r>
      <w:r w:rsidRPr="00312A3E">
        <w:tab/>
        <w:t>Considerando que, para lograr las reducciones de emisiones necesarias de aquí a 2050, el 75 % de la flota civil mundial tendrá que ser sustituida a partir de 2035;</w:t>
      </w:r>
    </w:p>
    <w:p w:rsidR="005D246C" w:rsidRPr="00312A3E" w:rsidRDefault="005D246C" w:rsidP="005D246C">
      <w:pPr>
        <w:pStyle w:val="NormalHanging12a"/>
        <w:rPr>
          <w:szCs w:val="24"/>
        </w:rPr>
      </w:pPr>
      <w:r w:rsidRPr="00312A3E">
        <w:t>D.</w:t>
      </w:r>
      <w:r w:rsidRPr="00312A3E">
        <w:tab/>
        <w:t>Considerando que la necesidad de una aviación verdaderamente limpia requiere una colaboración más profunda entre la investigación, los fabricantes, las compañías aéreas, los Gobiernos y otras partes interesadas; que un subconjunto del sector de la aviación ya está trabajando en el desarrollo de conceptos avanzados de aeronaves</w:t>
      </w:r>
      <w:r w:rsidRPr="00312A3E">
        <w:rPr>
          <w:rStyle w:val="FootnoteReference"/>
          <w:szCs w:val="24"/>
        </w:rPr>
        <w:footnoteReference w:id="10"/>
      </w:r>
      <w:r w:rsidRPr="00312A3E">
        <w:t>, como las aeronaves eléctricas de despegue y aterrizaje vertical (</w:t>
      </w:r>
      <w:proofErr w:type="spellStart"/>
      <w:r w:rsidRPr="00312A3E">
        <w:t>eVTOL</w:t>
      </w:r>
      <w:proofErr w:type="spellEnd"/>
      <w:r w:rsidRPr="00312A3E">
        <w:t>, por sus siglas en inglés);</w:t>
      </w:r>
    </w:p>
    <w:p w:rsidR="005D246C" w:rsidRPr="00312A3E" w:rsidRDefault="005D246C" w:rsidP="005D246C">
      <w:pPr>
        <w:pStyle w:val="NormalHanging12a"/>
        <w:rPr>
          <w:szCs w:val="24"/>
        </w:rPr>
      </w:pPr>
      <w:r w:rsidRPr="00312A3E">
        <w:t>E.</w:t>
      </w:r>
      <w:r w:rsidRPr="00312A3E">
        <w:tab/>
        <w:t>Considerando que la Empresa Común para una Aviación Limpia es el principal programa de investigación e innovación de la Unión para transformar la aviación en pro de un futuro sostenible; que la Empresa Común para una Aviación Limpia y la AESA están cooperando en la adaptación de la certificación estándar horizontal para una nueva generación de aeronaves;</w:t>
      </w:r>
    </w:p>
    <w:p w:rsidR="005D246C" w:rsidRPr="00312A3E" w:rsidRDefault="005D246C" w:rsidP="005D246C">
      <w:pPr>
        <w:pStyle w:val="NormalHanging12a"/>
        <w:rPr>
          <w:szCs w:val="24"/>
        </w:rPr>
      </w:pPr>
      <w:r w:rsidRPr="00312A3E">
        <w:t>F.</w:t>
      </w:r>
      <w:r w:rsidRPr="00312A3E">
        <w:tab/>
        <w:t>Considerando que en varias regiones de la Unión ya están volando pequeñas aeronaves eléctricas de prueba de hasta nueve asientos; que están previstas aeronaves eléctricas de hasta treinta asientos para finales de la década de 2020 y aeronaves regionales para la década de 2030</w:t>
      </w:r>
      <w:r w:rsidRPr="00312A3E">
        <w:rPr>
          <w:rStyle w:val="FootnoteReference"/>
          <w:szCs w:val="24"/>
        </w:rPr>
        <w:footnoteReference w:id="11"/>
      </w:r>
      <w:r w:rsidRPr="00312A3E">
        <w:t>; que la primera flota de aeronaves eléctricas certificada por la AESA</w:t>
      </w:r>
      <w:r w:rsidRPr="00312A3E">
        <w:rPr>
          <w:rStyle w:val="FootnoteReference"/>
          <w:szCs w:val="24"/>
        </w:rPr>
        <w:footnoteReference w:id="12"/>
      </w:r>
      <w:r w:rsidRPr="00312A3E">
        <w:t xml:space="preserve"> ya está llevando a cabo actividades de formación de pilotos seguras y respetuosas con el medio ambiente; que varios modelos de </w:t>
      </w:r>
      <w:proofErr w:type="spellStart"/>
      <w:r w:rsidRPr="00312A3E">
        <w:t>eVTOL</w:t>
      </w:r>
      <w:proofErr w:type="spellEnd"/>
      <w:r w:rsidRPr="00312A3E">
        <w:t xml:space="preserve"> ya han solicitado la certificación de tipo con la AESA;</w:t>
      </w:r>
    </w:p>
    <w:p w:rsidR="005D246C" w:rsidRPr="00312A3E" w:rsidRDefault="005D246C" w:rsidP="005D246C">
      <w:pPr>
        <w:pStyle w:val="NormalHanging12a"/>
        <w:rPr>
          <w:szCs w:val="24"/>
        </w:rPr>
      </w:pPr>
      <w:r w:rsidRPr="00312A3E">
        <w:t>G.</w:t>
      </w:r>
      <w:r w:rsidRPr="00312A3E">
        <w:tab/>
        <w:t xml:space="preserve">Considerando que la AESA ha propuesto normas para la explotación segura de aeronaves de despegue y aterrizaje vertical (VTOL), entre las que se incluyen taxis aéreos, y un conjunto completo de requisitos operativos para los taxis aéreos eléctricos </w:t>
      </w:r>
      <w:r w:rsidRPr="00312A3E">
        <w:lastRenderedPageBreak/>
        <w:t>pilotados, que abarcan todos los ámbitos de las operaciones, la concesión de licencias a la tripulación de vuelo, el reglamento del aire y las normas de gestión del tránsito aéreo;</w:t>
      </w:r>
    </w:p>
    <w:p w:rsidR="005D246C" w:rsidRPr="00312A3E" w:rsidRDefault="005D246C" w:rsidP="005D246C">
      <w:pPr>
        <w:pStyle w:val="NormalHanging12a"/>
        <w:rPr>
          <w:szCs w:val="24"/>
        </w:rPr>
      </w:pPr>
      <w:r w:rsidRPr="00312A3E">
        <w:t>H.</w:t>
      </w:r>
      <w:r w:rsidRPr="00312A3E">
        <w:tab/>
        <w:t>Considerando que la aviación eléctrica e híbrida-eléctrica podría reforzar la movilidad y la conectividad aéreas urbanas y regionales, ofreciendo toda una gama de soluciones innovadoras de transporte público; que, mientras tanto, está tomando forma el proyecto de dar vida las aeronaves impulsadas por hidrógeno para que puedan despegar a gran escala a más tardar en 2035;</w:t>
      </w:r>
    </w:p>
    <w:p w:rsidR="005D246C" w:rsidRPr="00312A3E" w:rsidRDefault="005D246C" w:rsidP="005D246C">
      <w:pPr>
        <w:pStyle w:val="NormalHanging12a"/>
        <w:rPr>
          <w:szCs w:val="24"/>
        </w:rPr>
      </w:pPr>
      <w:r w:rsidRPr="00312A3E">
        <w:t>I.</w:t>
      </w:r>
      <w:r w:rsidRPr="00312A3E">
        <w:tab/>
        <w:t>Considerando que la aviación eléctrica e híbrida-eléctrica mejorará los competitivos tiempos de desplazamiento en distancias más cortas gracias a una transferencia más rápida; que las aeronaves eléctricas transportarán menos pasajeros en aviones pequeños, lo que implica una reducción del tiempo dedicado al embarque y a la asistencia en tierra;</w:t>
      </w:r>
    </w:p>
    <w:p w:rsidR="005D246C" w:rsidRPr="00312A3E" w:rsidRDefault="005D246C" w:rsidP="005D246C">
      <w:pPr>
        <w:pStyle w:val="NormalHanging12a"/>
        <w:rPr>
          <w:szCs w:val="24"/>
        </w:rPr>
      </w:pPr>
      <w:r w:rsidRPr="00312A3E">
        <w:t>J.</w:t>
      </w:r>
      <w:r w:rsidRPr="00312A3E">
        <w:tab/>
        <w:t>Considerando que la Unión está asistiendo al rápido desarrollo de la tecnología de las baterías, tanto en términos de volumen de producción como de gasto en desarrollo;</w:t>
      </w:r>
    </w:p>
    <w:p w:rsidR="005D246C" w:rsidRPr="00312A3E" w:rsidRDefault="005D246C" w:rsidP="005D246C">
      <w:pPr>
        <w:pStyle w:val="NormalHanging12a"/>
        <w:rPr>
          <w:szCs w:val="24"/>
        </w:rPr>
      </w:pPr>
      <w:r w:rsidRPr="00312A3E">
        <w:t>K.</w:t>
      </w:r>
      <w:r w:rsidRPr="00312A3E">
        <w:tab/>
        <w:t>Considerando que el éxito de proyectos de investigación y desarrollo muy complejos en el ámbito de la aviación limpia depende directamente del apoyo financiero y político, incluido el de las instituciones de la Unión y el de los Estados miembros; que se han formado múltiples alianzas en el ámbito de la aviación limpia, como la Alianza para una Aviación de Cero Emisiones (AACE), que actualmente están trabajando en carteras de proyectos pero necesitan un apoyo eficaz de la Unión; que el incentivo público a estos proyectos es clave para atraer la inversión privada;</w:t>
      </w:r>
    </w:p>
    <w:p w:rsidR="005D246C" w:rsidRPr="00312A3E" w:rsidRDefault="005D246C" w:rsidP="005D246C">
      <w:pPr>
        <w:pStyle w:val="NormalHanging12a"/>
        <w:rPr>
          <w:szCs w:val="24"/>
        </w:rPr>
      </w:pPr>
      <w:r w:rsidRPr="00312A3E">
        <w:t>L.</w:t>
      </w:r>
      <w:r w:rsidRPr="00312A3E">
        <w:tab/>
        <w:t>Considerando que en los próximos años serán necesarias inversiones de los Estados miembros en el suministro de electricidad de las aeronaves estacionadas, a fin de cumplir los objetivos establecidos en el Reglamento (UE) 2023/1804 del Parlamento Europeo y del Consejo, de 13 de septiembre de 2023, relativo a la implantación de una infraestructura para los combustibles alternativos</w:t>
      </w:r>
      <w:r w:rsidRPr="00312A3E">
        <w:rPr>
          <w:rStyle w:val="FootnoteReference"/>
          <w:szCs w:val="24"/>
        </w:rPr>
        <w:footnoteReference w:id="13"/>
      </w:r>
      <w:r w:rsidRPr="00312A3E">
        <w:t>, lo cual podría constituir un paso intermedio en el camino hacia la futura implantación de una infraestructura de recarga para las aeronaves eléctricas;</w:t>
      </w:r>
    </w:p>
    <w:p w:rsidR="005D246C" w:rsidRPr="00312A3E" w:rsidRDefault="005D246C" w:rsidP="005D246C">
      <w:pPr>
        <w:pStyle w:val="NormalHanging12a"/>
        <w:rPr>
          <w:szCs w:val="24"/>
        </w:rPr>
      </w:pPr>
      <w:r w:rsidRPr="00312A3E">
        <w:t>M.</w:t>
      </w:r>
      <w:r w:rsidRPr="00312A3E">
        <w:tab/>
        <w:t>Considerando que el cálculo de la huella de carbono de la aviación eléctrica y de la aviación propulsada por hidrógeno debe basarse en todo su ciclo de vida, incluidas la fuente de producción de energía y la fabricación de baterías;</w:t>
      </w:r>
    </w:p>
    <w:p w:rsidR="005D246C" w:rsidRPr="00312A3E" w:rsidRDefault="005D246C" w:rsidP="005D246C">
      <w:pPr>
        <w:pStyle w:val="NormalHanging12a"/>
        <w:rPr>
          <w:szCs w:val="24"/>
        </w:rPr>
      </w:pPr>
      <w:r w:rsidRPr="00312A3E">
        <w:t>N.</w:t>
      </w:r>
      <w:r w:rsidRPr="00312A3E">
        <w:tab/>
        <w:t>Considerando que, aunque el sector de la aviación ha tenido un claro recordatorio de su vulnerabilidad a las pandemias, la geopolítica y las perturbaciones económicas, ha demostrado su papel clave en el mantenimiento ininterrumpido de la cadena de suministro, especialmente en el caso de los bienes esenciales;</w:t>
      </w:r>
    </w:p>
    <w:p w:rsidR="005D246C" w:rsidRPr="00312A3E" w:rsidRDefault="005D246C" w:rsidP="005D246C">
      <w:pPr>
        <w:pStyle w:val="NormalHanging12a"/>
        <w:rPr>
          <w:szCs w:val="24"/>
        </w:rPr>
      </w:pPr>
      <w:r w:rsidRPr="00312A3E">
        <w:t>O.</w:t>
      </w:r>
      <w:r w:rsidRPr="00312A3E">
        <w:tab/>
        <w:t>Considerando que las competencias digitales y ecológicas en el ámbito de la educación técnica y los conocimientos especializados, como la ingeniería y tecnología de la aviación, la ciencia y las matemáticas, son vitales para el desarrollo sostenible de la aviación y crean puestos de trabajo atractivos para los jóvenes;</w:t>
      </w:r>
    </w:p>
    <w:p w:rsidR="005D246C" w:rsidRPr="00312A3E" w:rsidRDefault="005D246C" w:rsidP="005D246C">
      <w:pPr>
        <w:pStyle w:val="NormalHanging12a"/>
      </w:pPr>
      <w:r w:rsidRPr="00312A3E">
        <w:t>P.</w:t>
      </w:r>
      <w:r w:rsidRPr="00312A3E">
        <w:tab/>
        <w:t>Considerando que la seguridad debe seguir siendo la prioridad principal de la aviación;</w:t>
      </w:r>
    </w:p>
    <w:p w:rsidR="005D246C" w:rsidRPr="00312A3E" w:rsidRDefault="005D246C" w:rsidP="005D246C">
      <w:pPr>
        <w:pStyle w:val="NormalHanging12a"/>
        <w:rPr>
          <w:b/>
          <w:i/>
        </w:rPr>
      </w:pPr>
      <w:r w:rsidRPr="00312A3E">
        <w:rPr>
          <w:b/>
          <w:i/>
        </w:rPr>
        <w:lastRenderedPageBreak/>
        <w:t>Beneficios de la electrificación de las aeronaves</w:t>
      </w:r>
    </w:p>
    <w:p w:rsidR="005D246C" w:rsidRPr="00312A3E" w:rsidRDefault="005D246C" w:rsidP="005D246C">
      <w:pPr>
        <w:pStyle w:val="NormalHanging12a"/>
      </w:pPr>
      <w:r w:rsidRPr="00312A3E">
        <w:t>1.</w:t>
      </w:r>
      <w:r w:rsidRPr="00312A3E">
        <w:tab/>
        <w:t>Observa la importancia de los aeropuertos regionales de la Unión para las operaciones de vuelo eléctrico de corto y medio alcance; destaca el potencial de los aeropuertos regionales como centros de innovación multimodales y de las pequeñas y medianas empresas (pymes) a lo largo de toda la cadena de suministro, al beneficiar a la investigación y la competencia no solo en el sector de la aviación, sino también en otros sectores del transporte, como el transporte por carretera, marítimo y ferroviario; pide, por tanto, a la Comisión que confirme su apoyo financiero a los aeropuertos regionales, especialmente a los que operan en el ámbito de la aviación eléctrica;</w:t>
      </w:r>
    </w:p>
    <w:p w:rsidR="005D246C" w:rsidRPr="00312A3E" w:rsidRDefault="005D246C" w:rsidP="005D246C">
      <w:pPr>
        <w:pStyle w:val="NormalHanging12a"/>
        <w:rPr>
          <w:szCs w:val="24"/>
        </w:rPr>
      </w:pPr>
      <w:r w:rsidRPr="00312A3E">
        <w:t>2.</w:t>
      </w:r>
      <w:r w:rsidRPr="00312A3E">
        <w:tab/>
        <w:t>Está convencido de que unas opciones de transporte aéreo más limpias, rápidas y convenientes aumentarían la conectividad y la accesibilidad en las zonas más pequeñas, más aisladas y escasamente pobladas, incluidas las regiones insulares y las regiones ultraperiféricas, en particular en lo que se refiere al acceso a los servicios públicos, la creación de oportunidades de empleo y un turismo más sostenible;</w:t>
      </w:r>
    </w:p>
    <w:p w:rsidR="005D246C" w:rsidRPr="00312A3E" w:rsidRDefault="005D246C" w:rsidP="005D246C">
      <w:pPr>
        <w:pStyle w:val="NormalHanging12a"/>
        <w:rPr>
          <w:szCs w:val="24"/>
        </w:rPr>
      </w:pPr>
      <w:r w:rsidRPr="00312A3E">
        <w:t>3.</w:t>
      </w:r>
      <w:r w:rsidRPr="00312A3E">
        <w:tab/>
        <w:t xml:space="preserve">Señala que las regiones ultraperiféricas serán difíciles de conectar con el continente europeo a través de la aviación eléctrica debido a su lejanía y a la limitada capacidad de las baterías de las aeronaves; subraya, no obstante, el potencial de la aviación eléctrica para garantizar la conectividad entre las regiones ultraperiféricas, contribuir a su desarrollo y mitigar parcialmente las consecuencias negativas para su economía derivadas de su difícil topografía; destaca la necesidad de apoyo financiero, material y técnico para las regiones ultraperiféricas, a fin de garantizar que las infraestructuras necesarias para una carga rápida y fiable de las baterías, el mantenimiento de las aeronaves </w:t>
      </w:r>
      <w:proofErr w:type="spellStart"/>
      <w:r w:rsidRPr="00312A3E">
        <w:t>eVTOL</w:t>
      </w:r>
      <w:proofErr w:type="spellEnd"/>
      <w:r w:rsidRPr="00312A3E">
        <w:t xml:space="preserve"> y la formación de técnicos y operadores altamente cualificados se desarrollen a un ritmo adecuado;</w:t>
      </w:r>
    </w:p>
    <w:p w:rsidR="005D246C" w:rsidRPr="00312A3E" w:rsidRDefault="005D246C" w:rsidP="005D246C">
      <w:pPr>
        <w:pStyle w:val="NormalHanging12a"/>
        <w:rPr>
          <w:szCs w:val="24"/>
        </w:rPr>
      </w:pPr>
      <w:r w:rsidRPr="00312A3E">
        <w:t>4.</w:t>
      </w:r>
      <w:r w:rsidRPr="00312A3E">
        <w:tab/>
        <w:t>Subraya que, ante las barreras geográficas, el tiempo ahorrado mediante vuelos eléctricos como nuevo medio de transporte público que no depende de carreteras o vías ferroviarias existentes puede ser considerable; hace referencia a la experiencia en los países nórdicos, que combinan zonas geográficas caracterizadas por fiordos, lagos y montañas con una baja densidad de población y se centran de manera particular en la energía sostenible</w:t>
      </w:r>
      <w:r w:rsidRPr="00312A3E">
        <w:rPr>
          <w:rStyle w:val="FootnoteReference"/>
          <w:szCs w:val="24"/>
        </w:rPr>
        <w:footnoteReference w:id="14"/>
      </w:r>
      <w:r w:rsidRPr="00312A3E">
        <w:t>, así como a la experiencia en las regiones ultraperiféricas, caracterizadas por su insularidad, su lejanía, su escasa extensión y su clima y relieve difíciles; pide a la Comisión que estudie este potencial en estrecha cooperación con las regiones y los Estados miembros pertinentes;</w:t>
      </w:r>
    </w:p>
    <w:p w:rsidR="005D246C" w:rsidRPr="00312A3E" w:rsidRDefault="005D246C" w:rsidP="005D246C">
      <w:pPr>
        <w:pStyle w:val="NormalHanging12a"/>
        <w:rPr>
          <w:szCs w:val="24"/>
        </w:rPr>
      </w:pPr>
      <w:r w:rsidRPr="00312A3E">
        <w:t>5.</w:t>
      </w:r>
      <w:r w:rsidRPr="00312A3E">
        <w:tab/>
        <w:t>Considera que la electrificación de la aviación regional podría hacer económicamente viables las rutas anteriormente abandonadas, mejorando la conectividad, impulsando el desarrollo regional y atrayendo nuevas inversiones regionales; subraya las perspectivas creíbles de hibridación en vista de las limitaciones de la aviación regional relacionadas con la autonomía y el número de pasajeros;</w:t>
      </w:r>
    </w:p>
    <w:p w:rsidR="005D246C" w:rsidRPr="00312A3E" w:rsidRDefault="005D246C" w:rsidP="005D246C">
      <w:pPr>
        <w:pStyle w:val="NormalHanging12a"/>
        <w:rPr>
          <w:szCs w:val="24"/>
        </w:rPr>
      </w:pPr>
      <w:r w:rsidRPr="00312A3E">
        <w:t>6.</w:t>
      </w:r>
      <w:r w:rsidRPr="00312A3E">
        <w:tab/>
        <w:t xml:space="preserve">Reitera la visión de la Comisión de que las </w:t>
      </w:r>
      <w:proofErr w:type="spellStart"/>
      <w:r w:rsidRPr="00312A3E">
        <w:t>eVTOL</w:t>
      </w:r>
      <w:proofErr w:type="spellEnd"/>
      <w:r w:rsidRPr="00312A3E">
        <w:t xml:space="preserve">, tal como se manifiesta en la Estrategia 2.0 para los drones de la Comisión, se convertirán en un elemento básico del </w:t>
      </w:r>
      <w:r w:rsidRPr="00312A3E">
        <w:lastRenderedPageBreak/>
        <w:t>transporte de pasajeros de aquí a 2030, integrándose en los sistemas de transporte existentes y contribuyendo a la descarbonización de la Unión Europea, minimizando al mismo tiempo los efectos adversos sobre el medio ambiente</w:t>
      </w:r>
      <w:r w:rsidRPr="00312A3E">
        <w:rPr>
          <w:rStyle w:val="FootnoteReference"/>
          <w:szCs w:val="24"/>
        </w:rPr>
        <w:footnoteReference w:id="15"/>
      </w:r>
      <w:r w:rsidRPr="00312A3E">
        <w:t xml:space="preserve">; destaca que, a pesar de los rápidos avances tecnológicos de las </w:t>
      </w:r>
      <w:proofErr w:type="spellStart"/>
      <w:r w:rsidRPr="00312A3E">
        <w:t>eVTOL</w:t>
      </w:r>
      <w:proofErr w:type="spellEnd"/>
      <w:r w:rsidRPr="00312A3E">
        <w:t xml:space="preserve">, estas actualmente siguen estando limitadas a seis asientos, mientras que las aeronaves eléctricas de ala fija ya son capaces de transportar a más pasajeros tanto en las rutas aéreas urbanas existentes como en las nuevas; pide a la Comisión que diferencie entre las dos posibilidades, ya que utilizan diferentes tecnologías y sirven a mercados diferentes; está convencido de que tanto las </w:t>
      </w:r>
      <w:proofErr w:type="spellStart"/>
      <w:r w:rsidRPr="00312A3E">
        <w:t>eVTOL</w:t>
      </w:r>
      <w:proofErr w:type="spellEnd"/>
      <w:r w:rsidRPr="00312A3E">
        <w:t xml:space="preserve"> como las aeronaves eléctricas de ala fija deben considerarse formas complementarias de una nueva movilidad aérea urbana;</w:t>
      </w:r>
    </w:p>
    <w:p w:rsidR="005D246C" w:rsidRPr="00312A3E" w:rsidRDefault="005D246C" w:rsidP="005D246C">
      <w:pPr>
        <w:pStyle w:val="NormalHanging12a"/>
        <w:rPr>
          <w:szCs w:val="24"/>
        </w:rPr>
      </w:pPr>
      <w:r w:rsidRPr="00312A3E">
        <w:t>7.</w:t>
      </w:r>
      <w:r w:rsidRPr="00312A3E">
        <w:tab/>
        <w:t>Subraya que las aeronaves con motores eléctricos provocan una contaminación operativa cercana a cero, lo que significa una reducción de las emisiones locales que podrían afectar negativamente a la salud de los ciudadanos que viven cerca de los aeropuertos; considera, por tanto, que, en particular, los aviones con decibelios bajos deben beneficiarse de procedimientos simplificados para obtener permisos relacionados con el ruido o excepciones a las restricciones de vuelo; subraya que la reducción del ruido lograda mediante la aviación eléctrica de decibelios bajos puede mejorar la situación de algunos aeropuertos y zonas residenciales cercanas;</w:t>
      </w:r>
    </w:p>
    <w:p w:rsidR="005D246C" w:rsidRPr="00312A3E" w:rsidRDefault="005D246C" w:rsidP="005D246C">
      <w:pPr>
        <w:pStyle w:val="NormalHanging12a"/>
        <w:rPr>
          <w:szCs w:val="24"/>
        </w:rPr>
      </w:pPr>
      <w:r w:rsidRPr="00312A3E">
        <w:t>8.</w:t>
      </w:r>
      <w:r w:rsidRPr="00312A3E">
        <w:tab/>
        <w:t>Destaca la necesidad de aprovechar el potencial de que disponen las aeronaves eléctricas e híbridas-eléctricas de emitir niveles de ruido considerablemente más bajos; insta a la industria a que aproveche el trabajo de la AESA relativo a la definición de las primeras especificaciones técnicas de protección del medio ambiente</w:t>
      </w:r>
      <w:r w:rsidRPr="00312A3E">
        <w:rPr>
          <w:rStyle w:val="FootnoteReference"/>
          <w:szCs w:val="24"/>
        </w:rPr>
        <w:footnoteReference w:id="16"/>
      </w:r>
      <w:r w:rsidRPr="00312A3E">
        <w:t xml:space="preserve"> para la evaluación del ruido de determinadas aeronaves </w:t>
      </w:r>
      <w:proofErr w:type="spellStart"/>
      <w:r w:rsidRPr="00312A3E">
        <w:t>eVTOL</w:t>
      </w:r>
      <w:proofErr w:type="spellEnd"/>
      <w:r w:rsidRPr="00312A3E">
        <w:t xml:space="preserve">, cuyo objetivo es proporcionar un nivel elevado y uniforme de protección medioambiental a los ciudadanos europeos y facilitar la integración de las </w:t>
      </w:r>
      <w:proofErr w:type="spellStart"/>
      <w:r w:rsidRPr="00312A3E">
        <w:t>eVTOL</w:t>
      </w:r>
      <w:proofErr w:type="spellEnd"/>
      <w:r w:rsidRPr="00312A3E">
        <w:t xml:space="preserve"> en el ecosistema de la aviación y el entorno urbano;</w:t>
      </w:r>
    </w:p>
    <w:p w:rsidR="005D246C" w:rsidRPr="00312A3E" w:rsidRDefault="005D246C" w:rsidP="005D246C">
      <w:pPr>
        <w:pStyle w:val="NormalHanging12a"/>
        <w:rPr>
          <w:szCs w:val="24"/>
        </w:rPr>
      </w:pPr>
      <w:r w:rsidRPr="00312A3E">
        <w:t>9.</w:t>
      </w:r>
      <w:r w:rsidRPr="00312A3E">
        <w:tab/>
        <w:t xml:space="preserve">Cree firmemente que las aeronaves eléctricas e híbridas-eléctricas ofrecerán un potencial significativo de reducción de las emisiones de gases de efecto invernadero en la aviación y nuevas posibilidades de movilidad urbana; acoge con satisfacción el trabajo realizado hasta la fecha por la AESA en relación con las aeronaves </w:t>
      </w:r>
      <w:proofErr w:type="spellStart"/>
      <w:r w:rsidRPr="00312A3E">
        <w:t>eVTOL</w:t>
      </w:r>
      <w:proofErr w:type="spellEnd"/>
      <w:r w:rsidRPr="00312A3E">
        <w:t xml:space="preserve"> destinadas a ser utilizadas como taxis aéreos, el diseño de la infraestructura terrestre necesaria para operaciones de movilidad aérea urbana segura</w:t>
      </w:r>
      <w:r w:rsidRPr="00312A3E">
        <w:rPr>
          <w:rStyle w:val="FootnoteReference"/>
          <w:szCs w:val="24"/>
        </w:rPr>
        <w:footnoteReference w:id="17"/>
      </w:r>
      <w:r w:rsidRPr="00312A3E">
        <w:t xml:space="preserve"> y la adaptación del marco regulador de la aviación para facilitar la comercialización de aeronaves eléctricas y propulsadas por hidrógeno; destaca el papel clave de la AESA en la certificación de estos tipos de aeronaves, ya que podría acelerar su desarrollo; apoya la comercialización de aeronaves respetuosas con el medio ambiente que emplean tecnologías de propulsión alternativas para complementar las medidas puestas en marcha en el marco de las iniciativas sobre combustibles de aviación sostenibles; pide a la Comisión que adopte medidas en el futuro para garantizar que los vuelos eléctricos presten servicio a rutas </w:t>
      </w:r>
      <w:r w:rsidRPr="00312A3E">
        <w:lastRenderedPageBreak/>
        <w:t>regionales cortas a efectos de las obligaciones de servicio público con arreglo a las normas aplicables de la Unión;</w:t>
      </w:r>
    </w:p>
    <w:p w:rsidR="005D246C" w:rsidRPr="00312A3E" w:rsidRDefault="005D246C" w:rsidP="005D246C">
      <w:pPr>
        <w:pStyle w:val="NormalHanging12a"/>
        <w:rPr>
          <w:b/>
          <w:i/>
        </w:rPr>
      </w:pPr>
      <w:r w:rsidRPr="00312A3E">
        <w:rPr>
          <w:b/>
          <w:i/>
        </w:rPr>
        <w:t>Invertir en el futuro</w:t>
      </w:r>
    </w:p>
    <w:p w:rsidR="005D246C" w:rsidRPr="00312A3E" w:rsidRDefault="005D246C" w:rsidP="005D246C">
      <w:pPr>
        <w:pStyle w:val="NormalHanging12a"/>
      </w:pPr>
      <w:r w:rsidRPr="00312A3E">
        <w:t>10.</w:t>
      </w:r>
      <w:r w:rsidRPr="00312A3E">
        <w:tab/>
        <w:t>Considera que, si bien los vuelos de corto y medio alcance representan una fracción de las emisiones, cada ruta electrificada representa una reducción de la huella climática y medioambiental de la aviación y constituye una inversión que merece la pena; insiste en que la recaudación de las inversiones necesarias debe comenzar ya;</w:t>
      </w:r>
    </w:p>
    <w:p w:rsidR="005D246C" w:rsidRPr="00312A3E" w:rsidRDefault="005D246C" w:rsidP="005D246C">
      <w:pPr>
        <w:pStyle w:val="NormalHanging12a"/>
      </w:pPr>
      <w:r w:rsidRPr="00312A3E">
        <w:t>11.</w:t>
      </w:r>
      <w:r w:rsidRPr="00312A3E">
        <w:tab/>
        <w:t>Considera que los objetivos de alcanzar niveles de emisiones bajos o nulos también se lograrán empleando tecnologías híbridas-eléctricas desarrolladas para los vuelos regionales e internacionales de corta y media distancia, operados tanto para la aviación comercial como de negocios, y pide que se realicen las inversiones en I+D necesarias para el diseño de aeronaves y sistemas de propulsión, baterías y otras soluciones híbridas; observa que, con la comercialización de la aviación eléctrica, los Estados miembros deberían considerar la posibilidad de revisar las leyes que prohíban los vuelos de corta y media distancia;</w:t>
      </w:r>
    </w:p>
    <w:p w:rsidR="005D246C" w:rsidRPr="00312A3E" w:rsidRDefault="005D246C" w:rsidP="005D246C">
      <w:pPr>
        <w:pStyle w:val="NormalHanging12a"/>
        <w:rPr>
          <w:szCs w:val="24"/>
        </w:rPr>
      </w:pPr>
      <w:r w:rsidRPr="00312A3E">
        <w:t>12.</w:t>
      </w:r>
      <w:r w:rsidRPr="00312A3E">
        <w:tab/>
        <w:t>Observa que las necesidades sustanciales relacionadas con la sustitución de la flota civil representan un reto y exigen considerables inversiones financieras, al mismo tiempo que son un gran nicho de mercado que podría dar lugar a nuevos puestos de trabajo y competencias para todo el sector del transporte en Europa;</w:t>
      </w:r>
    </w:p>
    <w:p w:rsidR="005D246C" w:rsidRPr="00312A3E" w:rsidRDefault="005D246C" w:rsidP="005D246C">
      <w:pPr>
        <w:pStyle w:val="NormalHanging12a"/>
        <w:rPr>
          <w:szCs w:val="24"/>
        </w:rPr>
      </w:pPr>
      <w:r w:rsidRPr="00312A3E">
        <w:t>13.</w:t>
      </w:r>
      <w:r w:rsidRPr="00312A3E">
        <w:tab/>
        <w:t>Insiste en que el desarrollo de la aviación eléctrica para uso comercial requiere un apoyo económico y normativo eficaz a escala nacional y de la Unión; destaca los muy positivos resultados obtenidos con la ayuda de la contratación pública y considera que es una herramienta eficaz para electrificar la industria sin perturbar el mercado;</w:t>
      </w:r>
    </w:p>
    <w:p w:rsidR="005D246C" w:rsidRPr="00312A3E" w:rsidRDefault="005D246C" w:rsidP="005D246C">
      <w:pPr>
        <w:pStyle w:val="NormalHanging12a"/>
        <w:rPr>
          <w:szCs w:val="24"/>
        </w:rPr>
      </w:pPr>
      <w:r w:rsidRPr="00312A3E">
        <w:t>14.</w:t>
      </w:r>
      <w:r w:rsidRPr="00312A3E">
        <w:tab/>
        <w:t>Pide a los Estados miembros que estudien incentivos y beneficios de mercado para los fabricantes, operadores y pymes de aeronaves eléctricas en cuestión, con el fin de promover el desarrollo y la adopción de esta tecnología respetuosa con el medio ambiente; considera que estos incentivos y beneficios para los componentes de la aviación eléctrica, la electricidad y los créditos de emisiones pueden impulsar el crecimiento del mercado;</w:t>
      </w:r>
    </w:p>
    <w:p w:rsidR="005D246C" w:rsidRPr="00312A3E" w:rsidRDefault="005D246C" w:rsidP="005D246C">
      <w:pPr>
        <w:pStyle w:val="NormalHanging12a"/>
        <w:rPr>
          <w:szCs w:val="24"/>
        </w:rPr>
      </w:pPr>
      <w:r w:rsidRPr="00312A3E">
        <w:t>15.</w:t>
      </w:r>
      <w:r w:rsidRPr="00312A3E">
        <w:tab/>
        <w:t>Observa que hay muchos vuelos de corto y medio alcance que operan por toda Europa; pide a la Comisión que, en cooperación con Eurocontrol y la AESA, identifique las rutas de vuelo que sean más adecuadas para la electrificación total y den lugar a mayores reducciones de CO</w:t>
      </w:r>
      <w:r w:rsidRPr="00312A3E">
        <w:rPr>
          <w:vertAlign w:val="subscript"/>
        </w:rPr>
        <w:t>2</w:t>
      </w:r>
      <w:r w:rsidRPr="00312A3E">
        <w:t>, ya que ello ayudará a los aeropuertos afectados a iniciar las adaptaciones necesarias; destaca que el papel del hidrógeno puede resultar significativo para la reducción de las emisiones; recuerda que las empresas apuntan a las aeronaves eléctricas para las soluciones de pequeña escala y a las aeronaves propulsadas por hidrógeno para las de mayor escala;</w:t>
      </w:r>
    </w:p>
    <w:p w:rsidR="005D246C" w:rsidRPr="00312A3E" w:rsidRDefault="005D246C" w:rsidP="005D246C">
      <w:pPr>
        <w:pStyle w:val="NormalHanging12a"/>
        <w:rPr>
          <w:szCs w:val="24"/>
        </w:rPr>
      </w:pPr>
      <w:r w:rsidRPr="00312A3E">
        <w:t>16.</w:t>
      </w:r>
      <w:r w:rsidRPr="00312A3E">
        <w:tab/>
        <w:t xml:space="preserve">Considera necesario examinar la posibilidad de modificar las normas vigentes de la Unión en materia de ayudas estatales para permitir la creación de un marco de inversión específico que se base en la financiación pública y privada para apoyar el sector emergente de las </w:t>
      </w:r>
      <w:proofErr w:type="spellStart"/>
      <w:r w:rsidRPr="00312A3E">
        <w:t>eVTOL</w:t>
      </w:r>
      <w:proofErr w:type="spellEnd"/>
      <w:r w:rsidRPr="00312A3E">
        <w:t xml:space="preserve">, que hace un uso intensivo de recursos, con el fin de reforzar la autonomía estratégica de Europa en este ámbito, ya que las </w:t>
      </w:r>
      <w:proofErr w:type="spellStart"/>
      <w:r w:rsidRPr="00312A3E">
        <w:t>eVTOL</w:t>
      </w:r>
      <w:proofErr w:type="spellEnd"/>
      <w:r w:rsidRPr="00312A3E">
        <w:t xml:space="preserve"> están destinadas a convertirse en una parte estratégica del sector del transporte;</w:t>
      </w:r>
    </w:p>
    <w:p w:rsidR="005D246C" w:rsidRPr="00312A3E" w:rsidRDefault="005D246C" w:rsidP="005D246C">
      <w:pPr>
        <w:pStyle w:val="NormalHanging12a"/>
        <w:rPr>
          <w:szCs w:val="24"/>
        </w:rPr>
      </w:pPr>
      <w:r w:rsidRPr="00312A3E">
        <w:lastRenderedPageBreak/>
        <w:t>17.</w:t>
      </w:r>
      <w:r w:rsidRPr="00312A3E">
        <w:tab/>
        <w:t>Considera que las empresas de la Unión activas en el ámbito de la electrificación del sector de la aviación deben trabajar en cooperación más estrecha con las autoridades nacionales y de la Unión para elaborar una hoja de ruta técnica integrada y programas de investigación conjuntos; acoge con satisfacción el trabajo realizado en el marco de la Alianza para una Aviación de Cero Emisiones (AACE); subraya que esta cooperación es esencial para que la Unión mantenga su liderazgo industrial y su competitividad en la escena internacional;</w:t>
      </w:r>
    </w:p>
    <w:p w:rsidR="005D246C" w:rsidRPr="00312A3E" w:rsidRDefault="005D246C" w:rsidP="005D246C">
      <w:pPr>
        <w:pStyle w:val="NormalHanging12a"/>
        <w:rPr>
          <w:szCs w:val="24"/>
        </w:rPr>
      </w:pPr>
      <w:r w:rsidRPr="00312A3E">
        <w:t>18.</w:t>
      </w:r>
      <w:r w:rsidRPr="00312A3E">
        <w:tab/>
        <w:t>Señala que las aeronaves eléctricas más pequeñas pueden funcionar desde pistas existentes más cortas y sencillas, lo que podría reducir la necesidad de infraestructuras grandes y costosas en el futuro;</w:t>
      </w:r>
    </w:p>
    <w:p w:rsidR="005D246C" w:rsidRPr="00312A3E" w:rsidRDefault="005D246C" w:rsidP="005D246C">
      <w:pPr>
        <w:pStyle w:val="NormalHanging12a"/>
      </w:pPr>
      <w:r w:rsidRPr="00312A3E">
        <w:t>19.</w:t>
      </w:r>
      <w:r w:rsidRPr="00312A3E">
        <w:tab/>
        <w:t>Subraya que la planificación y la preparación de la infraestructura energética es un factor clave para determinar la adopción de la aviación eléctrica y basada en el hidrógeno, ya que la implantación de la aviación eléctrica solo será posible una vez preparada y probada la infraestructura; señala que, tras pasar a sistemas de propulsión alternativos, los grandes aeropuertos existentes podrían consumir de aquí a 2050 entre cinco y diez veces más electricidad que en la actualidad</w:t>
      </w:r>
      <w:r w:rsidRPr="00312A3E">
        <w:rPr>
          <w:rStyle w:val="FootnoteReference"/>
        </w:rPr>
        <w:footnoteReference w:id="18"/>
      </w:r>
      <w:r w:rsidRPr="00312A3E">
        <w:t>, y observa que las infraestructuras para aeronaves eléctricas y la electrificación de emplazamientos como los aeropuertos aún no se han desarrollado suficientemente; indica que, para satisfacer la demanda energética prevista, debe contarse con los primeros elementos de la infraestructura aeroportuaria de aquí a 2025, y pide que se garanticen las inversiones necesarias; destaca, además, a este respecto, que, para disponer de un despliegue adecuado de las aeronaves eléctricas, la Comisión y los Estados miembros deben aplicar correctamente el Reglamento sobre la Infraestructura para los Combustibles Alternativos</w:t>
      </w:r>
      <w:r w:rsidRPr="00312A3E">
        <w:rPr>
          <w:rStyle w:val="FootnoteReference"/>
        </w:rPr>
        <w:footnoteReference w:id="19"/>
      </w:r>
      <w:r w:rsidRPr="00312A3E">
        <w:t xml:space="preserve"> a fin de seguir promoviendo la electrificación de los emplazamientos; subraya la utilidad de proyectos específicos de financiación de infraestructuras a este respecto, como el Mecanismo «Conectar Europa» para el transporte y la energía; recuerda que, en virtud del Reglamento sobre la Infraestructura para los Combustibles Alternativos, la Comisión evaluará a finales de 2026 y, posteriormente, cada cinco años el estado actual y la evolución futura del mercado de la aviación de propulsión eléctrica y de hidrógeno; insta a la Comisión y a los Estados miembros a que velen por que se lleve a cabo esta evaluación, incluido un estudio de viabilidad sobre la implantación de la infraestructura pertinente para alimentar las aeronaves, seguido de un plan de implantación de la infraestructura para los combustibles alternativos en los aeropuertos, en particular para los puntos de recarga eléctrica y de repostaje de hidrógeno; anima a las industrias de todo el mundo a que acuerden lo antes posible normas mundiales para las estaciones de recarga en tierra para aeronaves estacionadas;</w:t>
      </w:r>
    </w:p>
    <w:p w:rsidR="005D246C" w:rsidRPr="00312A3E" w:rsidRDefault="005D246C" w:rsidP="005D246C">
      <w:pPr>
        <w:pStyle w:val="NormalHanging12a"/>
        <w:rPr>
          <w:b/>
          <w:i/>
        </w:rPr>
      </w:pPr>
      <w:r w:rsidRPr="00312A3E">
        <w:rPr>
          <w:b/>
          <w:i/>
        </w:rPr>
        <w:t>Retos y soluciones tecnológicas</w:t>
      </w:r>
    </w:p>
    <w:p w:rsidR="005D246C" w:rsidRPr="00312A3E" w:rsidRDefault="005D246C" w:rsidP="005D246C">
      <w:pPr>
        <w:pStyle w:val="NormalHanging12a"/>
      </w:pPr>
      <w:r w:rsidRPr="00312A3E">
        <w:t>20.</w:t>
      </w:r>
      <w:r w:rsidRPr="00312A3E">
        <w:tab/>
        <w:t xml:space="preserve">Acoge con satisfacción, dado que las tendencias tecnológicas en diversos sectores del </w:t>
      </w:r>
      <w:r w:rsidRPr="00312A3E">
        <w:lastRenderedPageBreak/>
        <w:t>transporte van en la misma dirección, las asociaciones intersectoriales de investigación y desarrollo existentes</w:t>
      </w:r>
      <w:r w:rsidRPr="00312A3E">
        <w:rPr>
          <w:rStyle w:val="FootnoteReference"/>
        </w:rPr>
        <w:footnoteReference w:id="20"/>
      </w:r>
      <w:r w:rsidRPr="00312A3E">
        <w:t xml:space="preserve"> entre las industrias del aire y del automóvil (sobre el desarrollo de la próxima generación de baterías y pilas de combustible), del transporte aéreo y el marítimo (sobre el uso de combustibles alternativos) y del transporte aéreo y el ferroviario (sobre los sistemas de distribución eléctrica); </w:t>
      </w:r>
    </w:p>
    <w:p w:rsidR="005D246C" w:rsidRPr="00312A3E" w:rsidRDefault="005D246C" w:rsidP="005D246C">
      <w:pPr>
        <w:pStyle w:val="NormalHanging12a"/>
      </w:pPr>
      <w:r w:rsidRPr="00312A3E">
        <w:t>21.</w:t>
      </w:r>
      <w:r w:rsidRPr="00312A3E">
        <w:tab/>
        <w:t>Señala que, si bien las aeronaves eléctricas e híbridas-eléctricas son muy prometedoras de cara a un futuro más sostenible en el sector de la aviación, su generación actual de baterías plantea retos significativos, relacionados principalmente con el peso y la densidad energética; observa que estas limitaciones afectan a la autonomía, la capacidad de carga útil y la eficiencia global de las aeronaves eléctricas;</w:t>
      </w:r>
    </w:p>
    <w:p w:rsidR="005D246C" w:rsidRPr="00312A3E" w:rsidRDefault="005D246C" w:rsidP="005D246C">
      <w:pPr>
        <w:pStyle w:val="NormalHanging12a"/>
      </w:pPr>
      <w:r w:rsidRPr="00312A3E">
        <w:t>22.</w:t>
      </w:r>
      <w:r w:rsidRPr="00312A3E">
        <w:tab/>
        <w:t xml:space="preserve">Recuerda que las operaciones de las aeronaves eléctricas implican requisitos estrictos para que las baterías, dando prioridad a la seguridad, pero también a que sean ligeras, compactas, rápidamente recargables y proporcionen la alta potencia necesaria para los segmentos de despegue y ascenso; subraya que estas baterías de alto rendimiento requieren materias primas fundamentales, que a menudo no están disponibles en Europa; pide al sector de la aviación que se sume a los esfuerzos de las diferentes industrias orientados a proporcionar una cadena de suministro sostenible; </w:t>
      </w:r>
    </w:p>
    <w:p w:rsidR="005D246C" w:rsidRPr="00312A3E" w:rsidRDefault="005D246C" w:rsidP="005D246C">
      <w:pPr>
        <w:pStyle w:val="NormalHanging12a"/>
      </w:pPr>
      <w:r w:rsidRPr="00312A3E">
        <w:t>23.</w:t>
      </w:r>
      <w:r w:rsidRPr="00312A3E">
        <w:tab/>
        <w:t>Recuerda que, en comparación con otros modos de transporte, las condiciones de altitud específicas del transporte aéreo imponen limitaciones técnicas particulares a las baterías;</w:t>
      </w:r>
    </w:p>
    <w:p w:rsidR="005D246C" w:rsidRPr="00312A3E" w:rsidRDefault="005D246C" w:rsidP="005D246C">
      <w:pPr>
        <w:pStyle w:val="NormalHanging12a"/>
      </w:pPr>
      <w:r w:rsidRPr="00312A3E">
        <w:t>24.</w:t>
      </w:r>
      <w:r w:rsidRPr="00312A3E">
        <w:tab/>
        <w:t>Destaca el potencial, en particular en términos de autonomía, de la aviación impulsada por hidrógeno basada en pilas de combustible, que es una forma alternativa de aviación eléctrica; subraya que las mejoras continuas de las tecnologías de las baterías y las pilas de combustible, junto con diseños de aeronaves más eficientes desde el punto de vista energético, pueden permitir un mejor rendimiento medioambiental; reitera que algunos de los mayores retos tecnológicos a los que se enfrenta actualmente la industria son el peso y el tamaño de las baterías, la potencia disponible máxima de las pilas de combustible, la distribución eléctrica y los sistemas térmicos, la integración de los fuselajes y la mejora de la aerodinámica;</w:t>
      </w:r>
    </w:p>
    <w:p w:rsidR="005D246C" w:rsidRPr="00312A3E" w:rsidRDefault="005D246C" w:rsidP="005D246C">
      <w:pPr>
        <w:pStyle w:val="NormalHanging12a"/>
      </w:pPr>
      <w:r w:rsidRPr="00312A3E">
        <w:t>25.</w:t>
      </w:r>
      <w:r w:rsidRPr="00312A3E">
        <w:tab/>
        <w:t>Resalta que el aumento del uso de baterías en la aeronáutica requerirá el desarrollo inmediato de una industria de reciclado de la Unión compatible con las necesidades del sector, con el fin de evitar la aparición de nuevas dependencias de terceros países;</w:t>
      </w:r>
    </w:p>
    <w:p w:rsidR="005D246C" w:rsidRPr="00312A3E" w:rsidRDefault="005D246C" w:rsidP="005D246C">
      <w:pPr>
        <w:pStyle w:val="NormalHanging12a"/>
        <w:rPr>
          <w:b/>
          <w:i/>
          <w:szCs w:val="24"/>
        </w:rPr>
      </w:pPr>
      <w:r w:rsidRPr="00312A3E">
        <w:rPr>
          <w:b/>
          <w:i/>
        </w:rPr>
        <w:t>Acción en el marco de la Unión</w:t>
      </w:r>
    </w:p>
    <w:p w:rsidR="005D246C" w:rsidRPr="00312A3E" w:rsidRDefault="005D246C" w:rsidP="005D246C">
      <w:pPr>
        <w:pStyle w:val="NormalHanging12a"/>
        <w:rPr>
          <w:szCs w:val="24"/>
        </w:rPr>
      </w:pPr>
      <w:r w:rsidRPr="00312A3E">
        <w:t>26.</w:t>
      </w:r>
      <w:r w:rsidRPr="00312A3E">
        <w:tab/>
        <w:t xml:space="preserve">Recuerda que la industria aeronáutica no solo es un factor de apoyo importante para la actividad económica, sino también uno de los sectores de alta tecnología con más éxito de la Unión; pide a la Comisión que adopte políticas proactivas para apoyar y desarrollar la industria en estrecha cooperación con los foros existentes, como el Consejo Consultivo para la Investigación Aeronáutica en Europa (ACARE) y la Alianza Europea para la Aviación de Cero Emisiones (AACE); pide a la Comisión que vele por que la normativa vigente de la Unión en este ámbito no se contrarreste entre sí ni impida que la industria aeronáutica desarrolle sus proyectos de descarbonización y </w:t>
      </w:r>
      <w:r w:rsidRPr="00312A3E">
        <w:lastRenderedPageBreak/>
        <w:t>electrificación;</w:t>
      </w:r>
    </w:p>
    <w:p w:rsidR="005D246C" w:rsidRPr="00312A3E" w:rsidRDefault="005D246C" w:rsidP="005D246C">
      <w:pPr>
        <w:pStyle w:val="NormalHanging12a"/>
        <w:rPr>
          <w:szCs w:val="24"/>
        </w:rPr>
      </w:pPr>
      <w:r w:rsidRPr="00312A3E">
        <w:t>27.</w:t>
      </w:r>
      <w:r w:rsidRPr="00312A3E">
        <w:tab/>
        <w:t>Considera que es necesaria una mayor aproximación entre el ecosistema aeroespacial y de la defensa y el ecosistema de la energía para mejorar la aviación eléctrica; observa que la Comisión está trabajando en vías de transición separadas para ambos ecosistemas; reconoce la importancia primordial de las vías de transición para que la industria pueda traducir eficazmente las aspiraciones climáticas en acciones por el clima tangibles, preservando y creando así valor para nuestra sociedad, nuestro planeta y las empresas por igual; expresa, sin embargo, su preocupación por el hecho de que las vías de transición de los dos ecosistemas sean divergentes, en particular a la luz del imperativo compartido de establecer redes estables y garantizar la asequibilidad de la electricidad limpia, también para la electrificación de aeronaves; subraya, en vista de lo anterior, la importancia de una estrategia común para las aeronaves eléctricas e insta a la Comisión a que adopte medidas proactivas para formular dicha estrategia; pide, además, a la Comisión que inicie un diálogo estructural conjunto entre la Dirección General de Movilidad y Transportes y la Dirección General de Energía a este respecto y que complete la vía de transición antes de las elecciones europeas de 2024 para que pueda ser utilizada como referencia para futuros reglamentos de la nueva Comisión entrante en 2024;</w:t>
      </w:r>
    </w:p>
    <w:p w:rsidR="005D246C" w:rsidRPr="00312A3E" w:rsidRDefault="005D246C" w:rsidP="005D246C">
      <w:pPr>
        <w:pStyle w:val="NormalHanging12a"/>
        <w:rPr>
          <w:szCs w:val="24"/>
        </w:rPr>
      </w:pPr>
      <w:r w:rsidRPr="00312A3E">
        <w:t>28.</w:t>
      </w:r>
      <w:r w:rsidRPr="00312A3E">
        <w:tab/>
        <w:t>Recuerda que la Alianza para una Aviación de Cero Emisiones (AACE) se creó a iniciativa de la Comisión para reunir a todos los socios privados y públicos de la totalidad del ecosistema de la aviación con el fin de prepararse para la entrada en servicio comercial de las aeronaves impulsadas por hidrógeno y las aeronaves eléctricas; pide a la Comisión que colabore con la AACE con el fin de desarrollar sus conocimientos sobre la aviación eléctrica; señala que las academias de competencias de la Ley sobre la industria de cero emisiones netas podrían utilizarse a este respecto y pide a la Comisión y a los Estados miembros que las promuevan;</w:t>
      </w:r>
    </w:p>
    <w:p w:rsidR="005D246C" w:rsidRPr="00312A3E" w:rsidRDefault="005D246C" w:rsidP="005D246C">
      <w:pPr>
        <w:pStyle w:val="NormalHanging12a"/>
        <w:rPr>
          <w:szCs w:val="24"/>
        </w:rPr>
      </w:pPr>
      <w:r w:rsidRPr="00312A3E">
        <w:t>29.</w:t>
      </w:r>
      <w:r w:rsidRPr="00312A3E">
        <w:tab/>
        <w:t>Subraya la actual escasez de competencias en ingeniería eléctrica y de sistemas; recuerda que el Concurso de la Unión Europea para Jóvenes Científicos podría utilizarse como elemento de referencia para desarrollar un concurso temático de la Unión para jóvenes talentos para todos los ecosistemas industriales, incluido el de la aviación eléctrica; pide a la Comisión y a los Estados miembros que aumenten la sensibilización sobre las oportunidades en las carreras ecológicas en el sector de la aviación y que fomenten los proyectos nacionales y de la Unión a este respecto;</w:t>
      </w:r>
    </w:p>
    <w:p w:rsidR="005D246C" w:rsidRPr="00312A3E" w:rsidRDefault="005D246C" w:rsidP="005D246C">
      <w:pPr>
        <w:pStyle w:val="NormalHanging12a"/>
        <w:rPr>
          <w:szCs w:val="24"/>
        </w:rPr>
      </w:pPr>
      <w:r w:rsidRPr="00312A3E">
        <w:t>30.</w:t>
      </w:r>
      <w:r w:rsidRPr="00312A3E">
        <w:tab/>
        <w:t xml:space="preserve">Acoge con satisfacción la intención de la Comisión de crear servicios coordinados de convocatorias en el marco de los instrumentos de la Unión y los préstamos del Banco Europeo de Inversiones (BEI) existentes para apoyar el nuevo proyecto emblemático sobre tecnologías de drones; pide al BEI que introduzca y ponga en marcha instrumentos de financiación específicos concebidos para impulsar la industria europea emergente de la aviación eléctrica y apoyar sus necesidades, teniendo en cuenta que se trata de un sector que hace un uso intensivo de capital y tiene necesidades específicas y reconociendo que el despliegue de </w:t>
      </w:r>
      <w:proofErr w:type="spellStart"/>
      <w:r w:rsidRPr="00312A3E">
        <w:t>eVTOL</w:t>
      </w:r>
      <w:proofErr w:type="spellEnd"/>
      <w:r w:rsidRPr="00312A3E">
        <w:t xml:space="preserve"> también requerirá inversiones en infraestructuras terrestres, incluidos </w:t>
      </w:r>
      <w:proofErr w:type="spellStart"/>
      <w:r w:rsidRPr="00312A3E">
        <w:t>vertipuertos</w:t>
      </w:r>
      <w:proofErr w:type="spellEnd"/>
      <w:r w:rsidRPr="00312A3E">
        <w:t xml:space="preserve"> e infraestructuras de recarga;</w:t>
      </w:r>
    </w:p>
    <w:p w:rsidR="005D246C" w:rsidRPr="00312A3E" w:rsidRDefault="005D246C" w:rsidP="005D246C">
      <w:pPr>
        <w:pStyle w:val="NormalHanging12a"/>
        <w:rPr>
          <w:szCs w:val="24"/>
        </w:rPr>
      </w:pPr>
      <w:r w:rsidRPr="00312A3E">
        <w:t>31.</w:t>
      </w:r>
      <w:r w:rsidRPr="00312A3E">
        <w:tab/>
        <w:t xml:space="preserve">Expresa su preocupación por el hecho de que el presupuesto previsto para la Empresa Común para una Aviación Limpia en el marco del programa Horizonte Europa queda muy por debajo de su ambición; recuerda que el nivel de innovación asociado a cada proyecto es muy elevado y que el apoyo debe ser proporcional y continuo en el marco </w:t>
      </w:r>
      <w:r w:rsidRPr="00312A3E">
        <w:lastRenderedPageBreak/>
        <w:t>del nuevo marco financiero plurianual a partir de 2027; considera que debe animarse a la Empresa Común para una Aviación Limpia a que aborde la aviación eléctrica y a que dé prioridad a la financiación de proyectos innovadores en materia aviación de cero emisiones, como las aeronaves eléctricas y propulsadas por hidrógeno; señala que es necesaria una nueva financiación para ir más allá del nivel de madurez tecnológica 6 con el fin de introducir tecnologías en el mercado; acoge con satisfacción el reciente anuncio del Reino Unido como país asociado a Horizonte Europa, que impulsará nuestros esfuerzos comunes hacia una aviación limpia;</w:t>
      </w:r>
    </w:p>
    <w:p w:rsidR="005D246C" w:rsidRPr="00312A3E" w:rsidRDefault="005D246C" w:rsidP="005D246C">
      <w:pPr>
        <w:pStyle w:val="NormalHanging12a"/>
        <w:rPr>
          <w:szCs w:val="24"/>
        </w:rPr>
      </w:pPr>
      <w:r w:rsidRPr="00312A3E">
        <w:t>32.</w:t>
      </w:r>
      <w:r w:rsidRPr="00312A3E">
        <w:tab/>
        <w:t>Lamenta que, a pesar de los considerables esfuerzos y compromisos exigidos por el sector de la aviación en su búsqueda de la descarbonización, no exista ningún fondo específico de la Unión para la aviación designado explícitamente para apoyar la aviación; pide a la Comisión que ponga en marcha convocatorias específicas para financiar proyectos de apoyo a la electrificación y acciones para reducir el impacto global de la aviación; recuerda, sin embargo, que el Fondo de Innovación en el marco del régimen de comercio de derechos de emisión (RCDE) y el uso de contratos por diferencia para el carbono son instrumentos importantes para desarrollar y llevar a escala industrial las tecnologías que podrían allanar el camino a la aviación eléctrica y propulsada por hidrógeno; recuerda la Directiva (UE) 2023/959</w:t>
      </w:r>
      <w:r w:rsidRPr="00312A3E">
        <w:rPr>
          <w:rStyle w:val="FootnoteReference"/>
          <w:szCs w:val="24"/>
        </w:rPr>
        <w:footnoteReference w:id="21"/>
      </w:r>
      <w:r w:rsidRPr="00312A3E">
        <w:t>, por la que se modificaba la Directiva 2003/87/CE y se ampliaba la gama de proyectos subvencionables con cargo al Fondo de Innovación para abarcar una mayor variedad de productos, procesos y tecnologías sin emisiones de carbono;</w:t>
      </w:r>
    </w:p>
    <w:p w:rsidR="005D246C" w:rsidRPr="00312A3E" w:rsidRDefault="005D246C" w:rsidP="005D246C">
      <w:pPr>
        <w:pStyle w:val="NormalHanging12a"/>
        <w:rPr>
          <w:szCs w:val="24"/>
        </w:rPr>
      </w:pPr>
      <w:r w:rsidRPr="00312A3E">
        <w:t>33.</w:t>
      </w:r>
      <w:r w:rsidRPr="00312A3E">
        <w:tab/>
        <w:t>Destaca la necesidad de mejorar la gestión térmica de las baterías y la gestión de su carga y su sustitución, así como de acelerar el desarrollo del sector del reciclado de baterías; pide a la Comisión que invierta en investigación y desarrollo de baterías de estado sólido de próxima generación que tengan el doble de energía que las baterías de ion-litio y un potencial de almacenamiento aproximadamente tres veces superior; pide, por tanto, a la Comisión que fomente, a través de instrumentos como la Ley sobre la industria de cero emisiones netas y la Alianza Europea de Baterías, la reducción de las dependencias en la cadena de suministro de baterías y la garantía de un suministro suficiente de materias primas fundamentales, reduciendo así nuestra dependencia externa en materia de baterías; anima a la Comisión y a los Estados miembros a que sigan desarrollando en paralelo asociaciones estratégicas con terceros países afines en el ámbito de las materias primas para la industria aeronáutica;</w:t>
      </w:r>
    </w:p>
    <w:p w:rsidR="005D246C" w:rsidRPr="00312A3E" w:rsidRDefault="005D246C" w:rsidP="005D246C">
      <w:pPr>
        <w:pStyle w:val="NormalHanging12a"/>
        <w:rPr>
          <w:szCs w:val="24"/>
        </w:rPr>
      </w:pPr>
      <w:r w:rsidRPr="00312A3E">
        <w:t>34.</w:t>
      </w:r>
      <w:r w:rsidRPr="00312A3E">
        <w:tab/>
        <w:t xml:space="preserve">Pide a la Comisión que garantice la coherencia entre el desarrollo del transporte eléctrico y la movilidad, la infraestructura necesaria y las políticas de la Unión destinadas a aumentar la capacidad de producción de baterías en Europa, incluido el suministro de materias primas y materiales avanzados necesarios para la producción de baterías; pide, por tanto, a la Comisión que revise el plan de acción estratégico para las baterías, que vincula los aspectos mencionados e incluye específicamente la introducción de objetivos cuantificados y acotados en el tiempo para la producción de baterías de la Unión; pide a los Estados miembros y a la Comisión que, en vista de lo </w:t>
      </w:r>
      <w:r w:rsidRPr="00312A3E">
        <w:lastRenderedPageBreak/>
        <w:t>anterior, en cooperación con la industria, definan posibles sinergias con el sector del transporte por carretera con el fin de maximizar la inversión pública y privada, especialmente en la producción y el reciclado de baterías y pilas de combustible;</w:t>
      </w:r>
    </w:p>
    <w:p w:rsidR="005D246C" w:rsidRPr="00312A3E" w:rsidRDefault="005D246C" w:rsidP="005D246C">
      <w:pPr>
        <w:pStyle w:val="NormalHanging12a"/>
        <w:rPr>
          <w:szCs w:val="24"/>
        </w:rPr>
      </w:pPr>
      <w:r w:rsidRPr="00312A3E">
        <w:t>35.</w:t>
      </w:r>
      <w:r w:rsidRPr="00312A3E">
        <w:tab/>
        <w:t>Pide a la Comisión que cree un marco político que apoye la adopción de tecnologías aeronáuticas eléctricas, como la canalización de parte de los ingresos procedentes del RCDE de aviación o cualquier impuesto sobre la aviación a la Empresa Común para una Aviación Limpia, de conformidad con la propuesta de Directiva sobre fiscalidad de la energía</w:t>
      </w:r>
      <w:r w:rsidRPr="00312A3E">
        <w:rPr>
          <w:rStyle w:val="FootnoteReference"/>
          <w:szCs w:val="24"/>
        </w:rPr>
        <w:footnoteReference w:id="22"/>
      </w:r>
      <w:r w:rsidRPr="00312A3E">
        <w:t>;</w:t>
      </w:r>
    </w:p>
    <w:p w:rsidR="005D246C" w:rsidRPr="00312A3E" w:rsidRDefault="005D246C" w:rsidP="005D246C">
      <w:pPr>
        <w:pStyle w:val="NormalHanging12a"/>
        <w:rPr>
          <w:szCs w:val="24"/>
        </w:rPr>
      </w:pPr>
      <w:r w:rsidRPr="00312A3E">
        <w:t>36.</w:t>
      </w:r>
      <w:r w:rsidRPr="00312A3E">
        <w:tab/>
        <w:t>Pide a la Comisión que elabore una estrategia para garantizar que la infraestructura necesaria para la aviación eléctrica, incluidas la generación de electricidad, la conexión a la red y la infraestructura de carga, se despliegue en proporción a la adopción de aeronaves eléctricas; recuerda que la escasa disponibilidad del hidrógeno verde y la falta de infraestructura podrían retrasar la puesta en servicio de las aeronaves propulsadas por hidrógeno; insta a la Comisión a que desarrolle una estrategia específica para la producción y el almacenamiento de hidrógeno;</w:t>
      </w:r>
    </w:p>
    <w:p w:rsidR="005D246C" w:rsidRPr="00312A3E" w:rsidRDefault="005D246C" w:rsidP="005D246C">
      <w:pPr>
        <w:pStyle w:val="NormalHanging12a"/>
        <w:rPr>
          <w:szCs w:val="24"/>
        </w:rPr>
      </w:pPr>
      <w:r w:rsidRPr="00312A3E">
        <w:t>37.</w:t>
      </w:r>
      <w:r w:rsidRPr="00312A3E">
        <w:tab/>
        <w:t>Pide a la AESA que siga trabajando para establecer normas y vías de certificación para que los aviones eléctricos e híbridos-eléctricos sean viables y que permitan acortar significativamente el plazo de comercialización de dichos aviones; pide a la Comisión que proporcione los recursos necesarios, especialmente en materia de personal, a este respecto;</w:t>
      </w:r>
    </w:p>
    <w:p w:rsidR="005D246C" w:rsidRPr="00312A3E" w:rsidRDefault="005D246C" w:rsidP="005D246C">
      <w:pPr>
        <w:pStyle w:val="NormalHanging12a"/>
        <w:rPr>
          <w:szCs w:val="24"/>
        </w:rPr>
      </w:pPr>
      <w:r w:rsidRPr="00312A3E">
        <w:t>38.</w:t>
      </w:r>
      <w:r w:rsidRPr="00312A3E">
        <w:tab/>
        <w:t xml:space="preserve">Pide a la Comisión que presente una estrategia europea para un enfoque coordinado del desarrollo, la certificación y el despliegue de la nueva generación de aeronaves </w:t>
      </w:r>
      <w:bookmarkStart w:id="8" w:name="_GoBack"/>
      <w:bookmarkEnd w:id="8"/>
      <w:r w:rsidRPr="00312A3E">
        <w:t xml:space="preserve">—incluidas las aeronaves </w:t>
      </w:r>
      <w:proofErr w:type="spellStart"/>
      <w:r w:rsidRPr="00312A3E">
        <w:t>eVTOL</w:t>
      </w:r>
      <w:proofErr w:type="spellEnd"/>
      <w:r w:rsidRPr="00312A3E">
        <w:t>—, con el fin de sensibilizar a los ciudadanos europeos sobre sus beneficios y de impulsar la inversión privada y pública, manteniendo al mismo tiempo la base tecnológica y el liderazgo en Europa; considera que la aviación eléctrica mantiene la promesa de un futuro más sostenible para el transporte aéreo, y que una campaña de información específica es vital para sensibilizar a la opinión pública sobre sus posibles beneficios e impacto;</w:t>
      </w:r>
    </w:p>
    <w:p w:rsidR="005D246C" w:rsidRPr="00312A3E" w:rsidRDefault="005D246C" w:rsidP="005D246C">
      <w:pPr>
        <w:pStyle w:val="NormalHanging12a"/>
        <w:jc w:val="center"/>
        <w:rPr>
          <w:szCs w:val="24"/>
        </w:rPr>
      </w:pPr>
      <w:r w:rsidRPr="00312A3E">
        <w:t>°</w:t>
      </w:r>
    </w:p>
    <w:p w:rsidR="005D246C" w:rsidRPr="00312A3E" w:rsidRDefault="005D246C" w:rsidP="005D246C">
      <w:pPr>
        <w:pStyle w:val="NormalHanging12a"/>
        <w:jc w:val="center"/>
        <w:rPr>
          <w:szCs w:val="24"/>
        </w:rPr>
      </w:pPr>
      <w:r w:rsidRPr="00312A3E">
        <w:t>°</w:t>
      </w:r>
      <w:r w:rsidRPr="00312A3E">
        <w:tab/>
        <w:t>°</w:t>
      </w:r>
    </w:p>
    <w:p w:rsidR="00E365E1" w:rsidRPr="00312A3E" w:rsidRDefault="005D246C" w:rsidP="00C45217">
      <w:pPr>
        <w:widowControl/>
        <w:ind w:left="567" w:hanging="567"/>
      </w:pPr>
      <w:r w:rsidRPr="00312A3E">
        <w:t>39.</w:t>
      </w:r>
      <w:r w:rsidRPr="00312A3E">
        <w:tab/>
        <w:t>Encarga a su presidenta que transmita la presente Resolución al Consejo y a la Comisión.</w:t>
      </w:r>
      <w:bookmarkStart w:id="9" w:name="TextBodyEnd"/>
      <w:bookmarkEnd w:id="9"/>
    </w:p>
    <w:sectPr w:rsidR="00E365E1" w:rsidRPr="00312A3E" w:rsidSect="00B962C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2F92" w:rsidRPr="00B962CA" w:rsidRDefault="00852F92">
      <w:r w:rsidRPr="00B962CA">
        <w:separator/>
      </w:r>
    </w:p>
  </w:endnote>
  <w:endnote w:type="continuationSeparator" w:id="0">
    <w:p w:rsidR="00852F92" w:rsidRPr="00B962CA" w:rsidRDefault="00852F92">
      <w:r w:rsidRPr="00B962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2C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2C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2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2F92" w:rsidRPr="00B962CA" w:rsidRDefault="00852F92">
      <w:r w:rsidRPr="00B962CA">
        <w:separator/>
      </w:r>
    </w:p>
  </w:footnote>
  <w:footnote w:type="continuationSeparator" w:id="0">
    <w:p w:rsidR="00852F92" w:rsidRPr="00B962CA" w:rsidRDefault="00852F92">
      <w:r w:rsidRPr="00B962CA">
        <w:continuationSeparator/>
      </w:r>
    </w:p>
  </w:footnote>
  <w:footnote w:id="1">
    <w:p w:rsidR="005D246C" w:rsidRPr="00B962CA" w:rsidRDefault="005D246C" w:rsidP="00B962CA">
      <w:pPr>
        <w:pStyle w:val="FootnoteText"/>
        <w:ind w:left="567" w:hanging="567"/>
        <w:rPr>
          <w:sz w:val="24"/>
          <w:lang w:val="es-ES_tradnl"/>
        </w:rPr>
      </w:pPr>
      <w:r w:rsidRPr="00B962CA">
        <w:rPr>
          <w:rStyle w:val="FootnoteReference"/>
          <w:sz w:val="24"/>
          <w:lang w:val="es-ES_tradnl"/>
        </w:rPr>
        <w:footnoteRef/>
      </w:r>
      <w:r w:rsidR="00B962CA" w:rsidRPr="00B962CA">
        <w:rPr>
          <w:sz w:val="24"/>
          <w:lang w:val="es-ES_tradnl"/>
        </w:rPr>
        <w:t xml:space="preserve"> </w:t>
      </w:r>
      <w:r w:rsidR="00B962CA" w:rsidRPr="00B962CA">
        <w:rPr>
          <w:sz w:val="24"/>
          <w:lang w:val="es-ES_tradnl"/>
        </w:rPr>
        <w:tab/>
      </w:r>
      <w:r w:rsidRPr="00B962CA">
        <w:rPr>
          <w:sz w:val="24"/>
          <w:lang w:val="es-ES_tradnl"/>
        </w:rPr>
        <w:t>DO L 243 de 9.7.2021, p. 1.</w:t>
      </w:r>
    </w:p>
  </w:footnote>
  <w:footnote w:id="2">
    <w:p w:rsidR="005D246C" w:rsidRPr="00B962CA" w:rsidRDefault="005D246C" w:rsidP="00B962CA">
      <w:pPr>
        <w:pStyle w:val="FootnoteText"/>
        <w:ind w:left="567" w:hanging="567"/>
        <w:rPr>
          <w:bCs/>
          <w:sz w:val="24"/>
          <w:lang w:val="es-ES_tradnl"/>
        </w:rPr>
      </w:pPr>
      <w:r w:rsidRPr="00B962CA">
        <w:rPr>
          <w:rStyle w:val="FootnoteReference"/>
          <w:sz w:val="24"/>
          <w:lang w:val="es-ES_tradnl"/>
        </w:rPr>
        <w:footnoteRef/>
      </w:r>
      <w:r w:rsidR="00B962CA" w:rsidRPr="00B962CA">
        <w:rPr>
          <w:sz w:val="24"/>
          <w:lang w:val="es-ES_tradnl"/>
        </w:rPr>
        <w:t xml:space="preserve"> </w:t>
      </w:r>
      <w:r w:rsidR="00B962CA" w:rsidRPr="00B962CA">
        <w:rPr>
          <w:sz w:val="24"/>
          <w:lang w:val="es-ES_tradnl"/>
        </w:rPr>
        <w:tab/>
      </w:r>
      <w:r w:rsidRPr="00B962CA">
        <w:rPr>
          <w:sz w:val="24"/>
          <w:lang w:val="es-ES_tradnl"/>
        </w:rPr>
        <w:t>DO L 173 de 12.6.2014, p. 65.</w:t>
      </w:r>
    </w:p>
  </w:footnote>
  <w:footnote w:id="3">
    <w:p w:rsidR="005D246C" w:rsidRPr="00B962CA" w:rsidRDefault="005D246C" w:rsidP="00B962CA">
      <w:pPr>
        <w:pStyle w:val="FootnoteText"/>
        <w:ind w:left="567" w:hanging="567"/>
        <w:rPr>
          <w:sz w:val="24"/>
          <w:lang w:val="es-ES_tradnl"/>
        </w:rPr>
      </w:pPr>
      <w:r w:rsidRPr="00B962CA">
        <w:rPr>
          <w:rStyle w:val="FootnoteReference"/>
          <w:sz w:val="24"/>
          <w:lang w:val="es-ES_tradnl"/>
        </w:rPr>
        <w:footnoteRef/>
      </w:r>
      <w:r w:rsidR="00B962CA" w:rsidRPr="00B962CA">
        <w:rPr>
          <w:sz w:val="24"/>
          <w:lang w:val="es-ES_tradnl"/>
        </w:rPr>
        <w:t xml:space="preserve"> </w:t>
      </w:r>
      <w:r w:rsidR="00B962CA" w:rsidRPr="00B962CA">
        <w:rPr>
          <w:sz w:val="24"/>
          <w:lang w:val="es-ES_tradnl"/>
        </w:rPr>
        <w:tab/>
      </w:r>
      <w:r w:rsidRPr="00B962CA">
        <w:rPr>
          <w:sz w:val="24"/>
          <w:lang w:val="es-ES_tradnl"/>
        </w:rPr>
        <w:t>DO L 275 de 25.10.2003, p. 32.</w:t>
      </w:r>
    </w:p>
  </w:footnote>
  <w:footnote w:id="4">
    <w:p w:rsidR="005D246C" w:rsidRPr="00B962CA" w:rsidRDefault="005D246C" w:rsidP="00B962CA">
      <w:pPr>
        <w:pStyle w:val="FootnoteText"/>
        <w:ind w:left="567" w:hanging="567"/>
        <w:rPr>
          <w:sz w:val="24"/>
          <w:lang w:val="es-ES_tradnl"/>
        </w:rPr>
      </w:pPr>
      <w:r w:rsidRPr="00B962CA">
        <w:rPr>
          <w:rStyle w:val="FootnoteReference"/>
          <w:sz w:val="24"/>
          <w:lang w:val="es-ES_tradnl"/>
        </w:rPr>
        <w:footnoteRef/>
      </w:r>
      <w:r w:rsidR="00B962CA" w:rsidRPr="00B962CA">
        <w:rPr>
          <w:sz w:val="24"/>
          <w:lang w:val="es-ES_tradnl"/>
        </w:rPr>
        <w:t xml:space="preserve"> </w:t>
      </w:r>
      <w:r w:rsidR="00B962CA" w:rsidRPr="00B962CA">
        <w:rPr>
          <w:sz w:val="24"/>
          <w:lang w:val="es-ES_tradnl"/>
        </w:rPr>
        <w:tab/>
      </w:r>
      <w:r w:rsidRPr="00B962CA">
        <w:rPr>
          <w:sz w:val="24"/>
          <w:lang w:val="es-ES_tradnl"/>
        </w:rPr>
        <w:t>Textos Aprobados, P9_</w:t>
      </w:r>
      <w:proofErr w:type="gramStart"/>
      <w:r w:rsidRPr="00B962CA">
        <w:rPr>
          <w:sz w:val="24"/>
          <w:lang w:val="es-ES_tradnl"/>
        </w:rPr>
        <w:t>TA(</w:t>
      </w:r>
      <w:proofErr w:type="gramEnd"/>
      <w:r w:rsidRPr="00B962CA">
        <w:rPr>
          <w:sz w:val="24"/>
          <w:lang w:val="es-ES_tradnl"/>
        </w:rPr>
        <w:t>2023)0130.</w:t>
      </w:r>
    </w:p>
  </w:footnote>
  <w:footnote w:id="5">
    <w:p w:rsidR="005D246C" w:rsidRPr="00B962CA" w:rsidRDefault="005D246C" w:rsidP="00B962CA">
      <w:pPr>
        <w:pStyle w:val="FootnoteText"/>
        <w:ind w:left="567" w:hanging="567"/>
        <w:rPr>
          <w:sz w:val="24"/>
          <w:lang w:val="es-ES_tradnl"/>
        </w:rPr>
      </w:pPr>
      <w:r w:rsidRPr="00B962CA">
        <w:rPr>
          <w:rStyle w:val="FootnoteReference"/>
          <w:sz w:val="24"/>
          <w:lang w:val="es-ES_tradnl"/>
        </w:rPr>
        <w:footnoteRef/>
      </w:r>
      <w:r w:rsidR="00B962CA" w:rsidRPr="00B962CA">
        <w:rPr>
          <w:sz w:val="24"/>
          <w:lang w:val="es-ES_tradnl"/>
        </w:rPr>
        <w:t xml:space="preserve"> </w:t>
      </w:r>
      <w:r w:rsidR="00B962CA" w:rsidRPr="00B962CA">
        <w:rPr>
          <w:sz w:val="24"/>
          <w:lang w:val="es-ES_tradnl"/>
        </w:rPr>
        <w:tab/>
      </w:r>
      <w:r w:rsidRPr="00B962CA">
        <w:rPr>
          <w:sz w:val="24"/>
          <w:lang w:val="es-ES_tradnl"/>
        </w:rPr>
        <w:t>DO C 366 de 27.10.2017, p. 2.</w:t>
      </w:r>
    </w:p>
  </w:footnote>
  <w:footnote w:id="6">
    <w:p w:rsidR="005D246C" w:rsidRPr="00B962CA" w:rsidRDefault="005D246C" w:rsidP="00B962CA">
      <w:pPr>
        <w:pStyle w:val="FootnoteText"/>
        <w:ind w:left="567" w:hanging="567"/>
        <w:rPr>
          <w:sz w:val="24"/>
          <w:lang w:val="es-ES_tradnl"/>
        </w:rPr>
      </w:pPr>
      <w:r w:rsidRPr="00B962CA">
        <w:rPr>
          <w:rStyle w:val="FootnoteReference"/>
          <w:sz w:val="24"/>
          <w:lang w:val="es-ES_tradnl"/>
        </w:rPr>
        <w:footnoteRef/>
      </w:r>
      <w:r w:rsidR="00B962CA" w:rsidRPr="00B962CA">
        <w:rPr>
          <w:sz w:val="24"/>
          <w:lang w:val="es-ES_tradnl"/>
        </w:rPr>
        <w:t xml:space="preserve"> </w:t>
      </w:r>
      <w:r w:rsidR="00B962CA" w:rsidRPr="00B962CA">
        <w:rPr>
          <w:sz w:val="24"/>
          <w:lang w:val="es-ES_tradnl"/>
        </w:rPr>
        <w:tab/>
      </w:r>
      <w:r w:rsidRPr="00B962CA">
        <w:rPr>
          <w:sz w:val="24"/>
          <w:lang w:val="es-ES_tradnl"/>
        </w:rPr>
        <w:t>DO C 261 E de 10.9.2013, p. 1.</w:t>
      </w:r>
    </w:p>
  </w:footnote>
  <w:footnote w:id="7">
    <w:p w:rsidR="005D246C" w:rsidRPr="00B962CA" w:rsidRDefault="005D246C" w:rsidP="00B962CA">
      <w:pPr>
        <w:pStyle w:val="FootnoteText"/>
        <w:ind w:left="567" w:hanging="567"/>
        <w:rPr>
          <w:sz w:val="24"/>
          <w:lang w:val="es-ES_tradnl"/>
        </w:rPr>
      </w:pPr>
      <w:r w:rsidRPr="00B962CA">
        <w:rPr>
          <w:rStyle w:val="FootnoteReference"/>
          <w:sz w:val="24"/>
          <w:lang w:val="es-ES_tradnl"/>
        </w:rPr>
        <w:footnoteRef/>
      </w:r>
      <w:r w:rsidR="00B962CA" w:rsidRPr="00B962CA">
        <w:rPr>
          <w:sz w:val="24"/>
          <w:lang w:val="es-ES_tradnl"/>
        </w:rPr>
        <w:t xml:space="preserve"> </w:t>
      </w:r>
      <w:r w:rsidR="00B962CA" w:rsidRPr="00B962CA">
        <w:rPr>
          <w:sz w:val="24"/>
          <w:lang w:val="es-ES_tradnl"/>
        </w:rPr>
        <w:tab/>
      </w:r>
      <w:r w:rsidRPr="00B962CA">
        <w:rPr>
          <w:sz w:val="24"/>
          <w:lang w:val="es-ES_tradnl"/>
        </w:rPr>
        <w:t>DO C 252 de 18.7.2018, p. 284.</w:t>
      </w:r>
    </w:p>
  </w:footnote>
  <w:footnote w:id="8">
    <w:p w:rsidR="005D246C" w:rsidRPr="00B962CA" w:rsidRDefault="005D246C" w:rsidP="00B962CA">
      <w:pPr>
        <w:pStyle w:val="FootnoteText"/>
        <w:ind w:left="567" w:hanging="567"/>
        <w:rPr>
          <w:sz w:val="24"/>
          <w:lang w:val="es-ES_tradnl"/>
        </w:rPr>
      </w:pPr>
      <w:r w:rsidRPr="00B962CA">
        <w:rPr>
          <w:rStyle w:val="FootnoteReference"/>
          <w:sz w:val="24"/>
          <w:lang w:val="es-ES_tradnl"/>
        </w:rPr>
        <w:footnoteRef/>
      </w:r>
      <w:r w:rsidR="00B962CA" w:rsidRPr="00B962CA">
        <w:rPr>
          <w:sz w:val="24"/>
          <w:lang w:val="es-ES_tradnl"/>
        </w:rPr>
        <w:t xml:space="preserve"> </w:t>
      </w:r>
      <w:r w:rsidR="00B962CA" w:rsidRPr="00B962CA">
        <w:rPr>
          <w:sz w:val="24"/>
          <w:lang w:val="es-ES_tradnl"/>
        </w:rPr>
        <w:tab/>
      </w:r>
      <w:r w:rsidRPr="00B962CA">
        <w:rPr>
          <w:sz w:val="24"/>
          <w:lang w:val="es-ES_tradnl"/>
        </w:rPr>
        <w:t xml:space="preserve">Parlamento Europeo, </w:t>
      </w:r>
      <w:hyperlink r:id="rId1" w:history="1">
        <w:r w:rsidRPr="00B962CA">
          <w:rPr>
            <w:rStyle w:val="Hyperlink"/>
            <w:sz w:val="24"/>
            <w:lang w:val="es-ES_tradnl"/>
          </w:rPr>
          <w:t>Emisiones de aviones y barcos: datos y cifras (infografía)</w:t>
        </w:r>
      </w:hyperlink>
      <w:r w:rsidRPr="00B962CA">
        <w:rPr>
          <w:sz w:val="24"/>
          <w:lang w:val="es-ES_tradnl"/>
        </w:rPr>
        <w:t>, actualizado el 15 de junio de 2023.</w:t>
      </w:r>
    </w:p>
  </w:footnote>
  <w:footnote w:id="9">
    <w:p w:rsidR="005D246C" w:rsidRPr="00B962CA" w:rsidRDefault="005D246C" w:rsidP="00B962CA">
      <w:pPr>
        <w:pStyle w:val="FootnoteText"/>
        <w:ind w:left="567" w:hanging="567"/>
        <w:rPr>
          <w:sz w:val="24"/>
          <w:lang w:val="es-ES_tradnl"/>
        </w:rPr>
      </w:pPr>
      <w:r w:rsidRPr="00B962CA">
        <w:rPr>
          <w:rStyle w:val="FootnoteReference"/>
          <w:sz w:val="24"/>
          <w:lang w:val="es-ES_tradnl"/>
        </w:rPr>
        <w:footnoteRef/>
      </w:r>
      <w:r w:rsidR="00B962CA" w:rsidRPr="00B962CA">
        <w:rPr>
          <w:sz w:val="24"/>
          <w:lang w:val="es-ES_tradnl"/>
        </w:rPr>
        <w:t xml:space="preserve"> </w:t>
      </w:r>
      <w:r w:rsidR="00B962CA" w:rsidRPr="00B962CA">
        <w:rPr>
          <w:sz w:val="24"/>
          <w:lang w:val="es-ES_tradnl"/>
        </w:rPr>
        <w:tab/>
      </w:r>
      <w:hyperlink r:id="rId2" w:history="1">
        <w:proofErr w:type="spellStart"/>
        <w:r w:rsidRPr="00B962CA">
          <w:rPr>
            <w:rStyle w:val="Hyperlink"/>
            <w:sz w:val="24"/>
            <w:lang w:val="es-ES_tradnl"/>
          </w:rPr>
          <w:t>Waypoint</w:t>
        </w:r>
        <w:proofErr w:type="spellEnd"/>
        <w:r w:rsidRPr="00B962CA">
          <w:rPr>
            <w:rStyle w:val="Hyperlink"/>
            <w:sz w:val="24"/>
            <w:lang w:val="es-ES_tradnl"/>
          </w:rPr>
          <w:t xml:space="preserve"> 2050</w:t>
        </w:r>
      </w:hyperlink>
      <w:r w:rsidRPr="00B962CA">
        <w:rPr>
          <w:sz w:val="24"/>
          <w:lang w:val="es-ES_tradnl"/>
        </w:rPr>
        <w:t xml:space="preserve">, «Aviation: </w:t>
      </w:r>
      <w:proofErr w:type="spellStart"/>
      <w:r w:rsidRPr="00B962CA">
        <w:rPr>
          <w:sz w:val="24"/>
          <w:lang w:val="es-ES_tradnl"/>
        </w:rPr>
        <w:t>Benefits</w:t>
      </w:r>
      <w:proofErr w:type="spellEnd"/>
      <w:r w:rsidRPr="00B962CA">
        <w:rPr>
          <w:sz w:val="24"/>
          <w:lang w:val="es-ES_tradnl"/>
        </w:rPr>
        <w:t xml:space="preserve"> </w:t>
      </w:r>
      <w:proofErr w:type="spellStart"/>
      <w:r w:rsidRPr="00B962CA">
        <w:rPr>
          <w:sz w:val="24"/>
          <w:lang w:val="es-ES_tradnl"/>
        </w:rPr>
        <w:t>Beyond</w:t>
      </w:r>
      <w:proofErr w:type="spellEnd"/>
      <w:r w:rsidRPr="00B962CA">
        <w:rPr>
          <w:sz w:val="24"/>
          <w:lang w:val="es-ES_tradnl"/>
        </w:rPr>
        <w:t xml:space="preserve"> Borders» (Aviación: Beneficios más allá de las fronteras), gráfico 2.</w:t>
      </w:r>
    </w:p>
  </w:footnote>
  <w:footnote w:id="10">
    <w:p w:rsidR="005D246C" w:rsidRPr="00B962CA" w:rsidRDefault="005D246C" w:rsidP="00B962CA">
      <w:pPr>
        <w:pStyle w:val="FootnoteText"/>
        <w:ind w:left="567" w:hanging="567"/>
        <w:rPr>
          <w:sz w:val="24"/>
          <w:lang w:val="es-ES_tradnl"/>
        </w:rPr>
      </w:pPr>
      <w:r w:rsidRPr="00B962CA">
        <w:rPr>
          <w:rStyle w:val="FootnoteReference"/>
          <w:sz w:val="24"/>
          <w:lang w:val="es-ES_tradnl"/>
        </w:rPr>
        <w:footnoteRef/>
      </w:r>
      <w:r w:rsidR="00B962CA" w:rsidRPr="00B962CA">
        <w:rPr>
          <w:sz w:val="24"/>
          <w:lang w:val="es-ES_tradnl"/>
        </w:rPr>
        <w:t xml:space="preserve"> </w:t>
      </w:r>
      <w:r w:rsidR="00B962CA" w:rsidRPr="00B962CA">
        <w:rPr>
          <w:sz w:val="24"/>
          <w:lang w:val="es-ES_tradnl"/>
        </w:rPr>
        <w:tab/>
      </w:r>
      <w:r w:rsidRPr="00B962CA">
        <w:rPr>
          <w:sz w:val="24"/>
          <w:lang w:val="es-ES_tradnl"/>
        </w:rPr>
        <w:t xml:space="preserve">ATR, </w:t>
      </w:r>
      <w:proofErr w:type="spellStart"/>
      <w:r w:rsidRPr="00B962CA">
        <w:rPr>
          <w:sz w:val="24"/>
          <w:lang w:val="es-ES_tradnl"/>
        </w:rPr>
        <w:t>Avinor</w:t>
      </w:r>
      <w:proofErr w:type="spellEnd"/>
      <w:r w:rsidRPr="00B962CA">
        <w:rPr>
          <w:sz w:val="24"/>
          <w:lang w:val="es-ES_tradnl"/>
        </w:rPr>
        <w:t xml:space="preserve">, Deutsche </w:t>
      </w:r>
      <w:proofErr w:type="spellStart"/>
      <w:r w:rsidRPr="00B962CA">
        <w:rPr>
          <w:sz w:val="24"/>
          <w:lang w:val="es-ES_tradnl"/>
        </w:rPr>
        <w:t>Aircraft</w:t>
      </w:r>
      <w:proofErr w:type="spellEnd"/>
      <w:r w:rsidRPr="00B962CA">
        <w:rPr>
          <w:sz w:val="24"/>
          <w:lang w:val="es-ES_tradnl"/>
        </w:rPr>
        <w:t xml:space="preserve"> (en cooperación con </w:t>
      </w:r>
      <w:proofErr w:type="spellStart"/>
      <w:r w:rsidRPr="00B962CA">
        <w:rPr>
          <w:sz w:val="24"/>
          <w:lang w:val="es-ES_tradnl"/>
        </w:rPr>
        <w:t>Private</w:t>
      </w:r>
      <w:proofErr w:type="spellEnd"/>
      <w:r w:rsidRPr="00B962CA">
        <w:rPr>
          <w:sz w:val="24"/>
          <w:lang w:val="es-ES_tradnl"/>
        </w:rPr>
        <w:t xml:space="preserve"> </w:t>
      </w:r>
      <w:proofErr w:type="spellStart"/>
      <w:r w:rsidRPr="00B962CA">
        <w:rPr>
          <w:sz w:val="24"/>
          <w:lang w:val="es-ES_tradnl"/>
        </w:rPr>
        <w:t>Wings</w:t>
      </w:r>
      <w:proofErr w:type="spellEnd"/>
      <w:r w:rsidRPr="00B962CA">
        <w:rPr>
          <w:sz w:val="24"/>
          <w:lang w:val="es-ES_tradnl"/>
        </w:rPr>
        <w:t xml:space="preserve">), </w:t>
      </w:r>
      <w:proofErr w:type="spellStart"/>
      <w:r w:rsidRPr="00B962CA">
        <w:rPr>
          <w:sz w:val="24"/>
          <w:lang w:val="es-ES_tradnl"/>
        </w:rPr>
        <w:t>Heart</w:t>
      </w:r>
      <w:proofErr w:type="spellEnd"/>
      <w:r w:rsidRPr="00B962CA">
        <w:rPr>
          <w:sz w:val="24"/>
          <w:lang w:val="es-ES_tradnl"/>
        </w:rPr>
        <w:t xml:space="preserve"> </w:t>
      </w:r>
      <w:proofErr w:type="spellStart"/>
      <w:r w:rsidRPr="00B962CA">
        <w:rPr>
          <w:sz w:val="24"/>
          <w:lang w:val="es-ES_tradnl"/>
        </w:rPr>
        <w:t>Aerospace</w:t>
      </w:r>
      <w:proofErr w:type="spellEnd"/>
      <w:r w:rsidRPr="00B962CA">
        <w:rPr>
          <w:sz w:val="24"/>
          <w:lang w:val="es-ES_tradnl"/>
        </w:rPr>
        <w:t xml:space="preserve"> (en cooperación con </w:t>
      </w:r>
      <w:hyperlink r:id="rId3" w:history="1">
        <w:proofErr w:type="spellStart"/>
        <w:r w:rsidRPr="00B962CA">
          <w:rPr>
            <w:rStyle w:val="Hyperlink"/>
            <w:sz w:val="24"/>
            <w:lang w:val="es-ES_tradnl"/>
          </w:rPr>
          <w:t>Finnair</w:t>
        </w:r>
        <w:proofErr w:type="spellEnd"/>
      </w:hyperlink>
      <w:r w:rsidRPr="00B962CA">
        <w:rPr>
          <w:sz w:val="24"/>
          <w:lang w:val="es-ES_tradnl"/>
        </w:rPr>
        <w:t xml:space="preserve"> e </w:t>
      </w:r>
      <w:hyperlink r:id="rId4" w:history="1">
        <w:proofErr w:type="spellStart"/>
        <w:r w:rsidRPr="00B962CA">
          <w:rPr>
            <w:rStyle w:val="Hyperlink"/>
            <w:sz w:val="24"/>
            <w:lang w:val="es-ES_tradnl"/>
          </w:rPr>
          <w:t>Icelandair</w:t>
        </w:r>
        <w:proofErr w:type="spellEnd"/>
      </w:hyperlink>
      <w:r w:rsidRPr="00B962CA">
        <w:rPr>
          <w:sz w:val="24"/>
          <w:lang w:val="es-ES_tradnl"/>
        </w:rPr>
        <w:t xml:space="preserve">), </w:t>
      </w:r>
      <w:proofErr w:type="spellStart"/>
      <w:r w:rsidRPr="00B962CA">
        <w:rPr>
          <w:sz w:val="24"/>
          <w:lang w:val="es-ES_tradnl"/>
        </w:rPr>
        <w:t>Pipistrel</w:t>
      </w:r>
      <w:proofErr w:type="spellEnd"/>
      <w:r w:rsidRPr="00B962CA">
        <w:rPr>
          <w:sz w:val="24"/>
          <w:lang w:val="es-ES_tradnl"/>
        </w:rPr>
        <w:t xml:space="preserve">, </w:t>
      </w:r>
      <w:hyperlink r:id="rId5" w:history="1">
        <w:r w:rsidRPr="00B962CA">
          <w:rPr>
            <w:rStyle w:val="Hyperlink"/>
            <w:sz w:val="24"/>
            <w:lang w:val="es-ES_tradnl"/>
          </w:rPr>
          <w:t>SAS (en cooperación con Airbus)</w:t>
        </w:r>
      </w:hyperlink>
      <w:r w:rsidRPr="00B962CA">
        <w:rPr>
          <w:sz w:val="24"/>
          <w:lang w:val="es-ES_tradnl"/>
        </w:rPr>
        <w:t xml:space="preserve">, </w:t>
      </w:r>
      <w:proofErr w:type="spellStart"/>
      <w:r w:rsidRPr="00B962CA">
        <w:rPr>
          <w:sz w:val="24"/>
          <w:lang w:val="es-ES_tradnl"/>
        </w:rPr>
        <w:t>Tecnam</w:t>
      </w:r>
      <w:proofErr w:type="spellEnd"/>
      <w:r w:rsidRPr="00B962CA">
        <w:rPr>
          <w:sz w:val="24"/>
          <w:lang w:val="es-ES_tradnl"/>
        </w:rPr>
        <w:t>, etc.</w:t>
      </w:r>
    </w:p>
  </w:footnote>
  <w:footnote w:id="11">
    <w:p w:rsidR="005D246C" w:rsidRPr="00B962CA" w:rsidRDefault="005D246C" w:rsidP="00B962CA">
      <w:pPr>
        <w:pStyle w:val="FootnoteText"/>
        <w:ind w:left="567" w:hanging="567"/>
        <w:rPr>
          <w:sz w:val="24"/>
          <w:lang w:val="es-ES_tradnl"/>
        </w:rPr>
      </w:pPr>
      <w:r w:rsidRPr="00B962CA">
        <w:rPr>
          <w:rStyle w:val="FootnoteReference"/>
          <w:sz w:val="24"/>
          <w:lang w:val="es-ES_tradnl"/>
        </w:rPr>
        <w:footnoteRef/>
      </w:r>
      <w:r w:rsidR="00B962CA" w:rsidRPr="00B962CA">
        <w:rPr>
          <w:sz w:val="24"/>
          <w:lang w:val="es-ES_tradnl"/>
        </w:rPr>
        <w:t xml:space="preserve"> </w:t>
      </w:r>
      <w:r w:rsidR="00B962CA" w:rsidRPr="00B962CA">
        <w:rPr>
          <w:sz w:val="24"/>
          <w:lang w:val="es-ES_tradnl"/>
        </w:rPr>
        <w:tab/>
      </w:r>
      <w:r w:rsidRPr="00B962CA">
        <w:rPr>
          <w:sz w:val="24"/>
          <w:lang w:val="es-ES_tradnl"/>
        </w:rPr>
        <w:t>Ficha informativa, «</w:t>
      </w:r>
      <w:hyperlink r:id="rId6" w:history="1">
        <w:r w:rsidRPr="00B962CA">
          <w:rPr>
            <w:rStyle w:val="Hyperlink"/>
            <w:sz w:val="24"/>
            <w:lang w:val="es-ES_tradnl"/>
          </w:rPr>
          <w:t xml:space="preserve">Net </w:t>
        </w:r>
        <w:proofErr w:type="spellStart"/>
        <w:r w:rsidRPr="00B962CA">
          <w:rPr>
            <w:rStyle w:val="Hyperlink"/>
            <w:sz w:val="24"/>
            <w:lang w:val="es-ES_tradnl"/>
          </w:rPr>
          <w:t>zero</w:t>
        </w:r>
        <w:proofErr w:type="spellEnd"/>
        <w:r w:rsidRPr="00B962CA">
          <w:rPr>
            <w:rStyle w:val="Hyperlink"/>
            <w:sz w:val="24"/>
            <w:lang w:val="es-ES_tradnl"/>
          </w:rPr>
          <w:t xml:space="preserve"> 2050: new </w:t>
        </w:r>
        <w:proofErr w:type="spellStart"/>
        <w:r w:rsidRPr="00B962CA">
          <w:rPr>
            <w:rStyle w:val="Hyperlink"/>
            <w:sz w:val="24"/>
            <w:lang w:val="es-ES_tradnl"/>
          </w:rPr>
          <w:t>aircraft</w:t>
        </w:r>
        <w:proofErr w:type="spellEnd"/>
        <w:r w:rsidRPr="00B962CA">
          <w:rPr>
            <w:rStyle w:val="Hyperlink"/>
            <w:sz w:val="24"/>
            <w:lang w:val="es-ES_tradnl"/>
          </w:rPr>
          <w:t xml:space="preserve"> </w:t>
        </w:r>
        <w:proofErr w:type="spellStart"/>
        <w:r w:rsidRPr="00B962CA">
          <w:rPr>
            <w:rStyle w:val="Hyperlink"/>
            <w:sz w:val="24"/>
            <w:lang w:val="es-ES_tradnl"/>
          </w:rPr>
          <w:t>technology</w:t>
        </w:r>
        <w:proofErr w:type="spellEnd"/>
      </w:hyperlink>
      <w:r w:rsidRPr="00B962CA">
        <w:rPr>
          <w:sz w:val="24"/>
          <w:lang w:val="es-ES_tradnl"/>
        </w:rPr>
        <w:t>» (Cero emisiones netas 2050: nueva tecnología aeronáutica), IATA, junio de 2023.</w:t>
      </w:r>
    </w:p>
  </w:footnote>
  <w:footnote w:id="12">
    <w:p w:rsidR="005D246C" w:rsidRPr="00B962CA" w:rsidRDefault="005D246C" w:rsidP="00B962CA">
      <w:pPr>
        <w:pStyle w:val="FootnoteText"/>
        <w:ind w:left="567" w:hanging="567"/>
        <w:rPr>
          <w:sz w:val="24"/>
          <w:lang w:val="es-ES_tradnl"/>
        </w:rPr>
      </w:pPr>
      <w:r w:rsidRPr="00B962CA">
        <w:rPr>
          <w:rStyle w:val="FootnoteReference"/>
          <w:sz w:val="24"/>
          <w:lang w:val="es-ES_tradnl"/>
        </w:rPr>
        <w:footnoteRef/>
      </w:r>
      <w:r w:rsidR="00B962CA" w:rsidRPr="00B962CA">
        <w:rPr>
          <w:sz w:val="24"/>
          <w:lang w:val="es-ES_tradnl"/>
        </w:rPr>
        <w:t xml:space="preserve"> </w:t>
      </w:r>
      <w:r w:rsidR="00B962CA" w:rsidRPr="00B962CA">
        <w:rPr>
          <w:sz w:val="24"/>
          <w:lang w:val="es-ES_tradnl"/>
        </w:rPr>
        <w:tab/>
      </w:r>
      <w:hyperlink r:id="rId7" w:history="1">
        <w:proofErr w:type="spellStart"/>
        <w:r w:rsidRPr="00B962CA">
          <w:rPr>
            <w:rStyle w:val="Hyperlink"/>
            <w:sz w:val="24"/>
            <w:lang w:val="es-ES_tradnl"/>
          </w:rPr>
          <w:t>Pipistrel</w:t>
        </w:r>
        <w:proofErr w:type="spellEnd"/>
        <w:r w:rsidRPr="00B962CA">
          <w:rPr>
            <w:rStyle w:val="Hyperlink"/>
            <w:sz w:val="24"/>
            <w:lang w:val="es-ES_tradnl"/>
          </w:rPr>
          <w:t xml:space="preserve"> Velis Electro</w:t>
        </w:r>
      </w:hyperlink>
      <w:r w:rsidRPr="00B962CA">
        <w:rPr>
          <w:sz w:val="24"/>
          <w:lang w:val="es-ES_tradnl"/>
        </w:rPr>
        <w:t>.</w:t>
      </w:r>
    </w:p>
  </w:footnote>
  <w:footnote w:id="13">
    <w:p w:rsidR="005D246C" w:rsidRPr="00B962CA" w:rsidRDefault="005D246C" w:rsidP="00B962CA">
      <w:pPr>
        <w:pStyle w:val="FootnoteText"/>
        <w:ind w:left="567" w:hanging="567"/>
        <w:rPr>
          <w:sz w:val="24"/>
          <w:lang w:val="es-ES_tradnl"/>
        </w:rPr>
      </w:pPr>
      <w:r w:rsidRPr="00B962CA">
        <w:rPr>
          <w:rStyle w:val="FootnoteReference"/>
          <w:sz w:val="24"/>
          <w:lang w:val="es-ES_tradnl"/>
        </w:rPr>
        <w:footnoteRef/>
      </w:r>
      <w:r w:rsidR="00B962CA" w:rsidRPr="00B962CA">
        <w:rPr>
          <w:sz w:val="24"/>
          <w:lang w:val="es-ES_tradnl"/>
        </w:rPr>
        <w:t xml:space="preserve"> </w:t>
      </w:r>
      <w:r w:rsidR="00B962CA" w:rsidRPr="00B962CA">
        <w:rPr>
          <w:sz w:val="24"/>
          <w:lang w:val="es-ES_tradnl"/>
        </w:rPr>
        <w:tab/>
      </w:r>
      <w:r w:rsidRPr="00B962CA">
        <w:rPr>
          <w:sz w:val="24"/>
          <w:lang w:val="es-ES_tradnl"/>
        </w:rPr>
        <w:t>DO L 234 de 22.9.2023, p. 1.</w:t>
      </w:r>
    </w:p>
  </w:footnote>
  <w:footnote w:id="14">
    <w:p w:rsidR="005D246C" w:rsidRPr="00B962CA" w:rsidRDefault="005D246C" w:rsidP="00B962CA">
      <w:pPr>
        <w:pStyle w:val="FootnoteText"/>
        <w:ind w:left="567" w:hanging="567"/>
        <w:rPr>
          <w:sz w:val="24"/>
          <w:lang w:val="es-ES_tradnl"/>
        </w:rPr>
      </w:pPr>
      <w:r w:rsidRPr="00B962CA">
        <w:rPr>
          <w:rStyle w:val="FootnoteReference"/>
          <w:sz w:val="24"/>
          <w:lang w:val="es-ES_tradnl"/>
        </w:rPr>
        <w:footnoteRef/>
      </w:r>
      <w:r w:rsidR="00B962CA" w:rsidRPr="00B962CA">
        <w:rPr>
          <w:sz w:val="24"/>
          <w:lang w:val="es-ES_tradnl"/>
        </w:rPr>
        <w:t xml:space="preserve"> </w:t>
      </w:r>
      <w:r w:rsidR="00B962CA" w:rsidRPr="00B962CA">
        <w:rPr>
          <w:sz w:val="24"/>
          <w:lang w:val="es-ES_tradnl"/>
        </w:rPr>
        <w:tab/>
      </w:r>
      <w:r w:rsidRPr="00B962CA">
        <w:rPr>
          <w:sz w:val="24"/>
          <w:lang w:val="es-ES_tradnl"/>
        </w:rPr>
        <w:t>Véase el documento titulado «</w:t>
      </w:r>
      <w:proofErr w:type="spellStart"/>
      <w:r w:rsidRPr="00B962CA">
        <w:fldChar w:fldCharType="begin"/>
      </w:r>
      <w:r w:rsidRPr="00B962CA">
        <w:rPr>
          <w:sz w:val="24"/>
          <w:lang w:val="es-ES_tradnl"/>
        </w:rPr>
        <w:instrText xml:space="preserve"> HYPERLINK "https://storymaps.arcgis.com/stories/3b35687163744e69a6966b5b9fad976e" </w:instrText>
      </w:r>
      <w:r w:rsidRPr="00B962CA">
        <w:fldChar w:fldCharType="separate"/>
      </w:r>
      <w:r w:rsidRPr="00B962CA">
        <w:rPr>
          <w:rStyle w:val="Hyperlink"/>
          <w:sz w:val="24"/>
          <w:lang w:val="es-ES_tradnl"/>
        </w:rPr>
        <w:t>Accessibility</w:t>
      </w:r>
      <w:proofErr w:type="spellEnd"/>
      <w:r w:rsidRPr="00B962CA">
        <w:rPr>
          <w:rStyle w:val="Hyperlink"/>
          <w:sz w:val="24"/>
          <w:lang w:val="es-ES_tradnl"/>
        </w:rPr>
        <w:t xml:space="preserve"> study for </w:t>
      </w:r>
      <w:proofErr w:type="spellStart"/>
      <w:r w:rsidRPr="00B962CA">
        <w:rPr>
          <w:rStyle w:val="Hyperlink"/>
          <w:sz w:val="24"/>
          <w:lang w:val="es-ES_tradnl"/>
        </w:rPr>
        <w:t>electric</w:t>
      </w:r>
      <w:proofErr w:type="spellEnd"/>
      <w:r w:rsidRPr="00B962CA">
        <w:rPr>
          <w:rStyle w:val="Hyperlink"/>
          <w:sz w:val="24"/>
          <w:lang w:val="es-ES_tradnl"/>
        </w:rPr>
        <w:t xml:space="preserve"> </w:t>
      </w:r>
      <w:proofErr w:type="spellStart"/>
      <w:r w:rsidRPr="00B962CA">
        <w:rPr>
          <w:rStyle w:val="Hyperlink"/>
          <w:sz w:val="24"/>
          <w:lang w:val="es-ES_tradnl"/>
        </w:rPr>
        <w:t>aviation</w:t>
      </w:r>
      <w:proofErr w:type="spellEnd"/>
      <w:r w:rsidRPr="00B962CA">
        <w:rPr>
          <w:rStyle w:val="Hyperlink"/>
          <w:sz w:val="24"/>
          <w:lang w:val="es-ES_tradnl"/>
        </w:rPr>
        <w:t xml:space="preserve">. </w:t>
      </w:r>
      <w:proofErr w:type="spellStart"/>
      <w:r w:rsidRPr="00B962CA">
        <w:rPr>
          <w:rStyle w:val="Hyperlink"/>
          <w:sz w:val="24"/>
          <w:lang w:val="es-ES_tradnl"/>
        </w:rPr>
        <w:t>Part</w:t>
      </w:r>
      <w:proofErr w:type="spellEnd"/>
      <w:r w:rsidRPr="00B962CA">
        <w:rPr>
          <w:rStyle w:val="Hyperlink"/>
          <w:sz w:val="24"/>
          <w:lang w:val="es-ES_tradnl"/>
        </w:rPr>
        <w:t xml:space="preserve"> of the </w:t>
      </w:r>
      <w:proofErr w:type="spellStart"/>
      <w:r w:rsidRPr="00B962CA">
        <w:rPr>
          <w:rStyle w:val="Hyperlink"/>
          <w:sz w:val="24"/>
          <w:lang w:val="es-ES_tradnl"/>
        </w:rPr>
        <w:t>project</w:t>
      </w:r>
      <w:proofErr w:type="spellEnd"/>
      <w:r w:rsidRPr="00B962CA">
        <w:rPr>
          <w:rStyle w:val="Hyperlink"/>
          <w:sz w:val="24"/>
          <w:lang w:val="es-ES_tradnl"/>
        </w:rPr>
        <w:t xml:space="preserve"> Electric Aviation and the </w:t>
      </w:r>
      <w:proofErr w:type="spellStart"/>
      <w:r w:rsidRPr="00B962CA">
        <w:rPr>
          <w:rStyle w:val="Hyperlink"/>
          <w:sz w:val="24"/>
          <w:lang w:val="es-ES_tradnl"/>
        </w:rPr>
        <w:t>Effect</w:t>
      </w:r>
      <w:proofErr w:type="spellEnd"/>
      <w:r w:rsidRPr="00B962CA">
        <w:rPr>
          <w:rStyle w:val="Hyperlink"/>
          <w:sz w:val="24"/>
          <w:lang w:val="es-ES_tradnl"/>
        </w:rPr>
        <w:t xml:space="preserve"> on </w:t>
      </w:r>
      <w:proofErr w:type="spellStart"/>
      <w:r w:rsidRPr="00B962CA">
        <w:rPr>
          <w:rStyle w:val="Hyperlink"/>
          <w:sz w:val="24"/>
          <w:lang w:val="es-ES_tradnl"/>
        </w:rPr>
        <w:t>Nordic</w:t>
      </w:r>
      <w:proofErr w:type="spellEnd"/>
      <w:r w:rsidRPr="00B962CA">
        <w:rPr>
          <w:rStyle w:val="Hyperlink"/>
          <w:sz w:val="24"/>
          <w:lang w:val="es-ES_tradnl"/>
        </w:rPr>
        <w:t xml:space="preserve"> </w:t>
      </w:r>
      <w:proofErr w:type="spellStart"/>
      <w:r w:rsidRPr="00B962CA">
        <w:rPr>
          <w:rStyle w:val="Hyperlink"/>
          <w:sz w:val="24"/>
          <w:lang w:val="es-ES_tradnl"/>
        </w:rPr>
        <w:t>Regions</w:t>
      </w:r>
      <w:proofErr w:type="spellEnd"/>
      <w:r w:rsidRPr="00B962CA">
        <w:rPr>
          <w:rStyle w:val="Hyperlink"/>
          <w:sz w:val="24"/>
          <w:lang w:val="es-ES_tradnl"/>
        </w:rPr>
        <w:fldChar w:fldCharType="end"/>
      </w:r>
      <w:r w:rsidRPr="00B962CA">
        <w:rPr>
          <w:sz w:val="24"/>
          <w:lang w:val="es-ES_tradnl"/>
        </w:rPr>
        <w:t>» (Estudio de accesibilidad para la aviación eléctrica. Parte del proyecto sobre la aviación eléctrica y los efectos en las regiones nórdicas).</w:t>
      </w:r>
    </w:p>
  </w:footnote>
  <w:footnote w:id="15">
    <w:p w:rsidR="005D246C" w:rsidRPr="00B962CA" w:rsidRDefault="005D246C" w:rsidP="00B962CA">
      <w:pPr>
        <w:pStyle w:val="FootnoteText"/>
        <w:ind w:left="567" w:hanging="567"/>
        <w:rPr>
          <w:sz w:val="24"/>
          <w:lang w:val="es-ES_tradnl"/>
        </w:rPr>
      </w:pPr>
      <w:r w:rsidRPr="00B962CA">
        <w:rPr>
          <w:rStyle w:val="FootnoteReference"/>
          <w:sz w:val="24"/>
          <w:lang w:val="es-ES_tradnl"/>
        </w:rPr>
        <w:footnoteRef/>
      </w:r>
      <w:r w:rsidR="00B962CA" w:rsidRPr="00B962CA">
        <w:rPr>
          <w:sz w:val="24"/>
          <w:lang w:val="es-ES_tradnl"/>
        </w:rPr>
        <w:t xml:space="preserve"> </w:t>
      </w:r>
      <w:r w:rsidR="00B962CA" w:rsidRPr="00B962CA">
        <w:rPr>
          <w:sz w:val="24"/>
          <w:lang w:val="es-ES_tradnl"/>
        </w:rPr>
        <w:tab/>
      </w:r>
      <w:r w:rsidRPr="00B962CA">
        <w:rPr>
          <w:sz w:val="24"/>
          <w:lang w:val="es-ES_tradnl"/>
        </w:rPr>
        <w:t>Ídem.</w:t>
      </w:r>
    </w:p>
  </w:footnote>
  <w:footnote w:id="16">
    <w:p w:rsidR="005D246C" w:rsidRPr="00B962CA" w:rsidRDefault="005D246C" w:rsidP="00B962CA">
      <w:pPr>
        <w:pStyle w:val="FootnoteText"/>
        <w:ind w:left="567" w:hanging="567"/>
        <w:rPr>
          <w:sz w:val="24"/>
          <w:lang w:val="es-ES_tradnl"/>
        </w:rPr>
      </w:pPr>
      <w:r w:rsidRPr="00B962CA">
        <w:rPr>
          <w:rStyle w:val="FootnoteReference"/>
          <w:sz w:val="24"/>
          <w:lang w:val="es-ES_tradnl"/>
        </w:rPr>
        <w:footnoteRef/>
      </w:r>
      <w:r w:rsidR="00B962CA" w:rsidRPr="00B962CA">
        <w:rPr>
          <w:sz w:val="24"/>
          <w:lang w:val="es-ES_tradnl"/>
        </w:rPr>
        <w:t xml:space="preserve"> </w:t>
      </w:r>
      <w:r w:rsidR="00B962CA" w:rsidRPr="00B962CA">
        <w:rPr>
          <w:sz w:val="24"/>
          <w:lang w:val="es-ES_tradnl"/>
        </w:rPr>
        <w:tab/>
      </w:r>
      <w:hyperlink r:id="rId8" w:history="1">
        <w:r w:rsidR="00C45217" w:rsidRPr="008F034F">
          <w:rPr>
            <w:rStyle w:val="Hyperlink"/>
            <w:sz w:val="24"/>
            <w:lang w:val="es-ES_tradnl"/>
          </w:rPr>
          <w:t>https://www.easa.europa.eu/en/newsroom-and-events/press-releases/easa-publishes-worlds-first-proposal-assessment-and-limitation</w:t>
        </w:r>
      </w:hyperlink>
      <w:r w:rsidRPr="00B962CA">
        <w:rPr>
          <w:sz w:val="24"/>
          <w:lang w:val="es-ES_tradnl"/>
        </w:rPr>
        <w:t>.</w:t>
      </w:r>
    </w:p>
  </w:footnote>
  <w:footnote w:id="17">
    <w:p w:rsidR="005D246C" w:rsidRPr="00B962CA" w:rsidRDefault="005D246C" w:rsidP="00B962CA">
      <w:pPr>
        <w:pStyle w:val="FootnoteText"/>
        <w:ind w:left="567" w:hanging="567"/>
        <w:rPr>
          <w:sz w:val="24"/>
          <w:lang w:val="es-ES_tradnl"/>
        </w:rPr>
      </w:pPr>
      <w:r w:rsidRPr="00B962CA">
        <w:rPr>
          <w:rStyle w:val="FootnoteReference"/>
          <w:sz w:val="24"/>
          <w:lang w:val="es-ES_tradnl"/>
        </w:rPr>
        <w:footnoteRef/>
      </w:r>
      <w:r w:rsidR="00B962CA" w:rsidRPr="00B962CA">
        <w:rPr>
          <w:sz w:val="24"/>
          <w:lang w:val="es-ES_tradnl"/>
        </w:rPr>
        <w:t xml:space="preserve"> </w:t>
      </w:r>
      <w:r w:rsidR="00B962CA" w:rsidRPr="00B962CA">
        <w:rPr>
          <w:sz w:val="24"/>
          <w:lang w:val="es-ES_tradnl"/>
        </w:rPr>
        <w:tab/>
      </w:r>
      <w:r w:rsidRPr="00B962CA">
        <w:rPr>
          <w:sz w:val="24"/>
          <w:lang w:val="es-ES_tradnl"/>
        </w:rPr>
        <w:t>AESA, «</w:t>
      </w:r>
      <w:proofErr w:type="spellStart"/>
      <w:r w:rsidRPr="00B962CA">
        <w:rPr>
          <w:sz w:val="24"/>
          <w:lang w:val="es-ES_tradnl"/>
        </w:rPr>
        <w:t>Vertiports</w:t>
      </w:r>
      <w:proofErr w:type="spellEnd"/>
      <w:r w:rsidRPr="00B962CA">
        <w:rPr>
          <w:sz w:val="24"/>
          <w:lang w:val="es-ES_tradnl"/>
        </w:rPr>
        <w:t xml:space="preserve">. </w:t>
      </w:r>
      <w:proofErr w:type="spellStart"/>
      <w:r w:rsidRPr="00B962CA">
        <w:rPr>
          <w:sz w:val="24"/>
          <w:lang w:val="es-ES_tradnl"/>
        </w:rPr>
        <w:t>Prototype</w:t>
      </w:r>
      <w:proofErr w:type="spellEnd"/>
      <w:r w:rsidRPr="00B962CA">
        <w:rPr>
          <w:sz w:val="24"/>
          <w:lang w:val="es-ES_tradnl"/>
        </w:rPr>
        <w:t xml:space="preserve"> </w:t>
      </w:r>
      <w:proofErr w:type="spellStart"/>
      <w:r w:rsidRPr="00B962CA">
        <w:rPr>
          <w:sz w:val="24"/>
          <w:lang w:val="es-ES_tradnl"/>
        </w:rPr>
        <w:t>Technical</w:t>
      </w:r>
      <w:proofErr w:type="spellEnd"/>
      <w:r w:rsidRPr="00B962CA">
        <w:rPr>
          <w:sz w:val="24"/>
          <w:lang w:val="es-ES_tradnl"/>
        </w:rPr>
        <w:t xml:space="preserve"> </w:t>
      </w:r>
      <w:proofErr w:type="spellStart"/>
      <w:r w:rsidRPr="00B962CA">
        <w:rPr>
          <w:sz w:val="24"/>
          <w:lang w:val="es-ES_tradnl"/>
        </w:rPr>
        <w:t>Specifications</w:t>
      </w:r>
      <w:proofErr w:type="spellEnd"/>
      <w:r w:rsidRPr="00B962CA">
        <w:rPr>
          <w:sz w:val="24"/>
          <w:lang w:val="es-ES_tradnl"/>
        </w:rPr>
        <w:t xml:space="preserve"> for the </w:t>
      </w:r>
      <w:proofErr w:type="spellStart"/>
      <w:r w:rsidRPr="00B962CA">
        <w:rPr>
          <w:sz w:val="24"/>
          <w:lang w:val="es-ES_tradnl"/>
        </w:rPr>
        <w:t>Design</w:t>
      </w:r>
      <w:proofErr w:type="spellEnd"/>
      <w:r w:rsidRPr="00B962CA">
        <w:rPr>
          <w:sz w:val="24"/>
          <w:lang w:val="es-ES_tradnl"/>
        </w:rPr>
        <w:t xml:space="preserve"> of VFR </w:t>
      </w:r>
      <w:proofErr w:type="spellStart"/>
      <w:r w:rsidRPr="00B962CA">
        <w:rPr>
          <w:sz w:val="24"/>
          <w:lang w:val="es-ES_tradnl"/>
        </w:rPr>
        <w:t>Vertiports</w:t>
      </w:r>
      <w:proofErr w:type="spellEnd"/>
      <w:r w:rsidRPr="00B962CA">
        <w:rPr>
          <w:sz w:val="24"/>
          <w:lang w:val="es-ES_tradnl"/>
        </w:rPr>
        <w:t xml:space="preserve"> for </w:t>
      </w:r>
      <w:proofErr w:type="spellStart"/>
      <w:r w:rsidRPr="00B962CA">
        <w:rPr>
          <w:sz w:val="24"/>
          <w:lang w:val="es-ES_tradnl"/>
        </w:rPr>
        <w:t>Operation</w:t>
      </w:r>
      <w:proofErr w:type="spellEnd"/>
      <w:r w:rsidRPr="00B962CA">
        <w:rPr>
          <w:sz w:val="24"/>
          <w:lang w:val="es-ES_tradnl"/>
        </w:rPr>
        <w:t xml:space="preserve"> of </w:t>
      </w:r>
      <w:proofErr w:type="spellStart"/>
      <w:r w:rsidRPr="00B962CA">
        <w:rPr>
          <w:sz w:val="24"/>
          <w:lang w:val="es-ES_tradnl"/>
        </w:rPr>
        <w:t>with</w:t>
      </w:r>
      <w:proofErr w:type="spellEnd"/>
      <w:r w:rsidRPr="00B962CA">
        <w:rPr>
          <w:sz w:val="24"/>
          <w:lang w:val="es-ES_tradnl"/>
        </w:rPr>
        <w:t xml:space="preserve"> </w:t>
      </w:r>
      <w:proofErr w:type="spellStart"/>
      <w:r w:rsidRPr="00B962CA">
        <w:rPr>
          <w:sz w:val="24"/>
          <w:lang w:val="es-ES_tradnl"/>
        </w:rPr>
        <w:t>Manned</w:t>
      </w:r>
      <w:proofErr w:type="spellEnd"/>
      <w:r w:rsidRPr="00B962CA">
        <w:rPr>
          <w:sz w:val="24"/>
          <w:lang w:val="es-ES_tradnl"/>
        </w:rPr>
        <w:t xml:space="preserve"> VTOL-</w:t>
      </w:r>
      <w:proofErr w:type="spellStart"/>
      <w:r w:rsidRPr="00B962CA">
        <w:rPr>
          <w:sz w:val="24"/>
          <w:lang w:val="es-ES_tradnl"/>
        </w:rPr>
        <w:t>Capable</w:t>
      </w:r>
      <w:proofErr w:type="spellEnd"/>
      <w:r w:rsidRPr="00B962CA">
        <w:rPr>
          <w:sz w:val="24"/>
          <w:lang w:val="es-ES_tradnl"/>
        </w:rPr>
        <w:t xml:space="preserve"> </w:t>
      </w:r>
      <w:proofErr w:type="spellStart"/>
      <w:r w:rsidRPr="00B962CA">
        <w:rPr>
          <w:sz w:val="24"/>
          <w:lang w:val="es-ES_tradnl"/>
        </w:rPr>
        <w:t>Aircraft</w:t>
      </w:r>
      <w:proofErr w:type="spellEnd"/>
      <w:r w:rsidRPr="00B962CA">
        <w:rPr>
          <w:sz w:val="24"/>
          <w:lang w:val="es-ES_tradnl"/>
        </w:rPr>
        <w:t xml:space="preserve"> </w:t>
      </w:r>
      <w:proofErr w:type="spellStart"/>
      <w:r w:rsidRPr="00B962CA">
        <w:rPr>
          <w:sz w:val="24"/>
          <w:lang w:val="es-ES_tradnl"/>
        </w:rPr>
        <w:t>Certified</w:t>
      </w:r>
      <w:proofErr w:type="spellEnd"/>
      <w:r w:rsidRPr="00B962CA">
        <w:rPr>
          <w:sz w:val="24"/>
          <w:lang w:val="es-ES_tradnl"/>
        </w:rPr>
        <w:t xml:space="preserve"> in the </w:t>
      </w:r>
      <w:proofErr w:type="spellStart"/>
      <w:r w:rsidRPr="00B962CA">
        <w:rPr>
          <w:sz w:val="24"/>
          <w:lang w:val="es-ES_tradnl"/>
        </w:rPr>
        <w:t>Enhanced</w:t>
      </w:r>
      <w:proofErr w:type="spellEnd"/>
      <w:r w:rsidRPr="00B962CA">
        <w:rPr>
          <w:sz w:val="24"/>
          <w:lang w:val="es-ES_tradnl"/>
        </w:rPr>
        <w:t xml:space="preserve"> </w:t>
      </w:r>
      <w:proofErr w:type="spellStart"/>
      <w:r w:rsidRPr="00B962CA">
        <w:rPr>
          <w:sz w:val="24"/>
          <w:lang w:val="es-ES_tradnl"/>
        </w:rPr>
        <w:t>Category</w:t>
      </w:r>
      <w:proofErr w:type="spellEnd"/>
      <w:r w:rsidRPr="00B962CA">
        <w:rPr>
          <w:sz w:val="24"/>
          <w:lang w:val="es-ES_tradnl"/>
        </w:rPr>
        <w:t xml:space="preserve"> (PTS-VPT-DSN)» [</w:t>
      </w:r>
      <w:proofErr w:type="spellStart"/>
      <w:r w:rsidRPr="00B962CA">
        <w:rPr>
          <w:sz w:val="24"/>
          <w:lang w:val="es-ES_tradnl"/>
        </w:rPr>
        <w:t>Vertipuertos</w:t>
      </w:r>
      <w:proofErr w:type="spellEnd"/>
      <w:r w:rsidRPr="00B962CA">
        <w:rPr>
          <w:sz w:val="24"/>
          <w:lang w:val="es-ES_tradnl"/>
        </w:rPr>
        <w:t xml:space="preserve">. Especificaciones técnicas para prototipos destinados al diseño de </w:t>
      </w:r>
      <w:proofErr w:type="spellStart"/>
      <w:r w:rsidRPr="00B962CA">
        <w:rPr>
          <w:sz w:val="24"/>
          <w:lang w:val="es-ES_tradnl"/>
        </w:rPr>
        <w:t>vertipuertos</w:t>
      </w:r>
      <w:proofErr w:type="spellEnd"/>
      <w:r w:rsidRPr="00B962CA">
        <w:rPr>
          <w:sz w:val="24"/>
          <w:lang w:val="es-ES_tradnl"/>
        </w:rPr>
        <w:t xml:space="preserve"> VFR para su funcionamiento con aeronaves tripuladas con capacidad VTOL certificadas en la categoría «</w:t>
      </w:r>
      <w:proofErr w:type="spellStart"/>
      <w:r w:rsidRPr="00B962CA">
        <w:rPr>
          <w:sz w:val="24"/>
          <w:lang w:val="es-ES_tradnl"/>
        </w:rPr>
        <w:t>enhanced</w:t>
      </w:r>
      <w:proofErr w:type="spellEnd"/>
      <w:r w:rsidRPr="00B962CA">
        <w:rPr>
          <w:sz w:val="24"/>
          <w:lang w:val="es-ES_tradnl"/>
        </w:rPr>
        <w:t>» (mejorada) (PTS-VPT-DSN)], marzo de 2022.</w:t>
      </w:r>
    </w:p>
  </w:footnote>
  <w:footnote w:id="18">
    <w:p w:rsidR="005D246C" w:rsidRPr="00B962CA" w:rsidRDefault="005D246C" w:rsidP="00B962CA">
      <w:pPr>
        <w:pStyle w:val="FootnoteText"/>
        <w:ind w:left="567" w:hanging="567"/>
        <w:rPr>
          <w:sz w:val="24"/>
          <w:lang w:val="es-ES_tradnl"/>
        </w:rPr>
      </w:pPr>
      <w:r w:rsidRPr="00B962CA">
        <w:rPr>
          <w:rStyle w:val="FootnoteReference"/>
          <w:sz w:val="24"/>
          <w:lang w:val="es-ES_tradnl"/>
        </w:rPr>
        <w:footnoteRef/>
      </w:r>
      <w:r w:rsidR="00B962CA" w:rsidRPr="00B962CA">
        <w:rPr>
          <w:sz w:val="24"/>
          <w:lang w:val="es-ES_tradnl"/>
        </w:rPr>
        <w:t xml:space="preserve"> </w:t>
      </w:r>
      <w:r w:rsidR="00B962CA" w:rsidRPr="00B962CA">
        <w:rPr>
          <w:sz w:val="24"/>
          <w:lang w:val="es-ES_tradnl"/>
        </w:rPr>
        <w:tab/>
      </w:r>
      <w:hyperlink r:id="rId9" w:history="1">
        <w:r w:rsidRPr="00B962CA">
          <w:rPr>
            <w:rStyle w:val="Hyperlink"/>
            <w:i/>
            <w:sz w:val="24"/>
            <w:lang w:val="es-ES_tradnl"/>
          </w:rPr>
          <w:t xml:space="preserve">«Target True Zero: </w:t>
        </w:r>
        <w:proofErr w:type="spellStart"/>
        <w:r w:rsidRPr="00B962CA">
          <w:rPr>
            <w:rStyle w:val="Hyperlink"/>
            <w:i/>
            <w:sz w:val="24"/>
            <w:lang w:val="es-ES_tradnl"/>
          </w:rPr>
          <w:t>Delivering</w:t>
        </w:r>
        <w:proofErr w:type="spellEnd"/>
        <w:r w:rsidRPr="00B962CA">
          <w:rPr>
            <w:rStyle w:val="Hyperlink"/>
            <w:i/>
            <w:sz w:val="24"/>
            <w:lang w:val="es-ES_tradnl"/>
          </w:rPr>
          <w:t xml:space="preserve"> the </w:t>
        </w:r>
        <w:proofErr w:type="spellStart"/>
        <w:r w:rsidRPr="00B962CA">
          <w:rPr>
            <w:rStyle w:val="Hyperlink"/>
            <w:i/>
            <w:sz w:val="24"/>
            <w:lang w:val="es-ES_tradnl"/>
          </w:rPr>
          <w:t>Infrastructure</w:t>
        </w:r>
        <w:proofErr w:type="spellEnd"/>
        <w:r w:rsidRPr="00B962CA">
          <w:rPr>
            <w:rStyle w:val="Hyperlink"/>
            <w:i/>
            <w:sz w:val="24"/>
            <w:lang w:val="es-ES_tradnl"/>
          </w:rPr>
          <w:t xml:space="preserve"> for </w:t>
        </w:r>
        <w:proofErr w:type="spellStart"/>
        <w:r w:rsidRPr="00B962CA">
          <w:rPr>
            <w:rStyle w:val="Hyperlink"/>
            <w:i/>
            <w:sz w:val="24"/>
            <w:lang w:val="es-ES_tradnl"/>
          </w:rPr>
          <w:t>Battery</w:t>
        </w:r>
        <w:proofErr w:type="spellEnd"/>
        <w:r w:rsidRPr="00B962CA">
          <w:rPr>
            <w:rStyle w:val="Hyperlink"/>
            <w:i/>
            <w:sz w:val="24"/>
            <w:lang w:val="es-ES_tradnl"/>
          </w:rPr>
          <w:t xml:space="preserve"> and </w:t>
        </w:r>
        <w:proofErr w:type="spellStart"/>
        <w:r w:rsidRPr="00B962CA">
          <w:rPr>
            <w:rStyle w:val="Hyperlink"/>
            <w:i/>
            <w:sz w:val="24"/>
            <w:lang w:val="es-ES_tradnl"/>
          </w:rPr>
          <w:t>Hydrogen-Powered</w:t>
        </w:r>
        <w:proofErr w:type="spellEnd"/>
        <w:r w:rsidRPr="00B962CA">
          <w:rPr>
            <w:rStyle w:val="Hyperlink"/>
            <w:i/>
            <w:sz w:val="24"/>
            <w:lang w:val="es-ES_tradnl"/>
          </w:rPr>
          <w:t xml:space="preserve"> Flight»</w:t>
        </w:r>
      </w:hyperlink>
      <w:r w:rsidRPr="00B962CA">
        <w:rPr>
          <w:sz w:val="24"/>
          <w:lang w:val="es-ES_tradnl"/>
        </w:rPr>
        <w:t xml:space="preserve"> (Objetivo cero emisiones: creación de la infraestructura para los vuelos impulsados por baterías o por hidrógeno), Foro Económico Mundial, abril de 2023, pp. 10-15.</w:t>
      </w:r>
    </w:p>
  </w:footnote>
  <w:footnote w:id="19">
    <w:p w:rsidR="005D246C" w:rsidRPr="00B962CA" w:rsidRDefault="005D246C" w:rsidP="00B962CA">
      <w:pPr>
        <w:pStyle w:val="FootnoteText"/>
        <w:ind w:left="567" w:hanging="567"/>
        <w:rPr>
          <w:sz w:val="24"/>
          <w:lang w:val="es-ES_tradnl"/>
        </w:rPr>
      </w:pPr>
      <w:r w:rsidRPr="00B962CA">
        <w:rPr>
          <w:rStyle w:val="FootnoteReference"/>
          <w:sz w:val="24"/>
          <w:lang w:val="es-ES_tradnl"/>
        </w:rPr>
        <w:footnoteRef/>
      </w:r>
      <w:r w:rsidR="00B962CA" w:rsidRPr="00B962CA">
        <w:rPr>
          <w:sz w:val="24"/>
          <w:lang w:val="es-ES_tradnl"/>
        </w:rPr>
        <w:t xml:space="preserve"> </w:t>
      </w:r>
      <w:r w:rsidR="00B962CA" w:rsidRPr="00B962CA">
        <w:rPr>
          <w:sz w:val="24"/>
          <w:lang w:val="es-ES_tradnl"/>
        </w:rPr>
        <w:tab/>
      </w:r>
      <w:r w:rsidRPr="00B962CA">
        <w:rPr>
          <w:sz w:val="24"/>
          <w:lang w:val="es-ES_tradnl"/>
        </w:rPr>
        <w:t>Reglamento (UE) 2023/1804 del Parlamento Europeo y del Consejo, de 13 de septiembre de 2023, relativo a la implantación de una infraestructura para los combustibles alternativos y por el que se deroga la Directiva 2014/94/UE (DO L 234 de 22.9.2023, p. 1).</w:t>
      </w:r>
    </w:p>
  </w:footnote>
  <w:footnote w:id="20">
    <w:p w:rsidR="005D246C" w:rsidRPr="00B962CA" w:rsidRDefault="005D246C" w:rsidP="00B962CA">
      <w:pPr>
        <w:pStyle w:val="FootnoteText"/>
        <w:ind w:left="567" w:hanging="567"/>
        <w:rPr>
          <w:sz w:val="24"/>
          <w:lang w:val="es-ES_tradnl"/>
        </w:rPr>
      </w:pPr>
      <w:r w:rsidRPr="00B962CA">
        <w:rPr>
          <w:rStyle w:val="FootnoteReference"/>
          <w:sz w:val="24"/>
          <w:lang w:val="es-ES_tradnl"/>
        </w:rPr>
        <w:footnoteRef/>
      </w:r>
      <w:r w:rsidR="00B962CA" w:rsidRPr="00B962CA">
        <w:rPr>
          <w:sz w:val="24"/>
          <w:lang w:val="es-ES_tradnl"/>
        </w:rPr>
        <w:t xml:space="preserve"> </w:t>
      </w:r>
      <w:r w:rsidR="00B962CA" w:rsidRPr="00B962CA">
        <w:rPr>
          <w:sz w:val="24"/>
          <w:lang w:val="es-ES_tradnl"/>
        </w:rPr>
        <w:tab/>
      </w:r>
      <w:hyperlink r:id="rId10" w:history="1">
        <w:r w:rsidRPr="00B962CA">
          <w:rPr>
            <w:rStyle w:val="Hyperlink"/>
            <w:sz w:val="24"/>
            <w:lang w:val="es-ES_tradnl"/>
          </w:rPr>
          <w:t xml:space="preserve">«Airbus and Renault </w:t>
        </w:r>
        <w:proofErr w:type="spellStart"/>
        <w:r w:rsidRPr="00B962CA">
          <w:rPr>
            <w:rStyle w:val="Hyperlink"/>
            <w:sz w:val="24"/>
            <w:lang w:val="es-ES_tradnl"/>
          </w:rPr>
          <w:t>Group</w:t>
        </w:r>
        <w:proofErr w:type="spellEnd"/>
        <w:r w:rsidRPr="00B962CA">
          <w:rPr>
            <w:rStyle w:val="Hyperlink"/>
            <w:sz w:val="24"/>
            <w:lang w:val="es-ES_tradnl"/>
          </w:rPr>
          <w:t xml:space="preserve"> to </w:t>
        </w:r>
        <w:proofErr w:type="spellStart"/>
        <w:r w:rsidRPr="00B962CA">
          <w:rPr>
            <w:rStyle w:val="Hyperlink"/>
            <w:sz w:val="24"/>
            <w:lang w:val="es-ES_tradnl"/>
          </w:rPr>
          <w:t>advance</w:t>
        </w:r>
        <w:proofErr w:type="spellEnd"/>
        <w:r w:rsidRPr="00B962CA">
          <w:rPr>
            <w:rStyle w:val="Hyperlink"/>
            <w:sz w:val="24"/>
            <w:lang w:val="es-ES_tradnl"/>
          </w:rPr>
          <w:t xml:space="preserve"> </w:t>
        </w:r>
        <w:proofErr w:type="spellStart"/>
        <w:r w:rsidRPr="00B962CA">
          <w:rPr>
            <w:rStyle w:val="Hyperlink"/>
            <w:sz w:val="24"/>
            <w:lang w:val="es-ES_tradnl"/>
          </w:rPr>
          <w:t>research</w:t>
        </w:r>
        <w:proofErr w:type="spellEnd"/>
        <w:r w:rsidRPr="00B962CA">
          <w:rPr>
            <w:rStyle w:val="Hyperlink"/>
            <w:sz w:val="24"/>
            <w:lang w:val="es-ES_tradnl"/>
          </w:rPr>
          <w:t xml:space="preserve"> on </w:t>
        </w:r>
        <w:proofErr w:type="spellStart"/>
        <w:r w:rsidRPr="00B962CA">
          <w:rPr>
            <w:rStyle w:val="Hyperlink"/>
            <w:sz w:val="24"/>
            <w:lang w:val="es-ES_tradnl"/>
          </w:rPr>
          <w:t>electrification</w:t>
        </w:r>
        <w:proofErr w:type="spellEnd"/>
        <w:r w:rsidRPr="00B962CA">
          <w:rPr>
            <w:rStyle w:val="Hyperlink"/>
            <w:sz w:val="24"/>
            <w:lang w:val="es-ES_tradnl"/>
          </w:rPr>
          <w:t>»</w:t>
        </w:r>
      </w:hyperlink>
      <w:r w:rsidRPr="00B962CA">
        <w:rPr>
          <w:sz w:val="24"/>
          <w:lang w:val="es-ES_tradnl"/>
        </w:rPr>
        <w:t xml:space="preserve"> (Airbus y el Grupo Renault impulsarán la investigación sobre electrificación).</w:t>
      </w:r>
    </w:p>
  </w:footnote>
  <w:footnote w:id="21">
    <w:p w:rsidR="005D246C" w:rsidRPr="00B962CA" w:rsidRDefault="005D246C" w:rsidP="00B962CA">
      <w:pPr>
        <w:pStyle w:val="FootnoteText"/>
        <w:ind w:left="567" w:hanging="567"/>
        <w:rPr>
          <w:sz w:val="24"/>
          <w:lang w:val="es-ES_tradnl"/>
        </w:rPr>
      </w:pPr>
      <w:r w:rsidRPr="00B962CA">
        <w:rPr>
          <w:rStyle w:val="FootnoteReference"/>
          <w:sz w:val="24"/>
          <w:lang w:val="es-ES_tradnl"/>
        </w:rPr>
        <w:footnoteRef/>
      </w:r>
      <w:r w:rsidR="00B962CA" w:rsidRPr="00B962CA">
        <w:rPr>
          <w:sz w:val="24"/>
          <w:lang w:val="es-ES_tradnl"/>
        </w:rPr>
        <w:t xml:space="preserve"> </w:t>
      </w:r>
      <w:r w:rsidR="00B962CA" w:rsidRPr="00B962CA">
        <w:rPr>
          <w:sz w:val="24"/>
          <w:lang w:val="es-ES_tradnl"/>
        </w:rPr>
        <w:tab/>
      </w:r>
      <w:r w:rsidRPr="00B962CA">
        <w:rPr>
          <w:sz w:val="24"/>
          <w:lang w:val="es-ES_tradnl"/>
        </w:rPr>
        <w:t xml:space="preserve">Directiva (UE) 2023/959 del Parlamento Europeo y del Consejo, de 10 de mayo de 2023, que modifica la Directiva 2003/87/CE por la que se establece un régimen para el comercio de derechos de emisión de gases de efecto invernadero en la Unión y la Decisión (UE) 2015/1814, relativa al establecimiento y funcionamiento de una reserva de estabilidad del mercado en el marco del régimen para el comercio de derechos de emisión de gases de efecto invernadero en la Unión (DO L 130 de 16.5.2023, p. 134). </w:t>
      </w:r>
    </w:p>
  </w:footnote>
  <w:footnote w:id="22">
    <w:p w:rsidR="005D246C" w:rsidRPr="00B962CA" w:rsidRDefault="005D246C" w:rsidP="00B962CA">
      <w:pPr>
        <w:pStyle w:val="FootnoteText"/>
        <w:ind w:left="567" w:hanging="567"/>
        <w:rPr>
          <w:sz w:val="24"/>
          <w:lang w:val="es-ES_tradnl"/>
        </w:rPr>
      </w:pPr>
      <w:r w:rsidRPr="00B962CA">
        <w:rPr>
          <w:rStyle w:val="FootnoteReference"/>
          <w:sz w:val="24"/>
          <w:lang w:val="es-ES_tradnl"/>
        </w:rPr>
        <w:footnoteRef/>
      </w:r>
      <w:r w:rsidR="00B962CA" w:rsidRPr="00B962CA">
        <w:rPr>
          <w:sz w:val="24"/>
          <w:lang w:val="es-ES_tradnl"/>
        </w:rPr>
        <w:t xml:space="preserve"> </w:t>
      </w:r>
      <w:r w:rsidR="00B962CA" w:rsidRPr="00B962CA">
        <w:rPr>
          <w:sz w:val="24"/>
          <w:lang w:val="es-ES_tradnl"/>
        </w:rPr>
        <w:tab/>
      </w:r>
      <w:r w:rsidRPr="00B962CA">
        <w:rPr>
          <w:sz w:val="24"/>
          <w:lang w:val="es-ES_tradnl"/>
        </w:rPr>
        <w:t>Directiva 2003/96/CE del Consejo, de 27 de octubre de 2003, por la que se reestructura el régimen comunitario de imposición de los productos energéticos y de la electricidad (DO L 283 de 31.10.2003, p. 51).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2C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2C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2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8/2023"/>
    <w:docVar w:name="dvlangue" w:val="ES"/>
    <w:docVar w:name="dvnumam" w:val="0"/>
    <w:docVar w:name="dvpe" w:val="751.901"/>
    <w:docVar w:name="dvrapporteur" w:val="Ponente: "/>
    <w:docVar w:name="dvtitre" w:val="Resolución del Parlamento Europeo, de 16 de enero de 2024, sobre la aviación eléctrica: una solución para los vuelos de corta y media distancia(2023/2060(INI))"/>
  </w:docVars>
  <w:rsids>
    <w:rsidRoot w:val="00852F92"/>
    <w:rsid w:val="00002272"/>
    <w:rsid w:val="00064002"/>
    <w:rsid w:val="000677B9"/>
    <w:rsid w:val="000831BA"/>
    <w:rsid w:val="000A42CC"/>
    <w:rsid w:val="000E7DD9"/>
    <w:rsid w:val="0010095E"/>
    <w:rsid w:val="00125B37"/>
    <w:rsid w:val="00187494"/>
    <w:rsid w:val="001F32AE"/>
    <w:rsid w:val="002767FF"/>
    <w:rsid w:val="002B18FE"/>
    <w:rsid w:val="002B5493"/>
    <w:rsid w:val="00312A3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246C"/>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2F92"/>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62CA"/>
    <w:rsid w:val="00BD48FE"/>
    <w:rsid w:val="00BD7BD8"/>
    <w:rsid w:val="00BE6ADC"/>
    <w:rsid w:val="00C05BFE"/>
    <w:rsid w:val="00C23CD4"/>
    <w:rsid w:val="00C45217"/>
    <w:rsid w:val="00C61C0C"/>
    <w:rsid w:val="00C941CB"/>
    <w:rsid w:val="00CC2357"/>
    <w:rsid w:val="00CF071A"/>
    <w:rsid w:val="00D058B8"/>
    <w:rsid w:val="00D56C11"/>
    <w:rsid w:val="00D834A0"/>
    <w:rsid w:val="00D872DF"/>
    <w:rsid w:val="00D91E21"/>
    <w:rsid w:val="00DA7FCD"/>
    <w:rsid w:val="00E2038D"/>
    <w:rsid w:val="00E365E1"/>
    <w:rsid w:val="00E820A4"/>
    <w:rsid w:val="00EB006A"/>
    <w:rsid w:val="00EB1EB8"/>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8EF7D2"/>
  <w15:chartTrackingRefBased/>
  <w15:docId w15:val="{9F5020A0-43F3-4005-9747-292CF787F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D246C"/>
    <w:pPr>
      <w:spacing w:after="240"/>
      <w:ind w:left="567" w:hanging="567"/>
    </w:pPr>
  </w:style>
  <w:style w:type="paragraph" w:customStyle="1" w:styleId="EPComma">
    <w:name w:val="EPComma"/>
    <w:basedOn w:val="Normal"/>
    <w:rsid w:val="005D246C"/>
    <w:pPr>
      <w:spacing w:before="480" w:after="240"/>
    </w:pPr>
  </w:style>
  <w:style w:type="character" w:styleId="Hyperlink">
    <w:name w:val="Hyperlink"/>
    <w:basedOn w:val="DefaultParagraphFont"/>
    <w:uiPriority w:val="99"/>
    <w:unhideWhenUsed/>
    <w:rsid w:val="005D246C"/>
    <w:rPr>
      <w:color w:val="0000FF"/>
      <w:u w:val="single"/>
    </w:rPr>
  </w:style>
  <w:style w:type="character" w:customStyle="1" w:styleId="NormalHanging12aChar">
    <w:name w:val="NormalHanging12a Char"/>
    <w:basedOn w:val="DefaultParagraphFont"/>
    <w:link w:val="NormalHanging12a"/>
    <w:rsid w:val="005D246C"/>
    <w:rPr>
      <w:sz w:val="24"/>
      <w:lang w:val="es-ES_tradnl"/>
    </w:rPr>
  </w:style>
  <w:style w:type="paragraph" w:styleId="BalloonText">
    <w:name w:val="Balloon Text"/>
    <w:basedOn w:val="Normal"/>
    <w:link w:val="BalloonTextChar"/>
    <w:rsid w:val="00C45217"/>
    <w:rPr>
      <w:rFonts w:ascii="Segoe UI" w:hAnsi="Segoe UI" w:cs="Segoe UI"/>
      <w:sz w:val="18"/>
      <w:szCs w:val="18"/>
    </w:rPr>
  </w:style>
  <w:style w:type="character" w:customStyle="1" w:styleId="BalloonTextChar">
    <w:name w:val="Balloon Text Char"/>
    <w:basedOn w:val="DefaultParagraphFont"/>
    <w:link w:val="BalloonText"/>
    <w:rsid w:val="00C45217"/>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asa.europa.eu/en/newsroom-and-events/press-releases/easa-publishes-worlds-first-proposal-assessment-and-limitation" TargetMode="External"/><Relationship Id="rId3" Type="http://schemas.openxmlformats.org/officeDocument/2006/relationships/hyperlink" Target="https://www.greenairnews.com/?p=824" TargetMode="External"/><Relationship Id="rId7" Type="http://schemas.openxmlformats.org/officeDocument/2006/relationships/hyperlink" Target="https://www.pipistrel-aircraft.com/products/velis-electro/" TargetMode="External"/><Relationship Id="rId2" Type="http://schemas.openxmlformats.org/officeDocument/2006/relationships/hyperlink" Target="https://aviationbenefits.org/environmental-efficiency/climate-action/waypoint-2050/" TargetMode="External"/><Relationship Id="rId1" Type="http://schemas.openxmlformats.org/officeDocument/2006/relationships/hyperlink" Target="https://www.europarl.europa.eu/news/es/headlines/society/20191129STO67756/emissions-from-planes-and-ships-facts-and-figures-infographic" TargetMode="External"/><Relationship Id="rId6" Type="http://schemas.openxmlformats.org/officeDocument/2006/relationships/hyperlink" Target="https://www.iata.org/en/iata-repository/pressroom/fact-sheets/fact-sheet-new-aircraft-technology/" TargetMode="External"/><Relationship Id="rId5" Type="http://schemas.openxmlformats.org/officeDocument/2006/relationships/hyperlink" Target="https://www.airbus.com/en/newsroom/press-releases/2019-05-airbus-and-sas-scandinavian-airlines-sign-hybrid-and-electric" TargetMode="External"/><Relationship Id="rId10" Type="http://schemas.openxmlformats.org/officeDocument/2006/relationships/hyperlink" Target="https://www.airbus.com/en/newsroom/press-releases/2022-11-airbus-and-renault-group-to-advance-research-on-electrification" TargetMode="External"/><Relationship Id="rId4" Type="http://schemas.openxmlformats.org/officeDocument/2006/relationships/hyperlink" Target="https://www.icelandairgroup.com/newsroom/news/icelandair-signs-a-new-loi-with-heart-aerospace" TargetMode="External"/><Relationship Id="rId9" Type="http://schemas.openxmlformats.org/officeDocument/2006/relationships/hyperlink" Target="https://www3.weforum.org/docs/WEF_Target_True_Zero_202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238DD-BDDD-4270-BBAE-1082147AA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5625</Words>
  <Characters>30207</Characters>
  <Application>Microsoft Office Word</Application>
  <DocSecurity>0</DocSecurity>
  <Lines>943</Lines>
  <Paragraphs>459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ÁLVAREZ PENA Ana</cp:lastModifiedBy>
  <cp:revision>2</cp:revision>
  <cp:lastPrinted>2004-11-19T15:42:00Z</cp:lastPrinted>
  <dcterms:created xsi:type="dcterms:W3CDTF">2024-02-23T11:54:00Z</dcterms:created>
  <dcterms:modified xsi:type="dcterms:W3CDTF">2024-02-23T11:54:00Z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A9-0438/2023</vt:lpwstr>
  </property>
  <property fmtid="{D5CDD505-2E9C-101B-9397-08002B2CF9AE}" pid="4" name="&lt;Type&gt;">
    <vt:lpwstr>RR</vt:lpwstr>
  </property>
</Properties>
</file>