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28FA" w:rsidTr="0010095E">
        <w:trPr>
          <w:trHeight w:hRule="exact" w:val="1418"/>
        </w:trPr>
        <w:tc>
          <w:tcPr>
            <w:tcW w:w="6804" w:type="dxa"/>
            <w:shd w:val="clear" w:color="auto" w:fill="auto"/>
            <w:vAlign w:val="center"/>
          </w:tcPr>
          <w:p w:rsidR="00751A4A" w:rsidRPr="005128FA" w:rsidRDefault="00040084" w:rsidP="0010095E">
            <w:pPr>
              <w:pStyle w:val="EPName"/>
            </w:pPr>
            <w:r w:rsidRPr="005128FA">
              <w:t>Europos Parlamentas</w:t>
            </w:r>
          </w:p>
          <w:p w:rsidR="00751A4A" w:rsidRPr="005128FA" w:rsidRDefault="00817416" w:rsidP="00756632">
            <w:pPr>
              <w:pStyle w:val="EPTerm"/>
              <w:rPr>
                <w:rStyle w:val="HideTWBExt"/>
                <w:noProof w:val="0"/>
                <w:vanish w:val="0"/>
                <w:color w:val="auto"/>
              </w:rPr>
            </w:pPr>
            <w:r w:rsidRPr="005128FA">
              <w:t>2019-2024</w:t>
            </w:r>
          </w:p>
        </w:tc>
        <w:tc>
          <w:tcPr>
            <w:tcW w:w="2268" w:type="dxa"/>
            <w:shd w:val="clear" w:color="auto" w:fill="auto"/>
          </w:tcPr>
          <w:p w:rsidR="00751A4A" w:rsidRPr="005128FA" w:rsidRDefault="00187494" w:rsidP="0010095E">
            <w:pPr>
              <w:pStyle w:val="EPLogo"/>
            </w:pPr>
            <w:r w:rsidRPr="005128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128FA" w:rsidRDefault="00D058B8" w:rsidP="004C5D52">
      <w:pPr>
        <w:pStyle w:val="LineTop"/>
      </w:pPr>
    </w:p>
    <w:p w:rsidR="00680577" w:rsidRPr="005128FA" w:rsidRDefault="00040084" w:rsidP="00680577">
      <w:pPr>
        <w:pStyle w:val="EPBodyTA1"/>
      </w:pPr>
      <w:r w:rsidRPr="005128FA">
        <w:t>PRIIMTI TEKSTAI</w:t>
      </w:r>
    </w:p>
    <w:p w:rsidR="00D058B8" w:rsidRPr="005128FA" w:rsidRDefault="00D058B8" w:rsidP="00D058B8">
      <w:pPr>
        <w:pStyle w:val="LineBottom"/>
      </w:pPr>
    </w:p>
    <w:p w:rsidR="00040084" w:rsidRPr="005128FA" w:rsidRDefault="00040084" w:rsidP="00040084">
      <w:pPr>
        <w:pStyle w:val="ATHeading1"/>
      </w:pPr>
      <w:bookmarkStart w:id="0" w:name="TANumber"/>
      <w:r w:rsidRPr="005128FA">
        <w:t>P9_TA(2024)00</w:t>
      </w:r>
      <w:r w:rsidR="00AA1995">
        <w:t>14</w:t>
      </w:r>
      <w:bookmarkEnd w:id="0"/>
    </w:p>
    <w:p w:rsidR="00040084" w:rsidRPr="005128FA" w:rsidRDefault="00040084" w:rsidP="00040084">
      <w:pPr>
        <w:pStyle w:val="ATHeading2"/>
      </w:pPr>
      <w:bookmarkStart w:id="1" w:name="title"/>
      <w:r w:rsidRPr="005128FA">
        <w:t>Elektrinė aviacija – sprendimas trumpojo ir vidutinio nuotolio skrydžiams</w:t>
      </w:r>
      <w:bookmarkEnd w:id="1"/>
    </w:p>
    <w:p w:rsidR="00040084" w:rsidRPr="005128FA" w:rsidRDefault="00040084" w:rsidP="00040084">
      <w:pPr>
        <w:rPr>
          <w:i/>
          <w:vanish/>
        </w:rPr>
      </w:pPr>
      <w:r w:rsidRPr="005128FA">
        <w:rPr>
          <w:i/>
        </w:rPr>
        <w:fldChar w:fldCharType="begin"/>
      </w:r>
      <w:r w:rsidRPr="005128FA">
        <w:rPr>
          <w:i/>
        </w:rPr>
        <w:instrText xml:space="preserve"> TC"(</w:instrText>
      </w:r>
      <w:bookmarkStart w:id="2" w:name="DocNumber"/>
      <w:r w:rsidRPr="005128FA">
        <w:rPr>
          <w:i/>
        </w:rPr>
        <w:instrText>A9-0438/2023</w:instrText>
      </w:r>
      <w:bookmarkEnd w:id="2"/>
      <w:r w:rsidRPr="005128FA">
        <w:rPr>
          <w:i/>
        </w:rPr>
        <w:instrText xml:space="preserve"> - Pranešėjas: Erik Bergkvist)"\l3 \n&gt; \* MERGEFORMAT </w:instrText>
      </w:r>
      <w:r w:rsidRPr="005128FA">
        <w:rPr>
          <w:i/>
        </w:rPr>
        <w:fldChar w:fldCharType="end"/>
      </w:r>
    </w:p>
    <w:p w:rsidR="00040084" w:rsidRPr="005128FA" w:rsidRDefault="00040084" w:rsidP="00040084">
      <w:pPr>
        <w:rPr>
          <w:vanish/>
        </w:rPr>
      </w:pPr>
      <w:bookmarkStart w:id="3" w:name="Commission"/>
      <w:r w:rsidRPr="005128FA">
        <w:rPr>
          <w:vanish/>
        </w:rPr>
        <w:t>Transporto ir turizmo komitetas</w:t>
      </w:r>
      <w:bookmarkEnd w:id="3"/>
    </w:p>
    <w:p w:rsidR="00040084" w:rsidRPr="005128FA" w:rsidRDefault="00040084" w:rsidP="00040084">
      <w:pPr>
        <w:rPr>
          <w:vanish/>
        </w:rPr>
      </w:pPr>
      <w:bookmarkStart w:id="4" w:name="PE"/>
      <w:r w:rsidRPr="005128FA">
        <w:rPr>
          <w:vanish/>
        </w:rPr>
        <w:t>PE751.901</w:t>
      </w:r>
      <w:bookmarkEnd w:id="4"/>
    </w:p>
    <w:p w:rsidR="00040084" w:rsidRPr="005128FA" w:rsidRDefault="00040084" w:rsidP="00357BD0">
      <w:pPr>
        <w:pStyle w:val="ATHeading3"/>
      </w:pPr>
      <w:bookmarkStart w:id="5" w:name="Sujet"/>
      <w:r w:rsidRPr="005128FA">
        <w:t xml:space="preserve">2024 m. sausio </w:t>
      </w:r>
      <w:r w:rsidR="00AA1995">
        <w:t>16</w:t>
      </w:r>
      <w:bookmarkStart w:id="6" w:name="_GoBack"/>
      <w:bookmarkEnd w:id="6"/>
      <w:r w:rsidRPr="005128FA">
        <w:t xml:space="preserve"> d. Europos Parlamento rezoliucija dėl elektrinės aviacijos – sprendimo trumpojo ir vidutinio nuotolio skrydžiams</w:t>
      </w:r>
      <w:bookmarkEnd w:id="5"/>
      <w:r w:rsidRPr="005128FA">
        <w:t xml:space="preserve"> </w:t>
      </w:r>
      <w:bookmarkStart w:id="7" w:name="References"/>
      <w:r w:rsidRPr="005128FA">
        <w:t>(2023/2060(INI))</w:t>
      </w:r>
      <w:bookmarkEnd w:id="7"/>
    </w:p>
    <w:p w:rsidR="006D2CF6" w:rsidRPr="005128FA" w:rsidRDefault="006D2CF6" w:rsidP="006D2CF6">
      <w:pPr>
        <w:pStyle w:val="EPComma"/>
      </w:pPr>
      <w:bookmarkStart w:id="8" w:name="TextBodyBegin"/>
      <w:bookmarkEnd w:id="8"/>
      <w:r w:rsidRPr="005128FA">
        <w:rPr>
          <w:i/>
        </w:rPr>
        <w:t>Europos Parlamentas</w:t>
      </w:r>
      <w:r w:rsidRPr="005128FA">
        <w:t>,</w:t>
      </w:r>
    </w:p>
    <w:p w:rsidR="006D2CF6" w:rsidRPr="005128FA" w:rsidRDefault="006D2CF6" w:rsidP="006D2CF6">
      <w:pPr>
        <w:pStyle w:val="NormalHanging12a"/>
        <w:rPr>
          <w:i/>
        </w:rPr>
      </w:pPr>
      <w:r w:rsidRPr="005128FA">
        <w:t>–</w:t>
      </w:r>
      <w:r w:rsidRPr="005128FA">
        <w:tab/>
        <w:t>atsižvelgdamas į Sutartį dėl Europos Sąjungos veikimo, ypač į jos 90 straipsnį,</w:t>
      </w:r>
    </w:p>
    <w:p w:rsidR="006D2CF6" w:rsidRPr="005128FA" w:rsidRDefault="006D2CF6" w:rsidP="006D2CF6">
      <w:pPr>
        <w:pStyle w:val="NormalHanging12a"/>
      </w:pPr>
      <w:r w:rsidRPr="005128FA">
        <w:t>–</w:t>
      </w:r>
      <w:r w:rsidRPr="005128FA">
        <w:tab/>
        <w:t>atsižvelgdamas į Europos Sąjungos sutartį, ypač į jos 3 straipsnio 3 dalį,</w:t>
      </w:r>
    </w:p>
    <w:p w:rsidR="006D2CF6" w:rsidRPr="005128FA" w:rsidRDefault="006D2CF6" w:rsidP="006D2CF6">
      <w:pPr>
        <w:pStyle w:val="NormalHanging12a"/>
      </w:pPr>
      <w:r w:rsidRPr="005128FA">
        <w:t>–</w:t>
      </w:r>
      <w:r w:rsidRPr="005128FA">
        <w:tab/>
        <w:t>atsižvelgdamas į 2023 m. kovo 16 d. Komisijos pasiūlymą dėl Europos Parlamento ir Tarybos reglamento dėl priemonių sistemos Europos poveikio klimatui neutralizavimo technologijos produktų gamybos ekosistemai stiprinti sukūrimo (Poveikio klimatui neutralizavimo pramonės aktas) (COM(2023)0161),</w:t>
      </w:r>
    </w:p>
    <w:p w:rsidR="006D2CF6" w:rsidRPr="005128FA" w:rsidRDefault="006D2CF6" w:rsidP="006D2CF6">
      <w:pPr>
        <w:pStyle w:val="NormalHanging12a"/>
      </w:pPr>
      <w:r w:rsidRPr="005128FA">
        <w:t>–</w:t>
      </w:r>
      <w:r w:rsidRPr="005128FA">
        <w:tab/>
        <w:t>atsižvelgdamas į 2021 m. liepos 14 d. Komisijos pasiūlymą dėl Europos Parlamento ir Tarybos reglamento dėl alternatyviųjų degalų infrastruktūros diegimo, kuriuo panaikinama Europos Parlamento ir Tarybos direktyva 2014/94/ES (</w:t>
      </w:r>
      <w:r w:rsidRPr="005128FA">
        <w:rPr>
          <w:shd w:val="clear" w:color="auto" w:fill="FFFFFF"/>
        </w:rPr>
        <w:t>COM(2021)0559</w:t>
      </w:r>
      <w:r w:rsidRPr="005128FA">
        <w:t>),</w:t>
      </w:r>
    </w:p>
    <w:p w:rsidR="006D2CF6" w:rsidRPr="005128FA" w:rsidRDefault="006D2CF6" w:rsidP="006D2CF6">
      <w:pPr>
        <w:pStyle w:val="NormalHanging12a"/>
        <w:rPr>
          <w:szCs w:val="24"/>
        </w:rPr>
      </w:pPr>
      <w:r w:rsidRPr="005128FA">
        <w:t>–</w:t>
      </w:r>
      <w:r w:rsidRPr="005128FA">
        <w:tab/>
        <w:t>atsižvelgdamas į 2021 m. gruodžio 14 d. Komisijos pasiūlymą dėl Europos Parlamento ir Tarybos reglamento dėl Sąjungos transeuropinio transporto tinklo plėtros gairių, kuriuo iš dalies keičiamas Reglamentas (ES) 2021/1153 bei Reglamentas (ES) Nr. 913/2010 ir panaikinamas Reglamentas (ES) Nr. 1315/2013 (COM(2021)0812), visų pirma į jo 5 skirsnį dėl oro transporto infrastruktūros,</w:t>
      </w:r>
    </w:p>
    <w:p w:rsidR="006D2CF6" w:rsidRPr="005128FA" w:rsidRDefault="006D2CF6" w:rsidP="006D2CF6">
      <w:pPr>
        <w:pStyle w:val="NormalHanging12a"/>
        <w:rPr>
          <w:szCs w:val="24"/>
        </w:rPr>
      </w:pPr>
      <w:r w:rsidRPr="005128FA">
        <w:t>–</w:t>
      </w:r>
      <w:r w:rsidRPr="005128FA">
        <w:tab/>
        <w:t>atsižvelgdamas į 2018 m. birželio 7 d. Komisijos pasiūlymą dėl Europos Parlamento ir Tarybos reglamento dėl bendrosios mokslinių tyrimų ir inovacijų programos „Europos horizontas“ ir su ja susijusių dalyvavimo ir sklaidos taisyklių (</w:t>
      </w:r>
      <w:r w:rsidRPr="005128FA">
        <w:rPr>
          <w:shd w:val="clear" w:color="auto" w:fill="FFFFFF"/>
        </w:rPr>
        <w:t>COM(2018)0435</w:t>
      </w:r>
      <w:r w:rsidRPr="005128FA">
        <w:t>),</w:t>
      </w:r>
    </w:p>
    <w:p w:rsidR="006D2CF6" w:rsidRPr="005128FA" w:rsidRDefault="006D2CF6" w:rsidP="006D2CF6">
      <w:pPr>
        <w:pStyle w:val="NormalHanging12a"/>
        <w:rPr>
          <w:szCs w:val="24"/>
        </w:rPr>
      </w:pPr>
      <w:r w:rsidRPr="005128FA">
        <w:t>–</w:t>
      </w:r>
      <w:r w:rsidRPr="005128FA">
        <w:tab/>
        <w:t>atsižvelgdamas į 2013 m. birželio 11 d. Komisijos pasiūlymą dėl Europos Parlamento ir Tarybos reglamento dėl Bendro Europos dangaus iniciatyvos įgyvendinimo (COM(2013)0410),</w:t>
      </w:r>
    </w:p>
    <w:p w:rsidR="006D2CF6" w:rsidRPr="005128FA" w:rsidRDefault="006D2CF6" w:rsidP="006D2CF6">
      <w:pPr>
        <w:pStyle w:val="NormalHanging12a"/>
        <w:rPr>
          <w:szCs w:val="24"/>
        </w:rPr>
      </w:pPr>
      <w:r w:rsidRPr="005128FA">
        <w:t>–</w:t>
      </w:r>
      <w:r w:rsidRPr="005128FA">
        <w:tab/>
        <w:t>atsižvelgdamas į 2022 m. lapkričio 29 d. Komisijos komunikatą „Dronų strategija 2.0, kuria siekiama pažangios ir darnios bepiločių orlaivių ekosistemos Europoje“ (COM(2022)0652),</w:t>
      </w:r>
    </w:p>
    <w:p w:rsidR="006D2CF6" w:rsidRPr="005128FA" w:rsidRDefault="006D2CF6" w:rsidP="006D2CF6">
      <w:pPr>
        <w:pStyle w:val="NormalHanging12a"/>
        <w:rPr>
          <w:szCs w:val="24"/>
        </w:rPr>
      </w:pPr>
      <w:r w:rsidRPr="005128FA">
        <w:lastRenderedPageBreak/>
        <w:t>–</w:t>
      </w:r>
      <w:r w:rsidRPr="005128FA">
        <w:tab/>
        <w:t>atsižvelgdamas į 2020 m. gruodžio 9 d. Komisijos komunikatą „Darnaus ir išmanaus judumo strategija. Europos transporto kelias į ateitį“ (COM(2020)0789),</w:t>
      </w:r>
    </w:p>
    <w:p w:rsidR="006D2CF6" w:rsidRPr="005128FA" w:rsidRDefault="006D2CF6" w:rsidP="006D2CF6">
      <w:pPr>
        <w:pStyle w:val="NormalHanging12a"/>
        <w:rPr>
          <w:szCs w:val="24"/>
        </w:rPr>
      </w:pPr>
      <w:r w:rsidRPr="005128FA">
        <w:t>–</w:t>
      </w:r>
      <w:r w:rsidRPr="005128FA">
        <w:tab/>
        <w:t>atsižvelgdamas į 2021 m. birželio 30 d. Europos Parlamento ir Tarybos reglamentą (ES) 2021/1119, kuriuo nustatoma poveikio klimatui neutralumo pasiekimo sistema ir iš dalies keičiami reglamentai (EB) Nr. 401/2009 ir (ES) 2018/1999 (Europos klimato teisės aktas)</w:t>
      </w:r>
      <w:r w:rsidRPr="005128FA">
        <w:rPr>
          <w:rStyle w:val="FootnoteReference"/>
          <w:szCs w:val="24"/>
        </w:rPr>
        <w:footnoteReference w:id="1"/>
      </w:r>
      <w:r w:rsidRPr="005128FA">
        <w:t>, kuriuo Europos žaliojo kurso tikslai įtraukti į teisės aktus,</w:t>
      </w:r>
    </w:p>
    <w:p w:rsidR="006D2CF6" w:rsidRPr="005128FA" w:rsidRDefault="006D2CF6" w:rsidP="006D2CF6">
      <w:pPr>
        <w:pStyle w:val="NormalHanging12a"/>
        <w:rPr>
          <w:bCs/>
          <w:szCs w:val="24"/>
        </w:rPr>
      </w:pPr>
      <w:r w:rsidRPr="005128FA">
        <w:t>–</w:t>
      </w:r>
      <w:r w:rsidRPr="005128FA">
        <w:tab/>
        <w:t>atsižvelgdamas į 2014 m. balandžio 16 d. Europos Parlamento ir Tarybos reglamentą (ES) Nr. 598/2014, kuriuo pagal darnųjį metodą nustatomos su triukšmu susijusių naudojimo apribojimų taikymo Sąjungos oro uostuose taisyklės ir procedūros ir panaikinama Direktyva 2002/30/EB</w:t>
      </w:r>
      <w:r w:rsidRPr="005128FA">
        <w:rPr>
          <w:rStyle w:val="FootnoteReference"/>
          <w:bCs/>
          <w:szCs w:val="24"/>
        </w:rPr>
        <w:footnoteReference w:id="2"/>
      </w:r>
      <w:r w:rsidRPr="005128FA">
        <w:t>,</w:t>
      </w:r>
    </w:p>
    <w:p w:rsidR="006D2CF6" w:rsidRPr="005128FA" w:rsidRDefault="006D2CF6" w:rsidP="006D2CF6">
      <w:pPr>
        <w:pStyle w:val="NormalHanging12a"/>
        <w:rPr>
          <w:szCs w:val="24"/>
        </w:rPr>
      </w:pPr>
      <w:r w:rsidRPr="005128FA">
        <w:t>–</w:t>
      </w:r>
      <w:r w:rsidRPr="005128FA">
        <w:tab/>
        <w:t>atsižvelgdama į 2003 m. spalio 13 d. Europos Parlamento ir Tarybos direktyvą 2003/87/EB, nustatančią šiltnamio efektą sukeliančių dujų emisijos leidimų sistemą Sąjungoje ir iš dalies keičiančią Tarybos direktyvą 96/61/EB</w:t>
      </w:r>
      <w:r w:rsidRPr="005128FA">
        <w:rPr>
          <w:rStyle w:val="FootnoteReference"/>
          <w:szCs w:val="24"/>
        </w:rPr>
        <w:footnoteReference w:id="3"/>
      </w:r>
      <w:r w:rsidRPr="005128FA">
        <w:t>, ypač į inovacijų fondo įsteigimą,</w:t>
      </w:r>
    </w:p>
    <w:p w:rsidR="006D2CF6" w:rsidRPr="005128FA" w:rsidRDefault="006D2CF6" w:rsidP="006D2CF6">
      <w:pPr>
        <w:pStyle w:val="NormalHanging12a"/>
        <w:rPr>
          <w:szCs w:val="24"/>
        </w:rPr>
      </w:pPr>
      <w:r w:rsidRPr="005128FA">
        <w:t>–</w:t>
      </w:r>
      <w:r w:rsidRPr="005128FA">
        <w:tab/>
        <w:t>atsižvelgdamas į Europos žaliąjį kursą, kuriuo ES siekiama padėti vykdyti žaliąją pertvarką, o galutinis tikslas – iki 2050 m. užtikrinti poveikio klimatui neutralumą,</w:t>
      </w:r>
    </w:p>
    <w:p w:rsidR="006D2CF6" w:rsidRPr="005128FA" w:rsidRDefault="006D2CF6" w:rsidP="006D2CF6">
      <w:pPr>
        <w:pStyle w:val="NormalHanging12a"/>
        <w:rPr>
          <w:szCs w:val="24"/>
        </w:rPr>
      </w:pPr>
      <w:r w:rsidRPr="005128FA">
        <w:t>–</w:t>
      </w:r>
      <w:r w:rsidRPr="005128FA">
        <w:tab/>
        <w:t>atsižvelgdamas į priimtą 55 % tikslo priemonių rinkinį ir į jį įtrauktus pasiūlymus, visų pirma pasiūlymą didinti tvarių aviacinių degalų gamybą ir naudojimą, dar vadinamą iniciatyva „ReFuelEU Aviation“, ir pasiūlymą peržiūrėti ES apyvartinių taršos leidimų prekybos sistemas (ATLPS) dėl aviacijos sektoriuje išmetamo CO</w:t>
      </w:r>
      <w:r w:rsidRPr="005128FA">
        <w:rPr>
          <w:vertAlign w:val="subscript"/>
        </w:rPr>
        <w:t>2</w:t>
      </w:r>
      <w:r w:rsidRPr="005128FA">
        <w:t xml:space="preserve"> kiekio,</w:t>
      </w:r>
    </w:p>
    <w:p w:rsidR="006D2CF6" w:rsidRPr="005128FA" w:rsidRDefault="006D2CF6" w:rsidP="006D2CF6">
      <w:pPr>
        <w:pStyle w:val="NormalHanging12a"/>
        <w:rPr>
          <w:szCs w:val="24"/>
        </w:rPr>
      </w:pPr>
      <w:r w:rsidRPr="005128FA">
        <w:t>–</w:t>
      </w:r>
      <w:r w:rsidRPr="005128FA">
        <w:tab/>
        <w:t>atsižvelgdamas į savo 2023 m. gegužės 9 d. rezoliuciją dėl naujos ES judumo mieste sistemos</w:t>
      </w:r>
      <w:r w:rsidRPr="005128FA">
        <w:rPr>
          <w:rStyle w:val="FootnoteReference"/>
          <w:szCs w:val="24"/>
        </w:rPr>
        <w:footnoteReference w:id="4"/>
      </w:r>
      <w:r w:rsidRPr="005128FA">
        <w:t>,</w:t>
      </w:r>
    </w:p>
    <w:p w:rsidR="006D2CF6" w:rsidRPr="005128FA" w:rsidRDefault="006D2CF6" w:rsidP="006D2CF6">
      <w:pPr>
        <w:pStyle w:val="NormalHanging12a"/>
        <w:rPr>
          <w:szCs w:val="24"/>
        </w:rPr>
      </w:pPr>
      <w:r w:rsidRPr="005128FA">
        <w:t>–</w:t>
      </w:r>
      <w:r w:rsidRPr="005128FA">
        <w:tab/>
        <w:t>atsižvelgdamas į savo 2015 m. lapkričio 11 d. rezoliuciją dėl aviacijos</w:t>
      </w:r>
      <w:r w:rsidRPr="005128FA">
        <w:rPr>
          <w:rStyle w:val="FootnoteReference"/>
          <w:szCs w:val="24"/>
        </w:rPr>
        <w:footnoteReference w:id="5"/>
      </w:r>
      <w:r w:rsidRPr="005128FA">
        <w:t>,</w:t>
      </w:r>
    </w:p>
    <w:p w:rsidR="006D2CF6" w:rsidRPr="005128FA" w:rsidRDefault="006D2CF6" w:rsidP="006D2CF6">
      <w:pPr>
        <w:pStyle w:val="NormalHanging12a"/>
        <w:rPr>
          <w:bCs/>
          <w:szCs w:val="24"/>
        </w:rPr>
      </w:pPr>
      <w:r w:rsidRPr="005128FA">
        <w:t>–</w:t>
      </w:r>
      <w:r w:rsidRPr="005128FA">
        <w:rPr>
          <w:b/>
        </w:rPr>
        <w:tab/>
      </w:r>
      <w:r w:rsidRPr="005128FA">
        <w:t>atsižvelgdamas į savo 2012 m. gegužės 10 d. rezoliuciją dėl regioninių oro uostų ir oro susisiekimo paslaugų ateities Europos Sąjungoje</w:t>
      </w:r>
      <w:r w:rsidRPr="005128FA">
        <w:rPr>
          <w:rStyle w:val="FootnoteReference"/>
          <w:bCs/>
          <w:szCs w:val="24"/>
        </w:rPr>
        <w:footnoteReference w:id="6"/>
      </w:r>
      <w:r w:rsidRPr="005128FA">
        <w:t xml:space="preserve"> ir savo 2017 m. vasario 16 d. rezoliuciją dėl Europos aviacijos strategijos</w:t>
      </w:r>
      <w:r w:rsidRPr="005128FA">
        <w:rPr>
          <w:rStyle w:val="FootnoteReference"/>
          <w:bCs/>
          <w:szCs w:val="24"/>
        </w:rPr>
        <w:footnoteReference w:id="7"/>
      </w:r>
      <w:r w:rsidRPr="005128FA">
        <w:t>,</w:t>
      </w:r>
    </w:p>
    <w:p w:rsidR="006D2CF6" w:rsidRPr="005128FA" w:rsidRDefault="006D2CF6" w:rsidP="006D2CF6">
      <w:pPr>
        <w:pStyle w:val="NormalHanging12a"/>
        <w:rPr>
          <w:bCs/>
          <w:szCs w:val="24"/>
        </w:rPr>
      </w:pPr>
      <w:r w:rsidRPr="005128FA">
        <w:t>–</w:t>
      </w:r>
      <w:r w:rsidRPr="005128FA">
        <w:tab/>
        <w:t>atsižvelgdamas į Europos Sąjungos aviacijos saugos agentūros (EASA) specialiąsias sertifikavimo sąlygas SC E-19 elektrinėms ir (arba) hibridinėms varymo sistemoms,</w:t>
      </w:r>
    </w:p>
    <w:p w:rsidR="006D2CF6" w:rsidRPr="005128FA" w:rsidRDefault="006D2CF6" w:rsidP="006D2CF6">
      <w:pPr>
        <w:pStyle w:val="NormalHanging12a"/>
      </w:pPr>
      <w:r w:rsidRPr="005128FA">
        <w:t>–</w:t>
      </w:r>
      <w:r w:rsidRPr="005128FA">
        <w:rPr>
          <w:b/>
        </w:rPr>
        <w:tab/>
      </w:r>
      <w:r w:rsidRPr="005128FA">
        <w:t>atsižvelgdamas į Darbo tvarkos taisyklių 54 straipsnį,</w:t>
      </w:r>
    </w:p>
    <w:p w:rsidR="006D2CF6" w:rsidRPr="005128FA" w:rsidRDefault="006D2CF6" w:rsidP="006D2CF6">
      <w:pPr>
        <w:pStyle w:val="NormalHanging12a"/>
      </w:pPr>
      <w:r w:rsidRPr="005128FA">
        <w:t>–</w:t>
      </w:r>
      <w:r w:rsidRPr="005128FA">
        <w:tab/>
        <w:t>atsižvelgdamas į Transporto ir turizmo komiteto pranešimą (A9-0438/2023),</w:t>
      </w:r>
    </w:p>
    <w:p w:rsidR="006D2CF6" w:rsidRPr="005128FA" w:rsidRDefault="006D2CF6" w:rsidP="006D2CF6">
      <w:pPr>
        <w:pStyle w:val="NormalHanging12a"/>
        <w:rPr>
          <w:szCs w:val="24"/>
        </w:rPr>
      </w:pPr>
      <w:r w:rsidRPr="005128FA">
        <w:t>A.</w:t>
      </w:r>
      <w:r w:rsidRPr="005128FA">
        <w:tab/>
        <w:t xml:space="preserve">kadangi iki 2019 m. tarptautinės aviacijos išmetamas teršalų kiekis padidėjo 146 proc., </w:t>
      </w:r>
      <w:r w:rsidRPr="005128FA">
        <w:lastRenderedPageBreak/>
        <w:t>palyginti su 1990 m.</w:t>
      </w:r>
      <w:r w:rsidRPr="005128FA">
        <w:rPr>
          <w:rStyle w:val="FootnoteReference"/>
          <w:szCs w:val="24"/>
        </w:rPr>
        <w:footnoteReference w:id="8"/>
      </w:r>
      <w:r w:rsidRPr="005128FA">
        <w:t>; kadangi numatoma, kad ši dalis didėjant kelionių oro transportu paklausai didės;</w:t>
      </w:r>
    </w:p>
    <w:p w:rsidR="006D2CF6" w:rsidRPr="005128FA" w:rsidRDefault="006D2CF6" w:rsidP="006D2CF6">
      <w:pPr>
        <w:pStyle w:val="NormalHanging12a"/>
        <w:rPr>
          <w:szCs w:val="24"/>
        </w:rPr>
      </w:pPr>
      <w:r w:rsidRPr="005128FA">
        <w:t>B.</w:t>
      </w:r>
      <w:r w:rsidRPr="005128FA">
        <w:tab/>
        <w:t>kadangi perėjus prie tvarių aviacinių degalų išmetamą teršalų kiekį būtų galima sumažinti 50–55 proc., įdiegus naujas technologijas – 30–35 proc., optimizavus orlaivių eksploatavimą ir infrastruktūrą – 5–10 proc., o pritaikius naujas rinkos priemones – 5 proc.</w:t>
      </w:r>
      <w:r w:rsidRPr="005128FA">
        <w:rPr>
          <w:rStyle w:val="FootnoteReference"/>
          <w:szCs w:val="24"/>
        </w:rPr>
        <w:footnoteReference w:id="9"/>
      </w:r>
      <w:r w:rsidRPr="005128FA">
        <w:t>;</w:t>
      </w:r>
    </w:p>
    <w:p w:rsidR="006D2CF6" w:rsidRPr="005128FA" w:rsidRDefault="006D2CF6" w:rsidP="006D2CF6">
      <w:pPr>
        <w:pStyle w:val="NormalHanging12a"/>
        <w:rPr>
          <w:szCs w:val="24"/>
        </w:rPr>
      </w:pPr>
      <w:r w:rsidRPr="005128FA">
        <w:t>C.</w:t>
      </w:r>
      <w:r w:rsidRPr="005128FA">
        <w:tab/>
        <w:t>kadangi tam, kad iki 2050 m. būtų reikiamai sumažintas išmetamas teršalų kiekis, nuo 2035 m. reikės pakeisti 75 proc. viso pasaulio civilinės aviacijos parko;</w:t>
      </w:r>
    </w:p>
    <w:p w:rsidR="006D2CF6" w:rsidRPr="005128FA" w:rsidRDefault="006D2CF6" w:rsidP="006D2CF6">
      <w:pPr>
        <w:pStyle w:val="NormalHanging12a"/>
        <w:rPr>
          <w:szCs w:val="24"/>
        </w:rPr>
      </w:pPr>
      <w:r w:rsidRPr="005128FA">
        <w:t>D.</w:t>
      </w:r>
      <w:r w:rsidRPr="005128FA">
        <w:tab/>
        <w:t>kadangi iš tiesų netaršiai aviacijai reikia glaudesnio mokslininkų, gamintojų, oro vežėjų, vyriausybių ir kitų suinteresuotųjų subjektų bendradarbiavimo; kadangi dalis aviacijos pramonės jau aktyviai kuria pažangias orlaivio koncepcijas</w:t>
      </w:r>
      <w:r w:rsidRPr="005128FA">
        <w:rPr>
          <w:rStyle w:val="FootnoteReference"/>
          <w:szCs w:val="24"/>
        </w:rPr>
        <w:footnoteReference w:id="10"/>
      </w:r>
      <w:r w:rsidRPr="005128FA">
        <w:t>, pavyzdžiui, elektrinius vertikaliojo kilimo ir tūpimo (eVTOL) orlaivius;</w:t>
      </w:r>
    </w:p>
    <w:p w:rsidR="006D2CF6" w:rsidRPr="005128FA" w:rsidRDefault="006D2CF6" w:rsidP="006D2CF6">
      <w:pPr>
        <w:pStyle w:val="NormalHanging12a"/>
        <w:rPr>
          <w:szCs w:val="24"/>
        </w:rPr>
      </w:pPr>
      <w:r w:rsidRPr="005128FA">
        <w:t>E.</w:t>
      </w:r>
      <w:r w:rsidRPr="005128FA">
        <w:tab/>
        <w:t>kadangi Netaršios aviacijos bendroji įmonė (NA BĮ) – ES pirmaujanti mokslinių tyrimų ir inovacijų programa, skirta aviacijos sektoriui transformuoti siekiant tvarios ateities; kadangi NA BĮ ir EASA bendradarbiauja tvirtindamos standartinę naujos kartos orlaivių sertifikavimo tvarką;</w:t>
      </w:r>
    </w:p>
    <w:p w:rsidR="006D2CF6" w:rsidRPr="005128FA" w:rsidRDefault="006D2CF6" w:rsidP="006D2CF6">
      <w:pPr>
        <w:pStyle w:val="NormalHanging12a"/>
        <w:rPr>
          <w:szCs w:val="24"/>
        </w:rPr>
      </w:pPr>
      <w:r w:rsidRPr="005128FA">
        <w:t>F.</w:t>
      </w:r>
      <w:r w:rsidRPr="005128FA">
        <w:tab/>
        <w:t>kadangi įvairiuose ES regionuose jau skraido nedideli, ne daugiau kaip devynių vietų, elektriniai bandomieji orlaiviai; kadangi XXI a. trečiojo dešimtmečio pabaigoje planuojama sukurti iki 30 vietų elektrinį orlaivį, o XXI a. ketvirtąjį dešimtmetį – regioninį orlaivį</w:t>
      </w:r>
      <w:r w:rsidRPr="005128FA">
        <w:rPr>
          <w:rStyle w:val="FootnoteReference"/>
          <w:szCs w:val="24"/>
        </w:rPr>
        <w:footnoteReference w:id="11"/>
      </w:r>
      <w:r w:rsidRPr="005128FA">
        <w:t>; kadangi pirmasis EASA sertifikuotas elektrinių orlaivių parkas</w:t>
      </w:r>
      <w:r w:rsidRPr="005128FA">
        <w:rPr>
          <w:rStyle w:val="FootnoteReference"/>
          <w:szCs w:val="24"/>
        </w:rPr>
        <w:footnoteReference w:id="12"/>
      </w:r>
      <w:r w:rsidRPr="005128FA">
        <w:t xml:space="preserve"> jau naudojamas saugiems ir aplinką tausojantiems pilotų mokymams; kadangi jau pateikta keletas elektrinių vertikaliojo kilimo ir tūpimo orlaivių modelių paraiškų EASA tipo sertifikavimui gauti;</w:t>
      </w:r>
    </w:p>
    <w:p w:rsidR="006D2CF6" w:rsidRPr="005128FA" w:rsidRDefault="006D2CF6" w:rsidP="006D2CF6">
      <w:pPr>
        <w:pStyle w:val="NormalHanging12a"/>
        <w:rPr>
          <w:szCs w:val="24"/>
        </w:rPr>
      </w:pPr>
      <w:r w:rsidRPr="005128FA">
        <w:t>G.</w:t>
      </w:r>
      <w:r w:rsidRPr="005128FA">
        <w:tab/>
        <w:t>kadangi EASA pasiūlė saugaus vertikaliojo kilimo ir tūpimo orlaivių naudojimo taisykles, kurios apima oro taksi, ir išsamų pilotuojamų elektrinių oro taksi naudojimo reikalavimų rinkinį, apimantį visas skrydžių sritis, skrydžio įgulos licencijavimą ir oro bei oro eismo valdymo taisykles;</w:t>
      </w:r>
    </w:p>
    <w:p w:rsidR="006D2CF6" w:rsidRPr="005128FA" w:rsidRDefault="006D2CF6" w:rsidP="006D2CF6">
      <w:pPr>
        <w:pStyle w:val="NormalHanging12a"/>
        <w:rPr>
          <w:szCs w:val="24"/>
        </w:rPr>
      </w:pPr>
      <w:r w:rsidRPr="005128FA">
        <w:t>H.</w:t>
      </w:r>
      <w:r w:rsidRPr="005128FA">
        <w:tab/>
        <w:t>kadangi elektrinės ir hibridinės elektrinės aviacijos siūlomais įvairiais novatoriškais viešojo transporto sprendimais galėtų būti sustiprintas miesto ir regioninis oro transportas ir junglumas; kadangi tuo pat metu planai iki 2035 m. pradėti plačiai naudoti vandeniliu varomus orlaivius įgauna vis aiškesnę formą;</w:t>
      </w:r>
    </w:p>
    <w:p w:rsidR="006D2CF6" w:rsidRPr="005128FA" w:rsidRDefault="006D2CF6" w:rsidP="006D2CF6">
      <w:pPr>
        <w:pStyle w:val="NormalHanging12a"/>
        <w:rPr>
          <w:szCs w:val="24"/>
        </w:rPr>
      </w:pPr>
      <w:r w:rsidRPr="005128FA">
        <w:t>I.</w:t>
      </w:r>
      <w:r w:rsidRPr="005128FA">
        <w:tab/>
        <w:t xml:space="preserve">kadangi dėl spartesnio perdavimo, naudojant elektrinius ir hibridinius elektrinius orlaivius, konkurencinis kelionės trumpais atstumais laikas sutrumpės; kadangi nedideliuose elektriniuose orlaiviuose tilps mažiau keleivių, o tai reiškia, kad laipinimas </w:t>
      </w:r>
      <w:r w:rsidRPr="005128FA">
        <w:lastRenderedPageBreak/>
        <w:t>ir antžeminės paslaugos truks trumpiau;</w:t>
      </w:r>
    </w:p>
    <w:p w:rsidR="006D2CF6" w:rsidRPr="005128FA" w:rsidRDefault="006D2CF6" w:rsidP="006D2CF6">
      <w:pPr>
        <w:pStyle w:val="NormalHanging12a"/>
        <w:rPr>
          <w:szCs w:val="24"/>
        </w:rPr>
      </w:pPr>
      <w:r w:rsidRPr="005128FA">
        <w:t>J.</w:t>
      </w:r>
      <w:r w:rsidRPr="005128FA">
        <w:tab/>
        <w:t>kadangi ES sparčiai vystomos baterijų technologijos, kalbant tiek apie gamybos mastus, tiek apie plėtros išlaidas;</w:t>
      </w:r>
    </w:p>
    <w:p w:rsidR="006D2CF6" w:rsidRPr="005128FA" w:rsidRDefault="006D2CF6" w:rsidP="006D2CF6">
      <w:pPr>
        <w:pStyle w:val="NormalHanging12a"/>
        <w:rPr>
          <w:szCs w:val="24"/>
        </w:rPr>
      </w:pPr>
      <w:r w:rsidRPr="005128FA">
        <w:t>K.</w:t>
      </w:r>
      <w:r w:rsidRPr="005128FA">
        <w:tab/>
        <w:t>kadangi netaršios aviacijos srityje vykdomų itin sudėtingų mokslinių tyrimų ir plėtros projektų sėkmė tiesiogiai priklauso nuo finansinės ir politinės paramos, įskaitant ES institucijų ir valstybių narių paramą; kadangi buvo sudaryta daug netaršios aviacijos aljansų, pvz., Visai netaršios aviacijos aljansas (AZEA), kurie šiuo metu rengia projektų bazes, tačiau jiems reikia veiksmingos ES paramos; kadangi viešoji paskata šiems projektams yra labai svarbi siekiant pritraukti privačiąsias investicijas;</w:t>
      </w:r>
    </w:p>
    <w:p w:rsidR="006D2CF6" w:rsidRPr="005128FA" w:rsidRDefault="006D2CF6" w:rsidP="006D2CF6">
      <w:pPr>
        <w:pStyle w:val="NormalHanging12a"/>
        <w:rPr>
          <w:szCs w:val="24"/>
        </w:rPr>
      </w:pPr>
      <w:r w:rsidRPr="005128FA">
        <w:t>L.</w:t>
      </w:r>
      <w:r w:rsidRPr="005128FA">
        <w:tab/>
        <w:t>kadangi ateinančiais metais reikės valstybių narių investicijų į elektros energijos tiekimą stovintiems orlaiviams, kad būtų pasiekti 2023 m. rugsėjo 13 d. Europos Parlamento ir Tarybos reglamente (ES) 2023/1804 dėl alternatyviųjų degalų infrastruktūros diegimo</w:t>
      </w:r>
      <w:r w:rsidRPr="005128FA">
        <w:rPr>
          <w:rStyle w:val="FootnoteReference"/>
          <w:szCs w:val="24"/>
        </w:rPr>
        <w:footnoteReference w:id="13"/>
      </w:r>
      <w:r w:rsidRPr="005128FA">
        <w:t xml:space="preserve"> nustatyti tikslai, kurie galėtų tapti tarpiniu žingsniu ateityje diegiant elektra varomų orlaivių įkrovimo infrastruktūrą;</w:t>
      </w:r>
    </w:p>
    <w:p w:rsidR="006D2CF6" w:rsidRPr="005128FA" w:rsidRDefault="006D2CF6" w:rsidP="006D2CF6">
      <w:pPr>
        <w:pStyle w:val="NormalHanging12a"/>
        <w:rPr>
          <w:szCs w:val="24"/>
        </w:rPr>
      </w:pPr>
      <w:r w:rsidRPr="005128FA">
        <w:t>M.</w:t>
      </w:r>
      <w:r w:rsidRPr="005128FA">
        <w:tab/>
        <w:t>kadangi elektros ir vandeniliu varomos aviacijos anglies dioksido išmetimo rodiklio apskaičiavimas turi būti grindžiamas visu jos gyvavimo ciklu, įskaitant energijos gamybos šaltinį ir baterijų gamybą;</w:t>
      </w:r>
    </w:p>
    <w:p w:rsidR="006D2CF6" w:rsidRPr="005128FA" w:rsidRDefault="006D2CF6" w:rsidP="006D2CF6">
      <w:pPr>
        <w:pStyle w:val="NormalHanging12a"/>
        <w:rPr>
          <w:szCs w:val="24"/>
        </w:rPr>
      </w:pPr>
      <w:r w:rsidRPr="005128FA">
        <w:t>N.</w:t>
      </w:r>
      <w:r w:rsidRPr="005128FA">
        <w:tab/>
        <w:t>kadangi, nors aviacijos sektoriui buvo aiškiai priminta apie jo pažeidžiamumą dėl pandemijų, geopolitikos ir ekonominių sukrėtimų, jis įrodė savo itin svarbų vaidmenį užtikrinant nepertraukiamą tiekimo grandinę, ypač būtiniausių prekių;</w:t>
      </w:r>
    </w:p>
    <w:p w:rsidR="006D2CF6" w:rsidRPr="005128FA" w:rsidRDefault="006D2CF6" w:rsidP="006D2CF6">
      <w:pPr>
        <w:pStyle w:val="NormalHanging12a"/>
        <w:rPr>
          <w:szCs w:val="24"/>
        </w:rPr>
      </w:pPr>
      <w:r w:rsidRPr="005128FA">
        <w:t>O.</w:t>
      </w:r>
      <w:r w:rsidRPr="005128FA">
        <w:tab/>
        <w:t>kadangi ekologiniai ir skaitmeniniai įgūdžiai, susiję su techniniu švietimu ir ekspertinėmis žiniomis, pvz., aviacijos technologijomis ir inžinerija, gamtos mokslais ir matematika, yra labai svarbūs tvariai aviacijos plėtrai ir kuria patrauklias darbo vietas jaunimui;</w:t>
      </w:r>
    </w:p>
    <w:p w:rsidR="006D2CF6" w:rsidRPr="005128FA" w:rsidRDefault="006D2CF6" w:rsidP="006D2CF6">
      <w:pPr>
        <w:pStyle w:val="NormalHanging12a"/>
      </w:pPr>
      <w:r w:rsidRPr="005128FA">
        <w:t>P.</w:t>
      </w:r>
      <w:r w:rsidRPr="005128FA">
        <w:tab/>
        <w:t>kadangi sauga turi išlikti svarbiausiu aviacijos prioritetu;</w:t>
      </w:r>
    </w:p>
    <w:p w:rsidR="006D2CF6" w:rsidRPr="005128FA" w:rsidRDefault="006D2CF6" w:rsidP="006D2CF6">
      <w:pPr>
        <w:pStyle w:val="NormalHanging12a"/>
        <w:rPr>
          <w:b/>
          <w:i/>
        </w:rPr>
      </w:pPr>
      <w:r w:rsidRPr="005128FA">
        <w:rPr>
          <w:b/>
          <w:i/>
        </w:rPr>
        <w:t>Orlaivių elektrifikacijos nauda</w:t>
      </w:r>
    </w:p>
    <w:p w:rsidR="006D2CF6" w:rsidRPr="005128FA" w:rsidRDefault="006D2CF6" w:rsidP="006D2CF6">
      <w:pPr>
        <w:pStyle w:val="NormalHanging12a"/>
      </w:pPr>
      <w:r w:rsidRPr="005128FA">
        <w:t>1.</w:t>
      </w:r>
      <w:r w:rsidRPr="005128FA">
        <w:tab/>
        <w:t>pažymi, kokie svarbūs yra Sąjungos regioniniai oro uostai trumpojo ir vidutinio nuotolio skrydžiams elektriniais orlaiviais; atkreipia dėmesį į regioninių oro uostų, kaip daugiarūšių inovacijų centrų, ir mažųjų ir vidutinių įmonių (MVĮ) potencialą visoje tiekimo grandinėje, naudingą moksliniams tyrimams ir konkurencijai ne tik aviacijos, bet ir kituose transporto sektoriuose, pvz., kelių, jūrų ir geležinkelių; todėl prašo Komisijos patvirtinti savo finansinę paramą regioniniams oro uostams, ypač tiems, kuriuose vykdoma aktyvi elektros aviacijos srities veikla;</w:t>
      </w:r>
    </w:p>
    <w:p w:rsidR="006D2CF6" w:rsidRPr="005128FA" w:rsidRDefault="006D2CF6" w:rsidP="006D2CF6">
      <w:pPr>
        <w:pStyle w:val="NormalHanging12a"/>
        <w:rPr>
          <w:szCs w:val="24"/>
        </w:rPr>
      </w:pPr>
      <w:r w:rsidRPr="005128FA">
        <w:t>2.</w:t>
      </w:r>
      <w:r w:rsidRPr="005128FA">
        <w:tab/>
        <w:t>yra įsitikinęs, kad mažiau taršios, greitesnės ir patogesnės oro transporto priemonės padidintų mažesnių, labiau izoliuotų ir retai apgyvendintų vietovių, įskaitant salų ir atokiausius regionus, susisiekimą ir prieinamumą, ypač kalbant apie viešųjų paslaugų prieinamumą, darbo galimybių kūrimą ir tvaresnį turizmą;</w:t>
      </w:r>
    </w:p>
    <w:p w:rsidR="006D2CF6" w:rsidRPr="005128FA" w:rsidRDefault="006D2CF6" w:rsidP="006D2CF6">
      <w:pPr>
        <w:pStyle w:val="NormalHanging12a"/>
        <w:rPr>
          <w:szCs w:val="24"/>
        </w:rPr>
      </w:pPr>
      <w:r w:rsidRPr="005128FA">
        <w:t>3.</w:t>
      </w:r>
      <w:r w:rsidRPr="005128FA">
        <w:tab/>
        <w:t xml:space="preserve">pažymi, kad dėl atokumo ir ribotos orlaivių baterijos talpos atokiausius regionus bus sudėtinga sujungti su Europos žemynine dalimi pasitelkus elektrinę aviaciją; vis dėlto </w:t>
      </w:r>
      <w:r w:rsidRPr="005128FA">
        <w:lastRenderedPageBreak/>
        <w:t>atkreipia dėmesį į elektrinės aviacijos galimybes užtikrinant atokiausių regionų susisiekimą, prisidedant prie jų vystymosi ir iš dalies mažinant neigiamą jų sudėtingos topografijos poveikį jų ekonomikai; pabrėžia, kad periferiniams regionams reikia finansinės, materialinės ir techninės paramos, siekiant užtikrinti, kad infrastruktūra, būtina greitam ir patikimam baterijų įkrovimui, elektrinių vertikaliojo kilimo ir tūpimo orlaivių techninei priežiūrai ir aukštos kvalifikacijos technikų bei operatorių mokymui, būtų plėtojama tinkamu tempu;</w:t>
      </w:r>
    </w:p>
    <w:p w:rsidR="006D2CF6" w:rsidRPr="005128FA" w:rsidRDefault="006D2CF6" w:rsidP="006D2CF6">
      <w:pPr>
        <w:pStyle w:val="NormalHanging12a"/>
        <w:rPr>
          <w:szCs w:val="24"/>
        </w:rPr>
      </w:pPr>
      <w:r w:rsidRPr="005128FA">
        <w:t>4.</w:t>
      </w:r>
      <w:r w:rsidRPr="005128FA">
        <w:tab/>
        <w:t>pabrėžia, kad, kai esama geografinių kliūčių, vykdant skrydžius elektriniais orlaiviais, kaip naujomis viešojo transporto priemonėmis, kurioms nereikalingi dabartiniai keliai ar geležinkeliai, gali būti sutaupyta daug laiko; atkreipia dėmesį į Šiaurės šalių patirtį, susijusią su geografine padėtimi, kuriai būdingi fjordai, ežerai ir kalnai, mažas gyventojų tankis ir didelis dėmesys tvariajai energijai</w:t>
      </w:r>
      <w:r w:rsidRPr="005128FA">
        <w:rPr>
          <w:rStyle w:val="FootnoteReference"/>
          <w:szCs w:val="24"/>
        </w:rPr>
        <w:footnoteReference w:id="14"/>
      </w:r>
      <w:r w:rsidRPr="005128FA">
        <w:t>, ir į atokiausių regionų, kuriems būdingas izoliuotumas, atokumas, mažas plotas ir sudėtingos topografinės ir klimato sąlygos, patirtį; ragina Komisiją išnagrinėti šias galimybes, glaudžiai bendradarbiaujant su atitinkamais regionais ir valstybėmis narėmis;</w:t>
      </w:r>
    </w:p>
    <w:p w:rsidR="006D2CF6" w:rsidRPr="005128FA" w:rsidRDefault="006D2CF6" w:rsidP="006D2CF6">
      <w:pPr>
        <w:pStyle w:val="NormalHanging12a"/>
        <w:rPr>
          <w:szCs w:val="24"/>
        </w:rPr>
      </w:pPr>
      <w:r w:rsidRPr="005128FA">
        <w:t>5.</w:t>
      </w:r>
      <w:r w:rsidRPr="005128FA">
        <w:tab/>
        <w:t>mano, kad elektrifikavus regioninę aviaciją anksčiau nutraukti maršrutai galėtų tapti ekonomiškai perspektyvūs, taip pagerinant junglumą, skatinant regionų vystymąsi ir pritraukiant naujų investicijų į regionus; pabrėžia patikimas hibridizacijos perspektyvas, atsižvelgiant į regioninės aviacijos apribojimus, susijusius su savarankiškumu ir keleivių skaičiumi;</w:t>
      </w:r>
    </w:p>
    <w:p w:rsidR="006D2CF6" w:rsidRPr="005128FA" w:rsidRDefault="006D2CF6" w:rsidP="006D2CF6">
      <w:pPr>
        <w:pStyle w:val="NormalHanging12a"/>
        <w:rPr>
          <w:szCs w:val="24"/>
        </w:rPr>
      </w:pPr>
      <w:r w:rsidRPr="005128FA">
        <w:t>6.</w:t>
      </w:r>
      <w:r w:rsidRPr="005128FA">
        <w:tab/>
        <w:t>pakartoja Komisijos viziją, kad elektriniai vertikaliojo kilimo ir tūpimo orlaiviai, kaip teigiama Komisijos bepiločių orlaivių strategijoje 2.0, iki 2030 m. taps pagrindine keleivinio transporto dalimi, kuri bus integruota į esamas transporto sistemas ir prisidės prie ES priklausomybės nuo iškastinio kuro mažinimo, kartu kuo labiau sumažinant bet kokį neigiamą poveikį aplinkai</w:t>
      </w:r>
      <w:r w:rsidRPr="005128FA">
        <w:rPr>
          <w:rStyle w:val="FootnoteReference"/>
          <w:szCs w:val="24"/>
        </w:rPr>
        <w:footnoteReference w:id="15"/>
      </w:r>
      <w:r w:rsidRPr="005128FA">
        <w:t>; pabrėžia, kad, nepaisant sparčios technologinės elektrinių vertikaliojo kilimo ir tūpimo orlaivių pažangos, šiuo metu jie vis dar yra riboti iki šešių vietų, o elektriniai orlaiviai su nejudamaisiais sparnais jau gali skraidinti daugiau keleivių tiek esamais, tiek naujais miesto oro maršrutais; ragina Komisiją atskirti šias dvi galimybes, nes jose naudojamos skirtingos technologijos ir jos tarnauja skirtingoms rinkoms; yra įsitikinęs, kad tiek elektriniai vertikaliojo kilimo ir tūpimo orlaiviai, tiek elektriniai orlaiviai su nejudamaisiais sparnais turi būti laikomi papildomomis naujo miesto oro transporto formomis;</w:t>
      </w:r>
    </w:p>
    <w:p w:rsidR="006D2CF6" w:rsidRPr="005128FA" w:rsidRDefault="006D2CF6" w:rsidP="006D2CF6">
      <w:pPr>
        <w:pStyle w:val="NormalHanging12a"/>
        <w:rPr>
          <w:szCs w:val="24"/>
        </w:rPr>
      </w:pPr>
      <w:r w:rsidRPr="005128FA">
        <w:t>7.</w:t>
      </w:r>
      <w:r w:rsidRPr="005128FA">
        <w:tab/>
        <w:t>pabrėžia, kad orlaivių su elektros varikliais naudojimo tarša beveik lygi nuliui, todėl vietos mastu sumažinamas teršalų, kurie galėtų daryti neigiamą įtaką netoli oro uostų gyvenančių piliečių sveikatai, kiekis; todėl mano, kad visų pirma mažai decibelų skleidžiantiems orlaiviams turėtų būti taikomos supaprastintos procedūros, skirtos su triukšmu susijusiems leidimams arba nuo skrydžių apribojimų nukrypti leidžiančioms nuostatoms gauti; pabrėžia, kad triukšmo sumažinimas, pasiekiamas naudojant mažai decibelų skleidžiančią elektrinę aviaciją, gali pagerinti padėtį kai kuriuose oro uostuose ir netoli jų esančiuose gyvenamuosiuose rajonuose;</w:t>
      </w:r>
    </w:p>
    <w:p w:rsidR="006D2CF6" w:rsidRPr="005128FA" w:rsidRDefault="006D2CF6" w:rsidP="006D2CF6">
      <w:pPr>
        <w:pStyle w:val="NormalHanging12a"/>
        <w:rPr>
          <w:szCs w:val="24"/>
        </w:rPr>
      </w:pPr>
      <w:r w:rsidRPr="005128FA">
        <w:t>8.</w:t>
      </w:r>
      <w:r w:rsidRPr="005128FA">
        <w:tab/>
        <w:t xml:space="preserve">pabrėžia, kad reikia pasinaudoti gerokai mažesnio elektrinių ir hibridinių elektrinių orlaivių keliamo triukšmo lygio potencialu; ragina pramonės atstovus pasinaudoti </w:t>
      </w:r>
      <w:r w:rsidRPr="005128FA">
        <w:lastRenderedPageBreak/>
        <w:t>EASA darbu nustatant pirmąją aplinkos apsaugos techninę specifikaciją</w:t>
      </w:r>
      <w:r w:rsidRPr="005128FA">
        <w:rPr>
          <w:rStyle w:val="FootnoteReference"/>
          <w:szCs w:val="24"/>
        </w:rPr>
        <w:footnoteReference w:id="16"/>
      </w:r>
      <w:r w:rsidRPr="005128FA">
        <w:t>, skirtą tam tikrų elektrinių vertikaliojo kilimo ir tūpimo orlaivių triukšmui vertinti, kuria siekiama užtikrinti aukštą ir vienodą aplinkos apsaugos lygį Europos piliečiams ir palengvinti jų integraciją į aviacijos ekosistemą ir miesto aplinką;</w:t>
      </w:r>
    </w:p>
    <w:p w:rsidR="006D2CF6" w:rsidRPr="005128FA" w:rsidRDefault="006D2CF6" w:rsidP="006D2CF6">
      <w:pPr>
        <w:pStyle w:val="NormalHanging12a"/>
        <w:rPr>
          <w:szCs w:val="24"/>
        </w:rPr>
      </w:pPr>
      <w:r w:rsidRPr="005128FA">
        <w:t>9.</w:t>
      </w:r>
      <w:r w:rsidRPr="005128FA">
        <w:tab/>
        <w:t>yra tvirtai įsitikinęs, kad elektriniai ir hibridiniai elektriniai orlaiviai turės didelį potencialą mažinti aviacijos sektoriuje išmetamą šiltnamio efektą sukeliančių dujų kiekį ir suteiks naujų judumo mieste galimybių; palankiai vertina EASA iki šiol atliktą darbą, susijusį su elektriniais vertikaliojo kilimo ir tūpimo orlaiviais, skirtais naudoti kaip oro taksi, su antžeminės infrastruktūros, būtinos saugiam miesto oro transportui veikimui</w:t>
      </w:r>
      <w:r w:rsidRPr="005128FA">
        <w:rPr>
          <w:rStyle w:val="FootnoteReference"/>
          <w:szCs w:val="24"/>
        </w:rPr>
        <w:footnoteReference w:id="17"/>
      </w:r>
      <w:r w:rsidRPr="005128FA">
        <w:t>, projektavimu ir su aviacijos reguliavimo sistemos pritaikymu, kad būtų sudarytos palankesnės sąlygos patekti į rinką orlaiviams, kuriuose naudojamos elektrinės ir vandeniliu varomos varymo sistemos; pabrėžia labai svarbų EASA vaidmenį sertifikuojant šių tipų orlaivius, nes tai galėtų paspartinti jų plėtrą; remia aplinkai nekenksmingų orlaivių, naudojančių alternatyvias varymo technologijas, komercializaciją siekiant papildyti priemones, pradėtas įgyvendinti pagal tvarių aviacinių degalų iniciatyvas; ragina Komisiją ateityje imtis veiksmų siekiant užtikrinti, trumpuose regioniniuose maršrutuose būtų vykdomi skrydžiai elektriniais orlaiviais, siekiant vykdyti viešųjų paslaugų įsipareigojimus pagal galiojančias ES taisykles;</w:t>
      </w:r>
    </w:p>
    <w:p w:rsidR="006D2CF6" w:rsidRPr="005128FA" w:rsidRDefault="006D2CF6" w:rsidP="006D2CF6">
      <w:pPr>
        <w:pStyle w:val="NormalHanging12a"/>
        <w:rPr>
          <w:b/>
          <w:i/>
        </w:rPr>
      </w:pPr>
      <w:r w:rsidRPr="005128FA">
        <w:rPr>
          <w:b/>
          <w:i/>
        </w:rPr>
        <w:t>Investavimas į ateitį</w:t>
      </w:r>
    </w:p>
    <w:p w:rsidR="006D2CF6" w:rsidRPr="005128FA" w:rsidRDefault="006D2CF6" w:rsidP="006D2CF6">
      <w:pPr>
        <w:pStyle w:val="NormalHanging12a"/>
      </w:pPr>
      <w:r w:rsidRPr="005128FA">
        <w:t>10.</w:t>
      </w:r>
      <w:r w:rsidRPr="005128FA">
        <w:tab/>
        <w:t>mano, kad nors dėl trumpojo ir vidutinio nuotolio skrydžių išmetamas teršalų kiekis sudaro tik mažą išmetamųjų teršalų kiekio dalį, kiekvienas elektrifikuotas maršrutas sumažina aviacijos poveikį klimatui ir aplinkai, todėl į tai verta investuoti; pabrėžia, kad telkti reikiamas investicijas reikia pradėti dabar;</w:t>
      </w:r>
    </w:p>
    <w:p w:rsidR="006D2CF6" w:rsidRPr="005128FA" w:rsidRDefault="006D2CF6" w:rsidP="006D2CF6">
      <w:pPr>
        <w:pStyle w:val="NormalHanging12a"/>
      </w:pPr>
      <w:r w:rsidRPr="005128FA">
        <w:t>11.</w:t>
      </w:r>
      <w:r w:rsidRPr="005128FA">
        <w:tab/>
        <w:t>mano, kad mažos ir nulinės taršos tikslai taip pat bus pasiekti naudojant hibridines elektrines technologijas regioniniams ir tarptautiniams trumpojo ir vidutinio nuotolio skrydžiams, vykdomiems tiek komercinės, tiek verslo aviacijos tikslais, ir ragina skirti reikiamas investicijas į mokslinius tyrimus ir plėtrą, susijusius su orlaivių ir varomųjų sistemų projektavimu, baterijomis ir kitais hibridiniais sprendimais; pažymi, kad komercializavus elektrinę aviaciją, valstybės narės turėtų apsvarstyti galimybę persvarstyti savo teisės aktus, draudžiančius trumpojo ir vidutinio nuotolio skrydžius;</w:t>
      </w:r>
    </w:p>
    <w:p w:rsidR="006D2CF6" w:rsidRPr="005128FA" w:rsidRDefault="006D2CF6" w:rsidP="006D2CF6">
      <w:pPr>
        <w:pStyle w:val="NormalHanging12a"/>
        <w:rPr>
          <w:szCs w:val="24"/>
        </w:rPr>
      </w:pPr>
      <w:r w:rsidRPr="005128FA">
        <w:t>12.</w:t>
      </w:r>
      <w:r w:rsidRPr="005128FA">
        <w:tab/>
        <w:t>pažymi, kad dideli poreikiai, susiję su civilinių orlaivių parko keitimu yra iššūkis ir pareikalaus didelių finansinių investicijų, tačiau tai kartu yra didžiulė rinkos galimybė, kuri galėtų paskatinti naujų darbo vietų kūrimą ir įgūdžių įgijimą visame Europos transporto sektoriuje;</w:t>
      </w:r>
    </w:p>
    <w:p w:rsidR="006D2CF6" w:rsidRPr="005128FA" w:rsidRDefault="006D2CF6" w:rsidP="006D2CF6">
      <w:pPr>
        <w:pStyle w:val="NormalHanging12a"/>
        <w:rPr>
          <w:szCs w:val="24"/>
        </w:rPr>
      </w:pPr>
      <w:r w:rsidRPr="005128FA">
        <w:t>13.</w:t>
      </w:r>
      <w:r w:rsidRPr="005128FA">
        <w:tab/>
        <w:t>tvirtina, kad komercinės elektrinių orlaivių aviacijos vystymui reikia veiksmingos finansinės ir reguliacinės paramos tiek nacionaliniu, tiek ES lygmeniu; atkreipia dėmesį į tai, kad viešaisiais pirkimais pasiekta itin gerų rezultatų, ir mano, kad tai veiksminga pramonės elektrifikavimo priemonė, nesutrikdanti rinkos;</w:t>
      </w:r>
    </w:p>
    <w:p w:rsidR="006D2CF6" w:rsidRPr="005128FA" w:rsidRDefault="006D2CF6" w:rsidP="006D2CF6">
      <w:pPr>
        <w:pStyle w:val="NormalHanging12a"/>
        <w:rPr>
          <w:szCs w:val="24"/>
        </w:rPr>
      </w:pPr>
      <w:r w:rsidRPr="005128FA">
        <w:lastRenderedPageBreak/>
        <w:t>14.</w:t>
      </w:r>
      <w:r w:rsidRPr="005128FA">
        <w:tab/>
        <w:t>ragina valstybes nares išnagrinėti rinkos paskatas ir naudą atitinkamiems elektrinių orlaivių gamintojams, operatoriams ir MVĮ, siekiant skatinti šios ekologiškos technologijos kūrimą ir diegimą; mano, kad šios paskatos ir nauda, susijusi su elektrinėmis aviacijos sudedamosiomis dalimis, elektra ir išmetamųjų teršalų kreditais, gali paskatinti rinkos augimą;</w:t>
      </w:r>
    </w:p>
    <w:p w:rsidR="006D2CF6" w:rsidRPr="005128FA" w:rsidRDefault="006D2CF6" w:rsidP="006D2CF6">
      <w:pPr>
        <w:pStyle w:val="NormalHanging12a"/>
        <w:rPr>
          <w:szCs w:val="24"/>
        </w:rPr>
      </w:pPr>
      <w:r w:rsidRPr="005128FA">
        <w:t>15.</w:t>
      </w:r>
      <w:r w:rsidRPr="005128FA">
        <w:tab/>
        <w:t>pažymi, kad Europoje vykdoma daug trumpojo ir vidutinio nuotolio skrydžių; ragina Komisiją, bendradarbiaujant su Eurokontrole ir EASA, nustatyti skrydžių maršrutus, kurie būtų tinkamiausi visiškam elektrifikavimui ir padėtų dar labiau sumažinti CO</w:t>
      </w:r>
      <w:r w:rsidRPr="005128FA">
        <w:rPr>
          <w:vertAlign w:val="subscript"/>
        </w:rPr>
        <w:t>2</w:t>
      </w:r>
      <w:r w:rsidRPr="005128FA">
        <w:t xml:space="preserve"> kiekį, nes tai padėtų atitinkamiems oro uostams pradėti būtinus pritaikymus; pabrėžia, kad vandenilis gali atlikti svarbų vaidmenį mažinant išmetamųjų teršalų kiekį; atkreipia dėmesį į tai, kad įmonės deda viltis į elektra varomus orlaivius, kai kalbama apie mažesnės apimties sprendimus, ir į vandeniliu varomus orlaivius didesnės apimties sprendimams;</w:t>
      </w:r>
    </w:p>
    <w:p w:rsidR="006D2CF6" w:rsidRPr="005128FA" w:rsidRDefault="006D2CF6" w:rsidP="006D2CF6">
      <w:pPr>
        <w:pStyle w:val="NormalHanging12a"/>
        <w:rPr>
          <w:szCs w:val="24"/>
        </w:rPr>
      </w:pPr>
      <w:r w:rsidRPr="005128FA">
        <w:t>16.</w:t>
      </w:r>
      <w:r w:rsidRPr="005128FA">
        <w:tab/>
        <w:t>mano, kad būtina išnagrinėti galimybę pakeisti galiojančias ES valstybės pagalbos taisykles, kad būtų galima sukurti tikslinę investicijų sistemą, grindžiamą viešuoju ir privačiuoju finansavimu, kad būtų remiamas naujas daug išteklių reikalaujantis elektrinių vertikaliojo kilimo ir tūpimo orlaivių sektorius, kad būtų sustiprintas Europos strateginis savarankiškumas šioje srityje, nes elektriniai vertikaliojo kilimo ir tūpimo orlaiviai turi tapti strategine transporto sektoriaus dalimi;</w:t>
      </w:r>
    </w:p>
    <w:p w:rsidR="006D2CF6" w:rsidRPr="005128FA" w:rsidRDefault="006D2CF6" w:rsidP="006D2CF6">
      <w:pPr>
        <w:pStyle w:val="NormalHanging12a"/>
        <w:rPr>
          <w:szCs w:val="24"/>
        </w:rPr>
      </w:pPr>
      <w:r w:rsidRPr="005128FA">
        <w:t>17.</w:t>
      </w:r>
      <w:r w:rsidRPr="005128FA">
        <w:tab/>
        <w:t>mano, kad ES įmonės, vykdančios veiklą aviacijos sektoriaus elektrifikavimo srityje, turėtų glaudžiai bendradarbiauti su nacionalinėmis ir ES valdžios institucijomis, kad parengtų integruotas technines veiksmų gaires ir bendras mokslinių tyrimų programas; palankiai vertina AZEA atliktą darbą; pabrėžia, kad šis bendradarbiavimas būtina tam, kad ES išsaugotų lyderystę ir konkurencingumą tarptautinėje arenoje;</w:t>
      </w:r>
    </w:p>
    <w:p w:rsidR="006D2CF6" w:rsidRPr="005128FA" w:rsidRDefault="006D2CF6" w:rsidP="006D2CF6">
      <w:pPr>
        <w:pStyle w:val="NormalHanging12a"/>
        <w:rPr>
          <w:szCs w:val="24"/>
        </w:rPr>
      </w:pPr>
      <w:r w:rsidRPr="005128FA">
        <w:t>18.</w:t>
      </w:r>
      <w:r w:rsidRPr="005128FA">
        <w:tab/>
        <w:t>pabrėžia, kad mažesni elektriniai orlaiviai gali naudotis trumpesniais ir paprastesniais kilimo ir tūpimo takais, todėl ateityje galėtų sumažėti didelės ir brangios infrastruktūros poreikis;</w:t>
      </w:r>
    </w:p>
    <w:p w:rsidR="006D2CF6" w:rsidRPr="005128FA" w:rsidRDefault="006D2CF6" w:rsidP="006D2CF6">
      <w:pPr>
        <w:pStyle w:val="NormalHanging12a"/>
      </w:pPr>
      <w:r w:rsidRPr="005128FA">
        <w:t>19.</w:t>
      </w:r>
      <w:r w:rsidRPr="005128FA">
        <w:tab/>
        <w:t>pabrėžia, kad energetikos infrastruktūros planavimas ir pasirengimas yra pagrindinis veiksnys, lemiantis elektrinės ir vandeniliu grindžiamos aviacijos plėtrą, nes tik parengus ir išbandžius infrastruktūrą bus galima plėtoti elektrinę aviaciją; pažymi, kad, perėjus prie alternatyvių varymo sistemų, esami dideli oro uostai iki 2050 m. galėtų suvartoti 5–10 kartų daugiau elektros energijos nei dabar</w:t>
      </w:r>
      <w:r w:rsidRPr="005128FA">
        <w:rPr>
          <w:rStyle w:val="FootnoteReference"/>
        </w:rPr>
        <w:footnoteReference w:id="18"/>
      </w:r>
      <w:r w:rsidRPr="005128FA">
        <w:t>, ir pažymi, kad elektrinių orlaivių infrastruktūra ir tokių vietų kaip oro uostai elektrifikavimas dar nėra pakankamai išvystytas; pabrėžia, jog tam, kad būtų patenkinta numatoma elektros energijos paklausa, iki 2025 m. reikia įrengti pirmuosius oro uosto infrastruktūros elementus, ir ragina užtikrinti reikiamas investicijas; be to, šiuo atžvilgiu pabrėžia, kad, siekdamos užtikrinti tinkamą elektrinių orlaivių įdiegimą, Komisija ir valstybės narės turi tinkamai įgyvendinti Alternatyviųjų degalų infrastruktūros reglamentą (ADIR)</w:t>
      </w:r>
      <w:r w:rsidRPr="005128FA">
        <w:rPr>
          <w:rStyle w:val="FootnoteReference"/>
        </w:rPr>
        <w:footnoteReference w:id="19"/>
      </w:r>
      <w:r w:rsidRPr="005128FA">
        <w:t xml:space="preserve">, kad būtų toliau skatinama elektrifikuoti vietas; pabrėžia, kad šiuo atžvilgiu naudingi specialūs infrastruktūros finansavimo projektai, pvz., Europos infrastruktūros tinklų </w:t>
      </w:r>
      <w:r w:rsidRPr="005128FA">
        <w:lastRenderedPageBreak/>
        <w:t>priemonė transportui ir energetikai; primena, kad pagal ADIR Komisija 2026 m. pabaigoje, o vėliau kas penkerius metus turi įvertinti dabartinę vandenilio ir elektra varomų variklių aviacijos rinkos būklę ir raidą ateityje; primygtinai ragina Komisiją ir valstybes nares, užtikrinti, kad būtų atliktas šis vertinimas, įskaitant atitinkamos orlaiviams varyti skirtos infrastruktūros diegimo galimybių studiją, po kurios būtų parengtas alternatyviųjų degalų infrastruktūros, ypač elektros įkrovimo ir vandenilio papildymo punktų, diegimo oro uostuose planas; ragina pramonės šakas pasauliniu lygmeniu kuo greičiau susitarti dėl pasaulinių stovinčių orlaivių antžeminių įkrovimo stotelių standartų;</w:t>
      </w:r>
    </w:p>
    <w:p w:rsidR="006D2CF6" w:rsidRPr="005128FA" w:rsidRDefault="006D2CF6" w:rsidP="006D2CF6">
      <w:pPr>
        <w:pStyle w:val="NormalHanging12a"/>
        <w:rPr>
          <w:b/>
          <w:i/>
        </w:rPr>
      </w:pPr>
      <w:r w:rsidRPr="005128FA">
        <w:rPr>
          <w:b/>
          <w:i/>
        </w:rPr>
        <w:t>Technologiniai sunkumai ir sprendimai</w:t>
      </w:r>
    </w:p>
    <w:p w:rsidR="006D2CF6" w:rsidRPr="005128FA" w:rsidRDefault="006D2CF6" w:rsidP="006D2CF6">
      <w:pPr>
        <w:pStyle w:val="NormalHanging12a"/>
      </w:pPr>
      <w:r w:rsidRPr="005128FA">
        <w:t>20.</w:t>
      </w:r>
      <w:r w:rsidRPr="005128FA">
        <w:tab/>
        <w:t>atsižvelgiant į tai, kad technologinių tendencijų kryptis įvairiuose transporto sektoriuose yra tokia pat, palankiai vertina dabartinę oro transporto ir automobilių pramonės (vystant naujos kartos baterijas ir kuro elementus), oro transporto ir laivybos pramonės (naudojant alternatyvius degalus) ir oro transporto ir geležinkelių pramonės (elektros paskirstymo sistemų srityje) partnerystę</w:t>
      </w:r>
      <w:r w:rsidRPr="005128FA">
        <w:rPr>
          <w:rStyle w:val="FootnoteReference"/>
        </w:rPr>
        <w:footnoteReference w:id="20"/>
      </w:r>
      <w:r w:rsidRPr="005128FA">
        <w:t xml:space="preserve"> skirtingų pramonės šakų tyrimų ir plėtros srityje; </w:t>
      </w:r>
    </w:p>
    <w:p w:rsidR="006D2CF6" w:rsidRPr="005128FA" w:rsidRDefault="006D2CF6" w:rsidP="006D2CF6">
      <w:pPr>
        <w:pStyle w:val="NormalHanging12a"/>
      </w:pPr>
      <w:r w:rsidRPr="005128FA">
        <w:t>21.</w:t>
      </w:r>
      <w:r w:rsidRPr="005128FA">
        <w:tab/>
        <w:t>atkreipia dėmesį į tai, kad nors elektriniai ir hibridiniai elektriniai orlaiviai turi didžiulį potencialą siekiant tvaresnės aviacijos ateities, dabartinė jų baterijų karta kelia didelių sunkumų, visų pirma susijusių su svoriu ir energijos tankiu; pažymi, kad šie apribojimai daro poveikį elektrinių orlaivių ridai, naudingosios apkrovos pajėgumui ir bendram efektyvumui;</w:t>
      </w:r>
    </w:p>
    <w:p w:rsidR="006D2CF6" w:rsidRPr="005128FA" w:rsidRDefault="006D2CF6" w:rsidP="006D2CF6">
      <w:pPr>
        <w:pStyle w:val="NormalHanging12a"/>
      </w:pPr>
      <w:r w:rsidRPr="005128FA">
        <w:t>22.</w:t>
      </w:r>
      <w:r w:rsidRPr="005128FA">
        <w:tab/>
        <w:t xml:space="preserve">primena, kad elektrinių orlaivių naudojimas apima griežtus reikalavimus baterijoms, pirmenybę teikiant saugai, taip pat reikalaujama, kad jos būtų lengvos, greitai įkraunamos ir būtų didelės galios, kuri reikalinga pakilimo ir kilimo atkarpoms; pabrėžia, kad tokioms aukštos kokybės baterijoms reikalingos ypatingos svarbos žaliavos, kurių Europoje dažnai nėra; ragina aviacijos pramonę prisidėti prie pramonės pastangų užtikrinti tvarią tiekimo grandinę; </w:t>
      </w:r>
    </w:p>
    <w:p w:rsidR="006D2CF6" w:rsidRPr="005128FA" w:rsidRDefault="006D2CF6" w:rsidP="006D2CF6">
      <w:pPr>
        <w:pStyle w:val="NormalHanging12a"/>
      </w:pPr>
      <w:r w:rsidRPr="005128FA">
        <w:t>23.</w:t>
      </w:r>
      <w:r w:rsidRPr="005128FA">
        <w:tab/>
        <w:t>primena, kad dėl oro transportui būdingų aukščio sąlygų baterijoms taikomi tam tikri techniniai apribojimai, palyginti su kitų rūšių transportu;</w:t>
      </w:r>
    </w:p>
    <w:p w:rsidR="006D2CF6" w:rsidRPr="005128FA" w:rsidRDefault="006D2CF6" w:rsidP="006D2CF6">
      <w:pPr>
        <w:pStyle w:val="NormalHanging12a"/>
      </w:pPr>
      <w:r w:rsidRPr="005128FA">
        <w:t>24.</w:t>
      </w:r>
      <w:r w:rsidRPr="005128FA">
        <w:tab/>
        <w:t>atkreipia dėmesį į kuro elementais grindžiamos vandeniliu varomos aviacijos, kuri yra alternatyvi elektrinės aviacijos forma, potencialą, ypač autonomijos požiūriu; pabrėžia, kad nuolatinis baterijų ir kuro elementų technologijos tobulinimas kartu su efektyviau energiją vartojančių orlaivių kūrimu gali sudaryti sąlygas didesniam aplinkosauginiam veiksmingumui; pakartoja, kad vienas iš didžiausių technologinių iššūkių, kurie šiuo metu kyla pramonei, yra baterijų svoris ir matmenys, didžiausia kuro elementų atiduodamoji galia, elektros energijos skirstymo ir šiluminės sistemos, sklandmenų integracija ir aerodinaminis gerinimas;</w:t>
      </w:r>
    </w:p>
    <w:p w:rsidR="006D2CF6" w:rsidRPr="005128FA" w:rsidRDefault="006D2CF6" w:rsidP="006D2CF6">
      <w:pPr>
        <w:pStyle w:val="NormalHanging12a"/>
      </w:pPr>
      <w:r w:rsidRPr="005128FA">
        <w:t>25.</w:t>
      </w:r>
      <w:r w:rsidRPr="005128FA">
        <w:tab/>
        <w:t>pabrėžia, kad dėl didesnio baterijų naudojimo aeronautikos srityje reikės nedelsiant sukurti šio sektoriaus poreikius atitinkančią ES perdirbimo pramonę, kad būtų išvengta naujos priklausomybės nuo ES nepriklausančių šalių atsiradimo;</w:t>
      </w:r>
    </w:p>
    <w:p w:rsidR="006D2CF6" w:rsidRPr="005128FA" w:rsidRDefault="006D2CF6" w:rsidP="006D2CF6">
      <w:pPr>
        <w:pStyle w:val="NormalHanging12a"/>
        <w:rPr>
          <w:b/>
          <w:i/>
          <w:szCs w:val="24"/>
        </w:rPr>
      </w:pPr>
      <w:r w:rsidRPr="005128FA">
        <w:rPr>
          <w:b/>
          <w:i/>
        </w:rPr>
        <w:lastRenderedPageBreak/>
        <w:t>ES lygmens veiksmai</w:t>
      </w:r>
    </w:p>
    <w:p w:rsidR="006D2CF6" w:rsidRPr="005128FA" w:rsidRDefault="006D2CF6" w:rsidP="006D2CF6">
      <w:pPr>
        <w:pStyle w:val="NormalHanging12a"/>
        <w:rPr>
          <w:szCs w:val="24"/>
        </w:rPr>
      </w:pPr>
      <w:r w:rsidRPr="005128FA">
        <w:t>26.</w:t>
      </w:r>
      <w:r w:rsidRPr="005128FA">
        <w:tab/>
        <w:t>primena, kad aeronautikos pramonė – ne tik svarbus ekonominę veiklą įgalinantis veiksnys, bet ir vienas iš sėkmingiausių aukštųjų technologijų sektorių ES; prašo Komisijos vykdyti aktyvią politiką siekiant remti ir plėtoti pramonę glaudžiai bendradarbiaujant su esamais forumais, pvz., Aviacijos mokslinių tyrimų ir inovacijų patariamąja taryba (ACARE) ir AZEA; ragina Komisiją užtikrinti, kad dabartiniai šioje srityje taikomi ES teisės aktai neprieštarautų vieni kitiems arba neužkirstų kelio aeronautikos pramonės priklausomybės nuo iškastinio kuro mažinimui ir elektrifikacijos projektų vystymui;</w:t>
      </w:r>
    </w:p>
    <w:p w:rsidR="006D2CF6" w:rsidRPr="005128FA" w:rsidRDefault="006D2CF6" w:rsidP="006D2CF6">
      <w:pPr>
        <w:pStyle w:val="NormalHanging12a"/>
        <w:rPr>
          <w:szCs w:val="24"/>
        </w:rPr>
      </w:pPr>
      <w:r w:rsidRPr="005128FA">
        <w:t>27.</w:t>
      </w:r>
      <w:r w:rsidRPr="005128FA">
        <w:tab/>
        <w:t>mano, kad, siekiant pagerinti elektrinius skrydžius, reikia labiau suderinti aviacijos ir gynybos ekosistemą ir energetikos ekosistemą; pažymi, kad Komisija rengia atskirus abiejų ekosistemų pertvarkos būdus; pripažįsta, kad pertvarkos būdai yra itin svarbūs siekiant sudaryti sąlygas pramonei veiksmingai įgyvendinti klimato srities siekius konkrečiais klimato srities veiksmais, taip išsaugant ir kuriant vertę tiek mūsų visuomenei, mūsų planetai, tiek įmonėms; vis dėlto yra susirūpinęs dėl skirtingų abiejų ekosistemų pertvarkos krypčių, visų pirma atsižvelgiant į bendrą būtinybę sukurti pakankamai stabilius elektros tinklus ir užtikrinti švarios elektros energijos įperkamumą, be kita ko, orlaivių elektrifikavimui; atsižvelgdamas į tai, pabrėžia bendros elektrinių orlaivių strategijos svarbą ir primygtinai ragina Komisiją imtis aktyvių veiksmų tokiai strategijai parengti; be to, ragina Komisiją šiuo klausimu inicijuoti jungtinį struktūrinį Mobilumo ir transporto generalinio direktorato ir Energetikos generalinio direktorato dialogą ir užbaigti procesą iki 2024 m. įvyksiančių Europos Parlamento rinkimų, kad naujoji būsima Komisija 2024 m. juo galėtų remtis rengdama būsimus reglamentus;</w:t>
      </w:r>
    </w:p>
    <w:p w:rsidR="006D2CF6" w:rsidRPr="005128FA" w:rsidRDefault="006D2CF6" w:rsidP="006D2CF6">
      <w:pPr>
        <w:pStyle w:val="NormalHanging12a"/>
        <w:rPr>
          <w:szCs w:val="24"/>
        </w:rPr>
      </w:pPr>
      <w:r w:rsidRPr="005128FA">
        <w:t>28.</w:t>
      </w:r>
      <w:r w:rsidRPr="005128FA">
        <w:tab/>
        <w:t>primena, kad AZEA buvo sukurtas Komisijos iniciatyva, siekiant suburti visus privačius ir viešuosius partnerius visoje aviacijos ekosistemoje, kad būtų pasirengta pradėti eksploatuoti vandeniliu ir elektra varomus orlaivius komerciniais tikslais; ragina Komisiją bendradarbiauti su AZEA ir remti jį plėtojant žinias apie elektrinę aviaciją; pažymi, kad šiuo atžvilgiu galėtų būti naudojamasi Poveikio klimatui neutralizavimo pramonės akto įgūdžių akademijomis, ir ragina Komisiją ir valstybes nares jas skatinti;</w:t>
      </w:r>
    </w:p>
    <w:p w:rsidR="006D2CF6" w:rsidRPr="005128FA" w:rsidRDefault="006D2CF6" w:rsidP="006D2CF6">
      <w:pPr>
        <w:pStyle w:val="NormalHanging12a"/>
        <w:rPr>
          <w:szCs w:val="24"/>
        </w:rPr>
      </w:pPr>
      <w:r w:rsidRPr="005128FA">
        <w:t>29.</w:t>
      </w:r>
      <w:r w:rsidRPr="005128FA">
        <w:tab/>
        <w:t>pabrėžia, kad šiuo metu trūksta įgūdžių elektros ir sistemų inžinerijos srityje; primena, kad ES jaunųjų mokslininkų konkursas galėtų būti naudojamas kaip atskaitos taškas rengiant teminį ES konkursą dėl jaunų talentų visose pramonės ekosistemose, įskaitant skrydžius elektriniais orlaiviais; ragina Komisiją ir valstybes nares didinti informuotumą apie ekologiškos karjeros galimybes aviacijos sektoriuje ir skatinti su tuo susijusius nacionalinius ir ES projektus;</w:t>
      </w:r>
    </w:p>
    <w:p w:rsidR="006D2CF6" w:rsidRPr="005128FA" w:rsidRDefault="006D2CF6" w:rsidP="006D2CF6">
      <w:pPr>
        <w:pStyle w:val="NormalHanging12a"/>
        <w:rPr>
          <w:szCs w:val="24"/>
        </w:rPr>
      </w:pPr>
      <w:r w:rsidRPr="005128FA">
        <w:t>30.</w:t>
      </w:r>
      <w:r w:rsidRPr="005128FA">
        <w:tab/>
        <w:t>palankiai vertina Komisijos ketinimą sukurti suderintas kvietimų teikti paraiškas paslaugas pagal esamas ES priemones ir Europos investicijų banko (EIB) paskolas siekiant remti naują pavyzdinį bepiločių orlaivių technologijų projektą; primygtinai ragina EIB nustatyti ir taikyti tikslines finansavimo priemones, skirtas besiformuojančiam Europos elektrinės aviacijos sektoriui remti ir jo poreikiams tenkinti, pripažįstant, kad tai yra kapitalui imlus sektorius, kelia išskirtinius reikalavimus, ir pripažįstant, kad elektrinių vertikaliojo kilimo ir tūpimo orlaivių diegimui taip pat reikės investicijų į antžeminę infrastruktūrą, įskaitant vertikaliojo kilimo ir tūpimo aerodromus ir įkrovimo infrastruktūrą;</w:t>
      </w:r>
    </w:p>
    <w:p w:rsidR="006D2CF6" w:rsidRPr="005128FA" w:rsidRDefault="006D2CF6" w:rsidP="006D2CF6">
      <w:pPr>
        <w:pStyle w:val="NormalHanging12a"/>
        <w:rPr>
          <w:szCs w:val="24"/>
        </w:rPr>
      </w:pPr>
      <w:r w:rsidRPr="005128FA">
        <w:lastRenderedPageBreak/>
        <w:t>31.</w:t>
      </w:r>
      <w:r w:rsidRPr="005128FA">
        <w:tab/>
        <w:t>yra susirūpinęs, kad pagal programą „Europos horizontas“ numatytas NA BĮ biudžetas gerokai mažesnis už jo užmojus; primena, kad su kiekvienu projektu susijusių inovacijų lygis yra labai aukštas ir kad parama pagal naująją daugiametę finansinę programą nuo 2027 m. turi būti proporcinga ir nuolatinė; primena, kad NA BĮ taip pat turėtų būti skatinama rūpintis elektrine aviacija ir turėtų teikti pirmenybę novatoriškų netaršios aviacijos projektų, pvz., elektra ir vandeniliu varomų orlaivių, finansavimui; atkreipia dėmesį į tai, kad, siekiant pateikti technologijas rinkai, reikalingas naujas finansavimas, kuris apimtų ne tik 6-ąjį technologinės parengties lygį; palankiai vertina tai, kad neseniai paskelbta, jog Jungtinė Karalystė prisijungia prie programos „Europos horizontas“ kaip asocijuotoji šalis – tai sustiprins mūsų bendras pastangas siekti netaršios aviacijos;</w:t>
      </w:r>
    </w:p>
    <w:p w:rsidR="006D2CF6" w:rsidRPr="005128FA" w:rsidRDefault="006D2CF6" w:rsidP="006D2CF6">
      <w:pPr>
        <w:pStyle w:val="NormalHanging12a"/>
        <w:rPr>
          <w:szCs w:val="24"/>
        </w:rPr>
      </w:pPr>
      <w:r w:rsidRPr="005128FA">
        <w:t>32.</w:t>
      </w:r>
      <w:r w:rsidRPr="005128FA">
        <w:tab/>
        <w:t>apgailestauja dėl to, kad, nepaisant didelių pastangų ir įsipareigojimų, kurių reikalaujama iš aviacijos sektoriaus siekiant sumažinti priklausomybę nuo iškastinio kuro, nėra specialaus ES aviacijos fondo, kuris būtų aiškiai skirtas aviacijai remti; ragina Komisiją paskelbti specialius kvietimus teikti paraiškas siekiant finansuoti projektus, kuriais remiama elektrifikacija, ir veiksmus, kuriais siekiama sumažinti bendrą aviacijos poveikį; tačiau primena, kad ATLPS inovacijų fondas ir sutarčių dėl anglies dioksido kainų skirtumo naudojimas yra svarbios priemonės, padedančios diegti ir pramoniniu mastu plėtoti technologijas, kurios galėtų sudaryti sąlygas elektrinei ir vandeniliu varomai aviacijai; primena Direktyvą (ES) 2023/959</w:t>
      </w:r>
      <w:r w:rsidRPr="005128FA">
        <w:rPr>
          <w:rStyle w:val="FootnoteReference"/>
          <w:szCs w:val="24"/>
        </w:rPr>
        <w:footnoteReference w:id="21"/>
      </w:r>
      <w:r w:rsidRPr="005128FA">
        <w:t>, kuria iš dalies pakeista Direktyva 2003/87/EB ir išplėsta reikalavimus atitinkančių projektų, kuriems gali būti teikiamas finansavimas iš inovacijų fondo, spektras, kad apimtų platesnį neutralaus anglies dioksido poveikio produktų, procesų ir technologijų spektrą;</w:t>
      </w:r>
    </w:p>
    <w:p w:rsidR="006D2CF6" w:rsidRPr="005128FA" w:rsidRDefault="006D2CF6" w:rsidP="006D2CF6">
      <w:pPr>
        <w:pStyle w:val="NormalHanging12a"/>
        <w:rPr>
          <w:szCs w:val="24"/>
        </w:rPr>
      </w:pPr>
      <w:r w:rsidRPr="005128FA">
        <w:t>33.</w:t>
      </w:r>
      <w:r w:rsidRPr="005128FA">
        <w:tab/>
        <w:t>pabrėžia, kad reikia gerinti baterijų terminį valdymą ir baterijų įkrovimo ir pakeitimo valdymą, taip pat spartinti baterijų perdirbimo sektoriaus plėtrą; ragina Komisiją investuoti į naujos kartos kietakūnių baterijų, kurios, palyginti su ličio jonų baterijomis, turi dvigubai daugiau energijos ir jų talpa gali būti maždaug tris kartus didesnė, mokslinius tyrimus ir plėtrą; todėl ragina Komisiją, taikant tokias priemones kaip Poveikio klimatui neutralizavimo pramonės aktas ir Europos baterijų aljansas, skatinti mažinti priklausomybę baterijų tiekimo grandinėje ir užtikrinti pakankamą svarbiausiųjų žaliavų tiekimą, taip sumažinant mūsų išorės priklausomybę nuo baterijų; ragina Komisiją ir valstybes nares kartu plėtoti strategines partnerystes su panašiai mąstančiomis ES nepriklausančiomis šalimis aeronautikos žaliavų srityje;</w:t>
      </w:r>
    </w:p>
    <w:p w:rsidR="006D2CF6" w:rsidRPr="005128FA" w:rsidRDefault="006D2CF6" w:rsidP="006D2CF6">
      <w:pPr>
        <w:pStyle w:val="NormalHanging12a"/>
        <w:rPr>
          <w:szCs w:val="24"/>
        </w:rPr>
      </w:pPr>
      <w:r w:rsidRPr="005128FA">
        <w:t>34.</w:t>
      </w:r>
      <w:r w:rsidRPr="005128FA">
        <w:tab/>
        <w:t xml:space="preserve">ragina Komisiją užtikrinti elektra varomo transporto ir judumo plėtros, reikiamos infrastruktūros ir ES politikos, kuria siekiama didinti Europos baterijų gamybos pajėgumus, įskaitant baterijų gamybai reikalingų žaliavų ir pažangiųjų medžiagų tiekimą, suderinamumą; todėl ragina Komisiją persvarstyti strateginį su baterijomis susijusių veiksmų planą, kuriame būtų susieti minėti aspektai ir į kurį būtų įtraukti kiekybiniai ir per nustatytą laiką įvykdytini ES baterijų gamybos tikslai; atsižvelgdama į tai, kas išdėstyta pirmiau, ragina valstybes nares ir Komisiją, bendradarbiaujant su pramonės atstovais, nustatyti galimą sinergiją su kelių transporto sektoriumi, siekiant kuo labiau padidinti viešąsias ir privačiąsias investicijas, ypač į baterijų ir kuro </w:t>
      </w:r>
      <w:r w:rsidRPr="005128FA">
        <w:lastRenderedPageBreak/>
        <w:t>elementų gamybą ir perdirbimą;</w:t>
      </w:r>
    </w:p>
    <w:p w:rsidR="006D2CF6" w:rsidRPr="005128FA" w:rsidRDefault="006D2CF6" w:rsidP="006D2CF6">
      <w:pPr>
        <w:pStyle w:val="NormalHanging12a"/>
        <w:rPr>
          <w:szCs w:val="24"/>
        </w:rPr>
      </w:pPr>
      <w:r w:rsidRPr="005128FA">
        <w:t>35.</w:t>
      </w:r>
      <w:r w:rsidRPr="005128FA">
        <w:tab/>
        <w:t>ragina Komisiją sukurti politikos sistemą, pagal kurią būtų remiamas elektrinių orlaivių technologijų diegimas, pvz., dalį pajamų iš aviacijos, kuriai taikoma ATLPS, nukreipti į NA BĮ, kaip numatyta pasiūlyme dėl Energijos mokesčių direktyvos</w:t>
      </w:r>
      <w:r w:rsidRPr="005128FA">
        <w:rPr>
          <w:rStyle w:val="FootnoteReference"/>
          <w:szCs w:val="24"/>
        </w:rPr>
        <w:footnoteReference w:id="22"/>
      </w:r>
      <w:r w:rsidRPr="005128FA">
        <w:t>;</w:t>
      </w:r>
    </w:p>
    <w:p w:rsidR="006D2CF6" w:rsidRPr="005128FA" w:rsidRDefault="006D2CF6" w:rsidP="006D2CF6">
      <w:pPr>
        <w:pStyle w:val="NormalHanging12a"/>
        <w:rPr>
          <w:szCs w:val="24"/>
        </w:rPr>
      </w:pPr>
      <w:r w:rsidRPr="005128FA">
        <w:t>36.</w:t>
      </w:r>
      <w:r w:rsidRPr="005128FA">
        <w:tab/>
        <w:t>ragina Komisiją parengti strategiją, kuria būtų užtikrinta, kad elektrinei aviacijai reikalinga infrastruktūra, įskaitant elektros energijos gamybą, prijungimą prie tinklo ir įkrovimo infrastruktūrą, būtų diegiama proporcingai elektra varomų orlaivių naudojimui; primena, kad neturint pakankamo kiekio žaliojo vandenilio ir stokojant infrastruktūros gali būti vėluojama pradėti eksploatuoti vandeniliu varomus orlaivius; primygtinai ragina Komisiją parengti tikslinę vandenilio gamybos ir saugojimo strategiją;</w:t>
      </w:r>
    </w:p>
    <w:p w:rsidR="006D2CF6" w:rsidRPr="005128FA" w:rsidRDefault="006D2CF6" w:rsidP="006D2CF6">
      <w:pPr>
        <w:pStyle w:val="NormalHanging12a"/>
        <w:rPr>
          <w:szCs w:val="24"/>
        </w:rPr>
      </w:pPr>
      <w:r w:rsidRPr="005128FA">
        <w:t>37.</w:t>
      </w:r>
      <w:r w:rsidRPr="005128FA">
        <w:tab/>
        <w:t>ragina EASA tęsti darbą siekiant nustatyti sertifikavimo standartus ir būdus, kad elektriniai ir hibridiniai lėktuvai taptų gyvybingi ir galėtų gerokai sutrumpinti tokių lėktuvų pateikimo rinkai laiką; ragina Komisiją šiuo atžvilgiu skirti reikiamų išteklių, ypač darbuotojų;</w:t>
      </w:r>
    </w:p>
    <w:p w:rsidR="006D2CF6" w:rsidRPr="005128FA" w:rsidRDefault="006D2CF6" w:rsidP="006D2CF6">
      <w:pPr>
        <w:pStyle w:val="NormalHanging12a"/>
        <w:rPr>
          <w:szCs w:val="24"/>
        </w:rPr>
      </w:pPr>
      <w:r w:rsidRPr="005128FA">
        <w:t>38.</w:t>
      </w:r>
      <w:r w:rsidRPr="005128FA">
        <w:tab/>
        <w:t>ragina Komisiją parengti Europos koordinuoto požiūrio į naujos kartos orlaivių, įskaitant elektrinius vertikaliojo kilimo ir tūpimo orlaivius, vystymą, sertifikavimą ir naudojimą strategiją, siekiant didinti Europos piliečių informuotumą apie jų naudą ir skatinti privačiąsias ir viešąsias investicijas, kartu išsaugant technologinę bazę ir lyderystę Europoje; mano, kad elektrinė aviacija žada užtikrinti tvaresnę kelionių oro transportu ateitį, o tikslinė informavimo kampanija yra labai svarbi didinant visuomenės informuotumą apie galimą jos naudą ir poveikį;</w:t>
      </w:r>
    </w:p>
    <w:p w:rsidR="006D2CF6" w:rsidRPr="005128FA" w:rsidRDefault="006D2CF6" w:rsidP="006D2CF6">
      <w:pPr>
        <w:pStyle w:val="NormalHanging12a"/>
        <w:jc w:val="center"/>
        <w:rPr>
          <w:szCs w:val="24"/>
        </w:rPr>
      </w:pPr>
      <w:r w:rsidRPr="005128FA">
        <w:t>°</w:t>
      </w:r>
    </w:p>
    <w:p w:rsidR="006D2CF6" w:rsidRPr="005128FA" w:rsidRDefault="006D2CF6" w:rsidP="006D2CF6">
      <w:pPr>
        <w:pStyle w:val="NormalHanging12a"/>
        <w:jc w:val="center"/>
        <w:rPr>
          <w:szCs w:val="24"/>
        </w:rPr>
      </w:pPr>
      <w:r w:rsidRPr="005128FA">
        <w:t>°</w:t>
      </w:r>
      <w:r w:rsidRPr="005128FA">
        <w:tab/>
        <w:t>°</w:t>
      </w:r>
    </w:p>
    <w:p w:rsidR="006D2CF6" w:rsidRPr="005128FA" w:rsidRDefault="006D2CF6" w:rsidP="006D2CF6">
      <w:pPr>
        <w:pStyle w:val="NormalHanging12a"/>
      </w:pPr>
      <w:r w:rsidRPr="005128FA">
        <w:t>39.</w:t>
      </w:r>
      <w:r w:rsidRPr="005128FA">
        <w:tab/>
        <w:t>paveda Pirmininkei perduoti šią rezoliuciją Tarybai ir Komisijai.</w:t>
      </w:r>
    </w:p>
    <w:p w:rsidR="00E365E1" w:rsidRPr="005128FA" w:rsidRDefault="00E365E1" w:rsidP="00040084">
      <w:bookmarkStart w:id="9" w:name="TextBodyEnd"/>
      <w:bookmarkEnd w:id="9"/>
    </w:p>
    <w:sectPr w:rsidR="00E365E1" w:rsidRPr="005128FA" w:rsidSect="005128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084" w:rsidRPr="005128FA" w:rsidRDefault="00040084">
      <w:r w:rsidRPr="005128FA">
        <w:separator/>
      </w:r>
    </w:p>
  </w:endnote>
  <w:endnote w:type="continuationSeparator" w:id="0">
    <w:p w:rsidR="00040084" w:rsidRPr="005128FA" w:rsidRDefault="00040084">
      <w:r w:rsidRPr="005128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8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8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8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084" w:rsidRPr="005128FA" w:rsidRDefault="00040084">
      <w:r w:rsidRPr="005128FA">
        <w:separator/>
      </w:r>
    </w:p>
  </w:footnote>
  <w:footnote w:type="continuationSeparator" w:id="0">
    <w:p w:rsidR="00040084" w:rsidRPr="005128FA" w:rsidRDefault="00040084">
      <w:r w:rsidRPr="005128FA">
        <w:continuationSeparator/>
      </w:r>
    </w:p>
  </w:footnote>
  <w:footnote w:id="1">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OL L 243, 2021 7 9, p. 1.</w:t>
      </w:r>
    </w:p>
  </w:footnote>
  <w:footnote w:id="2">
    <w:p w:rsidR="006D2CF6" w:rsidRPr="005128FA" w:rsidRDefault="006D2CF6" w:rsidP="005128FA">
      <w:pPr>
        <w:pStyle w:val="FootnoteText"/>
        <w:ind w:left="567" w:hanging="567"/>
        <w:rPr>
          <w:bCs/>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OL L 173, 2014 6 12, p. 65.</w:t>
      </w:r>
    </w:p>
  </w:footnote>
  <w:footnote w:id="3">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OL L 275, 2003 10 25, p. 32.</w:t>
      </w:r>
    </w:p>
  </w:footnote>
  <w:footnote w:id="4">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Priimti tekstai, P9_TA(2023)0130.</w:t>
      </w:r>
    </w:p>
  </w:footnote>
  <w:footnote w:id="5">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OL C 366, 2017 10 27, p. 2.</w:t>
      </w:r>
    </w:p>
  </w:footnote>
  <w:footnote w:id="6">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OL C 261 E, 2013 9 10, p. 1.</w:t>
      </w:r>
    </w:p>
  </w:footnote>
  <w:footnote w:id="7">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OL C 252, 2018 7 18, p. 284.</w:t>
      </w:r>
    </w:p>
  </w:footnote>
  <w:footnote w:id="8">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 xml:space="preserve">Europos Parlamentas, </w:t>
      </w:r>
      <w:hyperlink r:id="rId1" w:history="1">
        <w:r w:rsidRPr="005128FA">
          <w:rPr>
            <w:rStyle w:val="Hyperlink"/>
            <w:sz w:val="24"/>
            <w:lang w:val="lt-LT"/>
          </w:rPr>
          <w:t>„Lėktuvų ir laivų išmetami teršalai:</w:t>
        </w:r>
      </w:hyperlink>
      <w:hyperlink r:id="rId2" w:history="1">
        <w:r w:rsidRPr="005128FA">
          <w:rPr>
            <w:rStyle w:val="Hyperlink"/>
            <w:sz w:val="24"/>
            <w:lang w:val="lt-LT"/>
          </w:rPr>
          <w:t>faktai ir skaičiai“</w:t>
        </w:r>
      </w:hyperlink>
      <w:r w:rsidRPr="005128FA">
        <w:rPr>
          <w:sz w:val="24"/>
          <w:lang w:val="lt-LT"/>
        </w:rPr>
        <w:t>, atnaujinta 2023 m. birželio 15 d.</w:t>
      </w:r>
    </w:p>
  </w:footnote>
  <w:footnote w:id="9">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hyperlink r:id="rId3" w:history="1">
        <w:r w:rsidRPr="005128FA">
          <w:rPr>
            <w:rStyle w:val="Hyperlink"/>
            <w:sz w:val="24"/>
            <w:lang w:val="lt-LT"/>
          </w:rPr>
          <w:t>„Waypoint 2050“</w:t>
        </w:r>
      </w:hyperlink>
      <w:r w:rsidRPr="005128FA">
        <w:rPr>
          <w:sz w:val="24"/>
          <w:lang w:val="lt-LT"/>
        </w:rPr>
        <w:t>, „Aviation: Benefits Beyond Borders“, 2 paveikslas.</w:t>
      </w:r>
    </w:p>
  </w:footnote>
  <w:footnote w:id="10">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 xml:space="preserve">ATR, Avinor, Deutsche Aircraft (bendradarbiaujant su Private Wings), Heart Aerospace (bendradarbiaujant su </w:t>
      </w:r>
      <w:hyperlink r:id="rId4" w:history="1">
        <w:r w:rsidRPr="005128FA">
          <w:rPr>
            <w:rStyle w:val="Hyperlink"/>
            <w:sz w:val="24"/>
            <w:lang w:val="lt-LT"/>
          </w:rPr>
          <w:t>Finnair</w:t>
        </w:r>
      </w:hyperlink>
      <w:r w:rsidRPr="005128FA">
        <w:rPr>
          <w:sz w:val="24"/>
          <w:lang w:val="lt-LT"/>
        </w:rPr>
        <w:t xml:space="preserve"> ir </w:t>
      </w:r>
      <w:hyperlink r:id="rId5" w:history="1">
        <w:r w:rsidRPr="005128FA">
          <w:rPr>
            <w:rStyle w:val="Hyperlink"/>
            <w:sz w:val="24"/>
            <w:lang w:val="lt-LT"/>
          </w:rPr>
          <w:t>Icelandair</w:t>
        </w:r>
      </w:hyperlink>
      <w:r w:rsidRPr="005128FA">
        <w:rPr>
          <w:sz w:val="24"/>
          <w:lang w:val="lt-LT"/>
        </w:rPr>
        <w:t xml:space="preserve">), Pipistrel, </w:t>
      </w:r>
      <w:hyperlink r:id="rId6" w:history="1">
        <w:r w:rsidRPr="005128FA">
          <w:rPr>
            <w:rStyle w:val="Hyperlink"/>
            <w:sz w:val="24"/>
            <w:lang w:val="lt-LT"/>
          </w:rPr>
          <w:t>SAS (bendradarbiaujant su Airbus)</w:t>
        </w:r>
      </w:hyperlink>
      <w:r w:rsidRPr="005128FA">
        <w:rPr>
          <w:sz w:val="24"/>
          <w:lang w:val="lt-LT"/>
        </w:rPr>
        <w:t>, Tecnam ir kt.</w:t>
      </w:r>
    </w:p>
  </w:footnote>
  <w:footnote w:id="11">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 xml:space="preserve">Informacijos suvestinė, </w:t>
      </w:r>
      <w:hyperlink r:id="rId7" w:history="1">
        <w:r w:rsidRPr="005128FA">
          <w:rPr>
            <w:rStyle w:val="Hyperlink"/>
            <w:sz w:val="24"/>
            <w:lang w:val="lt-LT"/>
          </w:rPr>
          <w:t>„Net zero 2050: new aircraft technology“</w:t>
        </w:r>
      </w:hyperlink>
      <w:r w:rsidRPr="005128FA">
        <w:rPr>
          <w:sz w:val="24"/>
          <w:lang w:val="lt-LT"/>
        </w:rPr>
        <w:t>, IATA, 2023 m. birželio mėn.</w:t>
      </w:r>
    </w:p>
  </w:footnote>
  <w:footnote w:id="12">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hyperlink r:id="rId8" w:history="1">
        <w:r w:rsidRPr="005128FA">
          <w:rPr>
            <w:rStyle w:val="Hyperlink"/>
            <w:sz w:val="24"/>
            <w:lang w:val="lt-LT"/>
          </w:rPr>
          <w:t>Pipistrel Velis Electro</w:t>
        </w:r>
      </w:hyperlink>
      <w:r w:rsidRPr="005128FA">
        <w:rPr>
          <w:sz w:val="24"/>
          <w:lang w:val="lt-LT"/>
        </w:rPr>
        <w:t>.</w:t>
      </w:r>
    </w:p>
  </w:footnote>
  <w:footnote w:id="13">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OL L 234, 2023 9 22, p. 1.</w:t>
      </w:r>
    </w:p>
  </w:footnote>
  <w:footnote w:id="14">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hyperlink r:id="rId9" w:history="1">
        <w:r w:rsidRPr="005128FA">
          <w:rPr>
            <w:rStyle w:val="Hyperlink"/>
            <w:sz w:val="24"/>
            <w:lang w:val="lt-LT"/>
          </w:rPr>
          <w:t>Accessibility study for electric aviation.</w:t>
        </w:r>
      </w:hyperlink>
      <w:hyperlink r:id="rId10" w:history="1">
        <w:r w:rsidRPr="005128FA">
          <w:rPr>
            <w:rStyle w:val="Hyperlink"/>
            <w:sz w:val="24"/>
            <w:lang w:val="lt-LT"/>
          </w:rPr>
          <w:t xml:space="preserve"> Part of the project Electric Aviation and the Effect on Nordic Regions</w:t>
        </w:r>
      </w:hyperlink>
      <w:r w:rsidRPr="005128FA">
        <w:rPr>
          <w:sz w:val="24"/>
          <w:lang w:val="lt-LT"/>
        </w:rPr>
        <w:t>.</w:t>
      </w:r>
    </w:p>
  </w:footnote>
  <w:footnote w:id="15">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Ten pat.</w:t>
      </w:r>
    </w:p>
  </w:footnote>
  <w:footnote w:id="16">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https://www.easa.europa.eu/lt/newsroom-and-events/press-releases/easa-publishes-worlds-first-proposal-assessment-and-limitation.</w:t>
      </w:r>
    </w:p>
  </w:footnote>
  <w:footnote w:id="17">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EASA, Vertiports. „Prototype Technical Specifications for the Design of VFR Vertiports for Operation of with Manned VTOL-Capable Aircraft Certified in the Enhanced Category (PTS-VPT-DSN)“, 2022 m. kovo mėn.</w:t>
      </w:r>
    </w:p>
  </w:footnote>
  <w:footnote w:id="18">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hyperlink r:id="rId11" w:history="1">
        <w:r w:rsidRPr="005128FA">
          <w:rPr>
            <w:rStyle w:val="Hyperlink"/>
            <w:i/>
            <w:sz w:val="24"/>
            <w:lang w:val="lt-LT"/>
          </w:rPr>
          <w:t>Target True Zero:</w:t>
        </w:r>
      </w:hyperlink>
      <w:hyperlink r:id="rId12" w:history="1">
        <w:r w:rsidRPr="005128FA">
          <w:rPr>
            <w:rStyle w:val="Hyperlink"/>
            <w:i/>
            <w:sz w:val="24"/>
            <w:lang w:val="lt-LT"/>
          </w:rPr>
          <w:t xml:space="preserve"> Delivering the Infrastructure for Battery and Hydrogen-Powered Flight</w:t>
        </w:r>
      </w:hyperlink>
      <w:r w:rsidRPr="005128FA">
        <w:rPr>
          <w:sz w:val="24"/>
          <w:lang w:val="lt-LT"/>
        </w:rPr>
        <w:t>, Pasaulio ekonomikos forumas, 2023 m. balandžio mėn., p. 10–15.</w:t>
      </w:r>
    </w:p>
  </w:footnote>
  <w:footnote w:id="19">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2023 m. rugsėjo 13 d. Europos Parlamento ir Tarybos reglamentas (ES) 2023/1804 dėl alternatyviųjų degalų infrastruktūros diegimo, kuriuo panaikinama Direktyva 2014/94/ES (OL L 234, 2023 9 22, p. 1).</w:t>
      </w:r>
    </w:p>
  </w:footnote>
  <w:footnote w:id="20">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hyperlink r:id="rId13" w:history="1">
        <w:r w:rsidRPr="005128FA">
          <w:rPr>
            <w:rStyle w:val="Hyperlink"/>
            <w:sz w:val="24"/>
            <w:lang w:val="lt-LT"/>
          </w:rPr>
          <w:t>Airbus and Renault Group to advance research on electrification</w:t>
        </w:r>
      </w:hyperlink>
      <w:r w:rsidRPr="005128FA">
        <w:rPr>
          <w:sz w:val="24"/>
          <w:lang w:val="lt-LT"/>
        </w:rPr>
        <w:t>.</w:t>
      </w:r>
    </w:p>
  </w:footnote>
  <w:footnote w:id="21">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 xml:space="preserve">2023 m. gegužės 10 d. Europos Parlamento ir Tarybos direktyva (ES) 2023/959, kuria iš dalies keičiama Direktyva 2003/87/EB, nustatanti šiltnamio efektą sukeliančių dujų emisijos leidimų sistemą Sąjungoje, ir Sprendimas (ES) 2015/1814 dėl Sąjungos šiltnamio efektą sukeliančių dujų apyvartinių taršos leidimų prekybos sistemos rinkos stabilumo rezervo sukūrimo ir veikimo (OL L 130, 2023 5 16, p. 134). </w:t>
      </w:r>
    </w:p>
  </w:footnote>
  <w:footnote w:id="22">
    <w:p w:rsidR="006D2CF6" w:rsidRPr="005128FA" w:rsidRDefault="006D2CF6" w:rsidP="005128FA">
      <w:pPr>
        <w:pStyle w:val="FootnoteText"/>
        <w:ind w:left="567" w:hanging="567"/>
        <w:rPr>
          <w:sz w:val="24"/>
          <w:lang w:val="lt-LT"/>
        </w:rPr>
      </w:pPr>
      <w:r w:rsidRPr="005128FA">
        <w:rPr>
          <w:rStyle w:val="FootnoteReference"/>
          <w:sz w:val="24"/>
          <w:lang w:val="lt-LT"/>
        </w:rPr>
        <w:footnoteRef/>
      </w:r>
      <w:r w:rsidR="005128FA" w:rsidRPr="005128FA">
        <w:rPr>
          <w:sz w:val="24"/>
          <w:lang w:val="lt-LT"/>
        </w:rPr>
        <w:t xml:space="preserve"> </w:t>
      </w:r>
      <w:r w:rsidR="005128FA" w:rsidRPr="005128FA">
        <w:rPr>
          <w:sz w:val="24"/>
          <w:lang w:val="lt-LT"/>
        </w:rPr>
        <w:tab/>
      </w:r>
      <w:r w:rsidRPr="005128FA">
        <w:rPr>
          <w:sz w:val="24"/>
          <w:lang w:val="lt-LT"/>
        </w:rPr>
        <w:t xml:space="preserve">2003 m. spalio 27 d. </w:t>
      </w:r>
      <w:r w:rsidRPr="005128FA">
        <w:rPr>
          <w:sz w:val="24"/>
          <w:lang w:val="lt-LT"/>
        </w:rPr>
        <w:t>Tarybos direktyva 2003/96/EB, pakeičianti Bendrijos energetikos produktų ir elektros energijos mokesčių struktūrą (OL</w:t>
      </w:r>
      <w:r w:rsidR="00BB411F" w:rsidRPr="005128FA">
        <w:rPr>
          <w:sz w:val="24"/>
          <w:lang w:val="lt-LT"/>
        </w:rPr>
        <w:t> </w:t>
      </w:r>
      <w:r w:rsidRPr="005128FA">
        <w:rPr>
          <w:sz w:val="24"/>
          <w:lang w:val="lt-LT"/>
        </w:rPr>
        <w:t>L 283, 2003 10 31, p.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8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8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28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LT"/>
    <w:docVar w:name="dvnumam" w:val="0"/>
    <w:docVar w:name="dvpe" w:val="751.901"/>
    <w:docVar w:name="dvrapporteur" w:val="Pranešėjas: "/>
    <w:docVar w:name="dvtitre" w:val="2024 m. sausio XX d. Europos Parlamento rezoliucija dėl elektrinės aviacijos – sprendimo trumpojo ir vidutinio nuotolio skrydžiams(2023/2060(INI))"/>
  </w:docVars>
  <w:rsids>
    <w:rsidRoot w:val="00040084"/>
    <w:rsid w:val="00002272"/>
    <w:rsid w:val="00040084"/>
    <w:rsid w:val="00064002"/>
    <w:rsid w:val="000677B9"/>
    <w:rsid w:val="000831BA"/>
    <w:rsid w:val="000A42CC"/>
    <w:rsid w:val="000E7DD9"/>
    <w:rsid w:val="0010095E"/>
    <w:rsid w:val="00125B37"/>
    <w:rsid w:val="00187494"/>
    <w:rsid w:val="001F32AE"/>
    <w:rsid w:val="002767FF"/>
    <w:rsid w:val="002B18FE"/>
    <w:rsid w:val="002B5493"/>
    <w:rsid w:val="00343214"/>
    <w:rsid w:val="00357BD0"/>
    <w:rsid w:val="00361C00"/>
    <w:rsid w:val="00395FA1"/>
    <w:rsid w:val="003E15D4"/>
    <w:rsid w:val="00411CCE"/>
    <w:rsid w:val="0041666E"/>
    <w:rsid w:val="00421060"/>
    <w:rsid w:val="00471C19"/>
    <w:rsid w:val="004867E3"/>
    <w:rsid w:val="00494A28"/>
    <w:rsid w:val="004C0004"/>
    <w:rsid w:val="004C5D52"/>
    <w:rsid w:val="0050519A"/>
    <w:rsid w:val="005072A1"/>
    <w:rsid w:val="005128FA"/>
    <w:rsid w:val="00514517"/>
    <w:rsid w:val="00545827"/>
    <w:rsid w:val="00560270"/>
    <w:rsid w:val="005C2568"/>
    <w:rsid w:val="006037C0"/>
    <w:rsid w:val="006631B6"/>
    <w:rsid w:val="00680577"/>
    <w:rsid w:val="006D2CF6"/>
    <w:rsid w:val="006F74FA"/>
    <w:rsid w:val="00731ADD"/>
    <w:rsid w:val="00734777"/>
    <w:rsid w:val="00747932"/>
    <w:rsid w:val="00751A4A"/>
    <w:rsid w:val="00756632"/>
    <w:rsid w:val="00762C74"/>
    <w:rsid w:val="00786EC0"/>
    <w:rsid w:val="007D1690"/>
    <w:rsid w:val="007E22AD"/>
    <w:rsid w:val="0080127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995"/>
    <w:rsid w:val="00AB441E"/>
    <w:rsid w:val="00AB6293"/>
    <w:rsid w:val="00AE0928"/>
    <w:rsid w:val="00AF3B82"/>
    <w:rsid w:val="00B12E95"/>
    <w:rsid w:val="00B22876"/>
    <w:rsid w:val="00B558F0"/>
    <w:rsid w:val="00BB411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2AA"/>
    <w:rsid w:val="00E365E1"/>
    <w:rsid w:val="00E820A4"/>
    <w:rsid w:val="00EB006A"/>
    <w:rsid w:val="00EB4772"/>
    <w:rsid w:val="00ED169E"/>
    <w:rsid w:val="00ED4235"/>
    <w:rsid w:val="00F04346"/>
    <w:rsid w:val="00F075DC"/>
    <w:rsid w:val="00F149E9"/>
    <w:rsid w:val="00F5134D"/>
    <w:rsid w:val="00F65C1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156A6"/>
  <w15:chartTrackingRefBased/>
  <w15:docId w15:val="{D132EE5D-DD8C-4BEA-AF20-3C1AEDDC9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D2CF6"/>
    <w:pPr>
      <w:spacing w:after="240"/>
      <w:ind w:left="567" w:hanging="567"/>
    </w:pPr>
  </w:style>
  <w:style w:type="paragraph" w:customStyle="1" w:styleId="EPComma">
    <w:name w:val="EPComma"/>
    <w:basedOn w:val="Normal"/>
    <w:rsid w:val="006D2CF6"/>
    <w:pPr>
      <w:spacing w:before="480" w:after="240"/>
    </w:pPr>
  </w:style>
  <w:style w:type="character" w:styleId="Hyperlink">
    <w:name w:val="Hyperlink"/>
    <w:basedOn w:val="DefaultParagraphFont"/>
    <w:uiPriority w:val="99"/>
    <w:unhideWhenUsed/>
    <w:rsid w:val="006D2CF6"/>
    <w:rPr>
      <w:color w:val="0000FF"/>
      <w:u w:val="single"/>
    </w:rPr>
  </w:style>
  <w:style w:type="character" w:customStyle="1" w:styleId="NormalHanging12aChar">
    <w:name w:val="NormalHanging12a Char"/>
    <w:basedOn w:val="DefaultParagraphFont"/>
    <w:link w:val="NormalHanging12a"/>
    <w:rsid w:val="006D2CF6"/>
    <w:rPr>
      <w:sz w:val="24"/>
      <w:lang w:val="lt-LT"/>
    </w:rPr>
  </w:style>
  <w:style w:type="paragraph" w:styleId="BalloonText">
    <w:name w:val="Balloon Text"/>
    <w:basedOn w:val="Normal"/>
    <w:link w:val="BalloonTextChar"/>
    <w:rsid w:val="00E132AA"/>
    <w:rPr>
      <w:rFonts w:ascii="Segoe UI" w:hAnsi="Segoe UI" w:cs="Segoe UI"/>
      <w:sz w:val="18"/>
      <w:szCs w:val="18"/>
    </w:rPr>
  </w:style>
  <w:style w:type="character" w:customStyle="1" w:styleId="BalloonTextChar">
    <w:name w:val="Balloon Text Char"/>
    <w:basedOn w:val="DefaultParagraphFont"/>
    <w:link w:val="BalloonText"/>
    <w:rsid w:val="00E132A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pipistrel-aircraft.com/products/velis-electro/" TargetMode="External"/><Relationship Id="rId13" Type="http://schemas.openxmlformats.org/officeDocument/2006/relationships/hyperlink" Target="https://www.airbus.com/en/newsroom/press-releases/2022-11-airbus-and-renault-group-to-advance-research-on-electrification"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3.weforum.org/docs/WEF_Target_True_Zero_2023.pdf" TargetMode="External"/><Relationship Id="rId2" Type="http://schemas.openxmlformats.org/officeDocument/2006/relationships/hyperlink" Target="https://www.europarl.europa.eu/news/lt/headlines/society/20191129STO67756/emissions-from-planes-and-ships-facts-and-figures-infographic" TargetMode="External"/><Relationship Id="rId1" Type="http://schemas.openxmlformats.org/officeDocument/2006/relationships/hyperlink" Target="https://www.europarl.europa.eu/news/lt/headlines/society/20191129STO67756/emissions-from-planes-and-ships-facts-and-figures-infographic"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www3.weforum.org/docs/WEF_Target_True_Zero_2023.pdf"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storymaps.arcgis.com/stories/3b35687163744e69a6966b5b9fad976e" TargetMode="External"/><Relationship Id="rId4" Type="http://schemas.openxmlformats.org/officeDocument/2006/relationships/hyperlink" Target="https://www.greenairnews.com/?p=824" TargetMode="External"/><Relationship Id="rId9" Type="http://schemas.openxmlformats.org/officeDocument/2006/relationships/hyperlink" Target="https://storymaps.arcgis.com/stories/3b35687163744e69a6966b5b9fad976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9A073-7393-41E6-A93C-A914C44D6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4211</Words>
  <Characters>27122</Characters>
  <Application>Microsoft Office Word</Application>
  <DocSecurity>0</DocSecurity>
  <Lines>1130</Lines>
  <Paragraphs>368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2024-01-16T11:50:00Z</dcterms:created>
  <dcterms:modified xsi:type="dcterms:W3CDTF">2024-01-16T11:50:00Z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A9-0438/2023</vt:lpwstr>
  </property>
  <property fmtid="{D5CDD505-2E9C-101B-9397-08002B2CF9AE}" pid="4" name="&lt;Type&gt;">
    <vt:lpwstr>RR</vt:lpwstr>
  </property>
</Properties>
</file>