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4B3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4B3B" w:rsidRDefault="000F3257" w:rsidP="0010095E">
            <w:pPr>
              <w:pStyle w:val="EPName"/>
            </w:pPr>
            <w:r w:rsidRPr="00EB4B3B">
              <w:t>Parlament Europejski</w:t>
            </w:r>
          </w:p>
          <w:p w:rsidR="00751A4A" w:rsidRPr="00EB4B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4B3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B4B3B" w:rsidRDefault="00187494" w:rsidP="0010095E">
            <w:pPr>
              <w:pStyle w:val="EPLogo"/>
            </w:pPr>
            <w:r w:rsidRPr="00EB4B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4B3B" w:rsidRDefault="00D058B8" w:rsidP="004C5D52">
      <w:pPr>
        <w:pStyle w:val="LineTop"/>
      </w:pPr>
    </w:p>
    <w:p w:rsidR="00680577" w:rsidRPr="00EB4B3B" w:rsidRDefault="000F3257" w:rsidP="00680577">
      <w:pPr>
        <w:pStyle w:val="EPBodyTA1"/>
      </w:pPr>
      <w:r w:rsidRPr="00EB4B3B">
        <w:t>TEKSTY PRZYJĘTE</w:t>
      </w:r>
    </w:p>
    <w:p w:rsidR="00D058B8" w:rsidRPr="00EB4B3B" w:rsidRDefault="00D058B8" w:rsidP="00D058B8">
      <w:pPr>
        <w:pStyle w:val="LineBottom"/>
      </w:pPr>
    </w:p>
    <w:p w:rsidR="000F3257" w:rsidRPr="00EB4B3B" w:rsidRDefault="000F3257" w:rsidP="000F3257">
      <w:pPr>
        <w:pStyle w:val="ATHeading1"/>
      </w:pPr>
      <w:bookmarkStart w:id="0" w:name="TANumber"/>
      <w:r w:rsidRPr="00EB4B3B">
        <w:t>P9_TA(2024)00</w:t>
      </w:r>
      <w:bookmarkEnd w:id="0"/>
      <w:r w:rsidR="00E47232">
        <w:t>14</w:t>
      </w:r>
    </w:p>
    <w:p w:rsidR="000F3257" w:rsidRPr="00EB4B3B" w:rsidRDefault="000F3257" w:rsidP="000F3257">
      <w:pPr>
        <w:pStyle w:val="ATHeading2"/>
      </w:pPr>
      <w:bookmarkStart w:id="1" w:name="title"/>
      <w:r w:rsidRPr="00EB4B3B">
        <w:t>Lotnictwo elektryczne – rozwiązanie na potrzeby lotów krótko- i średniodystansowych</w:t>
      </w:r>
      <w:bookmarkEnd w:id="1"/>
    </w:p>
    <w:p w:rsidR="000F3257" w:rsidRPr="00EB4B3B" w:rsidRDefault="000F3257" w:rsidP="000F3257">
      <w:pPr>
        <w:rPr>
          <w:i/>
          <w:vanish/>
        </w:rPr>
      </w:pPr>
      <w:r w:rsidRPr="00EB4B3B">
        <w:rPr>
          <w:i/>
        </w:rPr>
        <w:fldChar w:fldCharType="begin"/>
      </w:r>
      <w:r w:rsidRPr="00EB4B3B">
        <w:rPr>
          <w:i/>
        </w:rPr>
        <w:instrText xml:space="preserve"> TC"(</w:instrText>
      </w:r>
      <w:bookmarkStart w:id="2" w:name="DocNumber"/>
      <w:r w:rsidRPr="00EB4B3B">
        <w:rPr>
          <w:i/>
        </w:rPr>
        <w:instrText>A9-0438/2023</w:instrText>
      </w:r>
      <w:bookmarkEnd w:id="2"/>
      <w:r w:rsidRPr="00EB4B3B">
        <w:rPr>
          <w:i/>
        </w:rPr>
        <w:instrText xml:space="preserve"> - Sprawozdawca: Erik Bergkvist)"\l3 \n&gt; \* MERGEFORMAT </w:instrText>
      </w:r>
      <w:r w:rsidRPr="00EB4B3B">
        <w:rPr>
          <w:i/>
        </w:rPr>
        <w:fldChar w:fldCharType="end"/>
      </w:r>
    </w:p>
    <w:p w:rsidR="000F3257" w:rsidRPr="00EB4B3B" w:rsidRDefault="000F3257" w:rsidP="000F3257">
      <w:pPr>
        <w:rPr>
          <w:vanish/>
        </w:rPr>
      </w:pPr>
      <w:bookmarkStart w:id="3" w:name="Commission"/>
      <w:r w:rsidRPr="00EB4B3B">
        <w:rPr>
          <w:vanish/>
        </w:rPr>
        <w:t>Komisja Transportu i Turystyki</w:t>
      </w:r>
      <w:bookmarkEnd w:id="3"/>
    </w:p>
    <w:p w:rsidR="000F3257" w:rsidRPr="00EB4B3B" w:rsidRDefault="000F3257" w:rsidP="000F3257">
      <w:pPr>
        <w:rPr>
          <w:vanish/>
        </w:rPr>
      </w:pPr>
      <w:bookmarkStart w:id="4" w:name="PE"/>
      <w:r w:rsidRPr="00EB4B3B">
        <w:rPr>
          <w:vanish/>
        </w:rPr>
        <w:t>PE751.901</w:t>
      </w:r>
      <w:bookmarkEnd w:id="4"/>
    </w:p>
    <w:p w:rsidR="000F3257" w:rsidRPr="00EB4B3B" w:rsidRDefault="000F3257" w:rsidP="000F3257">
      <w:pPr>
        <w:pStyle w:val="ATHeading3"/>
      </w:pPr>
      <w:bookmarkStart w:id="5" w:name="Sujet"/>
      <w:r w:rsidRPr="00EB4B3B">
        <w:t xml:space="preserve">Rezolucja Parlamentu Europejskiego z dnia </w:t>
      </w:r>
      <w:r w:rsidR="00E47232">
        <w:t>16</w:t>
      </w:r>
      <w:r w:rsidRPr="00EB4B3B">
        <w:t xml:space="preserve"> </w:t>
      </w:r>
      <w:r w:rsidR="005A3E74">
        <w:t xml:space="preserve">stycznia </w:t>
      </w:r>
      <w:r w:rsidRPr="00EB4B3B">
        <w:t>2024 r. na temat lotnictwa elektrycznego – rozwiązanie na potrzeby lotów krótko- i średniodystansowych</w:t>
      </w:r>
      <w:bookmarkEnd w:id="5"/>
      <w:r w:rsidRPr="00EB4B3B">
        <w:t xml:space="preserve"> </w:t>
      </w:r>
      <w:bookmarkStart w:id="6" w:name="References"/>
      <w:r w:rsidRPr="00EB4B3B">
        <w:t>(2023/2060(INI))</w:t>
      </w:r>
      <w:bookmarkEnd w:id="6"/>
    </w:p>
    <w:p w:rsidR="00A5408F" w:rsidRPr="00EB4B3B" w:rsidRDefault="00A5408F" w:rsidP="00A5408F">
      <w:pPr>
        <w:pStyle w:val="EPComma"/>
      </w:pPr>
      <w:bookmarkStart w:id="7" w:name="TextBodyBegin"/>
      <w:bookmarkEnd w:id="7"/>
      <w:r w:rsidRPr="00EB4B3B">
        <w:rPr>
          <w:i/>
          <w:iCs/>
        </w:rPr>
        <w:t>Parlament Europejski</w:t>
      </w:r>
      <w:r w:rsidRPr="00EB4B3B">
        <w:t>,</w:t>
      </w:r>
    </w:p>
    <w:p w:rsidR="00A5408F" w:rsidRPr="00EB4B3B" w:rsidRDefault="00A5408F" w:rsidP="00A5408F">
      <w:pPr>
        <w:pStyle w:val="NormalHanging12a"/>
        <w:rPr>
          <w:i/>
        </w:rPr>
      </w:pPr>
      <w:r w:rsidRPr="00EB4B3B">
        <w:t>–</w:t>
      </w:r>
      <w:r w:rsidRPr="00EB4B3B">
        <w:tab/>
        <w:t>uwzględniając Traktat o f</w:t>
      </w:r>
      <w:r w:rsidR="005A3E74">
        <w:t>unkcjonowaniu Unii Europejskiej</w:t>
      </w:r>
      <w:r w:rsidRPr="00EB4B3B">
        <w:t>, w szczególn</w:t>
      </w:r>
      <w:bookmarkStart w:id="8" w:name="_GoBack"/>
      <w:bookmarkEnd w:id="8"/>
      <w:r w:rsidRPr="00EB4B3B">
        <w:t>ości jego art. 90,</w:t>
      </w:r>
    </w:p>
    <w:p w:rsidR="00A5408F" w:rsidRPr="00EB4B3B" w:rsidRDefault="00A5408F" w:rsidP="00A5408F">
      <w:pPr>
        <w:pStyle w:val="NormalHanging12a"/>
      </w:pPr>
      <w:r w:rsidRPr="00EB4B3B">
        <w:t>–</w:t>
      </w:r>
      <w:r w:rsidRPr="00EB4B3B">
        <w:tab/>
        <w:t>uwzględniając T</w:t>
      </w:r>
      <w:r w:rsidR="005A3E74">
        <w:t>raktat o Unii Europejskiej</w:t>
      </w:r>
      <w:r w:rsidRPr="00EB4B3B">
        <w:t>, w szczególności jego art. 3 ust. 3,</w:t>
      </w:r>
    </w:p>
    <w:p w:rsidR="00A5408F" w:rsidRPr="00EB4B3B" w:rsidRDefault="00A5408F" w:rsidP="00A5408F">
      <w:pPr>
        <w:pStyle w:val="NormalHanging12a"/>
      </w:pPr>
      <w:r w:rsidRPr="00EB4B3B">
        <w:t>–</w:t>
      </w:r>
      <w:r w:rsidRPr="00EB4B3B">
        <w:tab/>
        <w:t>uwzględniając wniosek Komisji z 16 marca 2023 r. dotyczący rozporządzenia Parlamentu Europejskiego i Rady w sprawie ustanowienia ram środków na rzecz wzmocnienia europejskiego ekosystemu produkcji produktów technologii neutralnych emisyjnie (akt w sprawie przemysłu neutralnego emisyjnie) (COM(2023)0161),</w:t>
      </w:r>
    </w:p>
    <w:p w:rsidR="00A5408F" w:rsidRPr="00EB4B3B" w:rsidRDefault="00A5408F" w:rsidP="00A5408F">
      <w:pPr>
        <w:pStyle w:val="NormalHanging12a"/>
      </w:pPr>
      <w:r w:rsidRPr="00EB4B3B">
        <w:t>–</w:t>
      </w:r>
      <w:r w:rsidRPr="00EB4B3B">
        <w:tab/>
        <w:t>uwzględniając wniosek Komisji z 14 lipca 2021 r. dotyczący rozporządzenia Parlamentu Europejskiego i Rady w sprawie rozwoju infrastruktury paliw alternatywnych i uchylającego dyrektywę Parlamentu Europejskiego i Rady 2014/94/UE (</w:t>
      </w:r>
      <w:r w:rsidRPr="00EB4B3B">
        <w:rPr>
          <w:shd w:val="clear" w:color="auto" w:fill="FFFFFF"/>
        </w:rPr>
        <w:t>COM(2021)0559)</w:t>
      </w:r>
      <w:r w:rsidRPr="00EB4B3B">
        <w:t>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wniosek Komisji z dnia 14 grudnia 2021 r. dotyczący rozporządzenia Parlamentu Europejskiego i Rady w sprawie unijnych wytycznych dotyczących rozwoju transeuropejskiej sieci transportowej, zmieniającego rozporządzenie (UE) 2021/1153 i rozporządzenie (UE) nr 913/2010 oraz uchylającego rozporządzenie (UE) nr 1315/2013 (COM</w:t>
      </w:r>
      <w:proofErr w:type="gramStart"/>
      <w:r w:rsidRPr="00EB4B3B">
        <w:t>(2021)0812), w</w:t>
      </w:r>
      <w:proofErr w:type="gramEnd"/>
      <w:r w:rsidRPr="00EB4B3B">
        <w:t xml:space="preserve"> szczególności jego sekcję 5 dotyczącą infrastruktury transportu lotniczego,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wniosek Komisji z dnia 7 czerwca 2018 r. dotyczący rozporządzenia Parlamentu Europejskiego i Rady ustanawiającego program ramowy w zakresie badań naukowych i innowacji „Horyzont Europa” oraz zasady uczestnictwa i upowszechniania obowiązujące w tym programie (COM(2018)0435),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wniosek Komisji z dnia 11 czerwca 2013 r. dotyczący rozporządzenia Parlamentu Europejskiego i Rady w sprawie wdrożenia jednolitej europejskiej przestrzeni powietrznej (COM(2013)0410),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lastRenderedPageBreak/>
        <w:t>–</w:t>
      </w:r>
      <w:r w:rsidRPr="00EB4B3B">
        <w:tab/>
        <w:t xml:space="preserve">uwzględniając komunikat Komisji z 29 listopada 2022 r. zatytułowany „Strategia dotycząca dronów 2.0 </w:t>
      </w:r>
      <w:proofErr w:type="gramStart"/>
      <w:r w:rsidRPr="00EB4B3B">
        <w:t>na</w:t>
      </w:r>
      <w:proofErr w:type="gramEnd"/>
      <w:r w:rsidRPr="00EB4B3B">
        <w:t xml:space="preserve"> rzecz inteligentnego i zrównoważonego ekosystemu bezzałogowych statków powietrznych w Europie” (COM(2022)0652),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komunikat Komisji z 9 grudnia 2020 r. pt. „Strategia na rzecz zrównoważonej i inteligentnej mobilności – europejski transport na drodze ku przyszłości” (COM(2020)0789),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rozporządzenie Parlamentu Europejskiego i Rady (UE) 2021/1119 z 30 czerwca 2021 r. w sprawie ustanowienia ram na potrzeby osiągnięcia neutralności klimatycznej i zmiany rozporządzeń (WE) nr 401/2009 i (UE) 2018/1999 (Europejskie prawo o klimacie</w:t>
      </w:r>
      <w:proofErr w:type="gramStart"/>
      <w:r w:rsidRPr="00EB4B3B">
        <w:t>)</w:t>
      </w:r>
      <w:r w:rsidRPr="00EB4B3B">
        <w:rPr>
          <w:rStyle w:val="FootnoteReference"/>
          <w:szCs w:val="24"/>
        </w:rPr>
        <w:footnoteReference w:id="1"/>
      </w:r>
      <w:r w:rsidRPr="00EB4B3B">
        <w:t>, przekształcające</w:t>
      </w:r>
      <w:proofErr w:type="gramEnd"/>
      <w:r w:rsidRPr="00EB4B3B">
        <w:t xml:space="preserve"> cele Europejskiego Zielonego Ładu w prawo,</w:t>
      </w:r>
    </w:p>
    <w:p w:rsidR="00A5408F" w:rsidRPr="00EB4B3B" w:rsidRDefault="00A5408F" w:rsidP="00A5408F">
      <w:pPr>
        <w:pStyle w:val="NormalHanging12a"/>
        <w:rPr>
          <w:bCs/>
          <w:szCs w:val="24"/>
        </w:rPr>
      </w:pPr>
      <w:r w:rsidRPr="00EB4B3B">
        <w:t>–</w:t>
      </w:r>
      <w:r w:rsidRPr="00EB4B3B">
        <w:tab/>
        <w:t>uwzględniając rozporządzenie Parlamentu Europejskiego i Rady (UE) nr 598/2014 z dnia 16 kwietnia 2014 r. w sprawie ustanowienia zasad i procedur w odniesieniu do wprowadzenia ograniczeń operacyjnych odnoszących się do poziomu hałasu w portach lotniczych Unii w ramach zrównoważonego podejścia oraz uchylające dyrektywę 2002/30/WE</w:t>
      </w:r>
      <w:r w:rsidRPr="00EB4B3B">
        <w:rPr>
          <w:rStyle w:val="FootnoteReference"/>
          <w:bCs/>
          <w:szCs w:val="24"/>
        </w:rPr>
        <w:footnoteReference w:id="2"/>
      </w:r>
      <w:r w:rsidRPr="00EB4B3B">
        <w:t>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dyrektywę 2003/87/WE Parlamentu Europejskiego i Rady z dnia 13 października 2003 r. ustanawiającą system handlu przydziałami emisji gazów cieplarnianych w Unii oraz zmieniającą dyrektywę Rady 96/61/WE</w:t>
      </w:r>
      <w:r w:rsidRPr="00EB4B3B">
        <w:rPr>
          <w:rStyle w:val="FootnoteReference"/>
          <w:szCs w:val="24"/>
        </w:rPr>
        <w:footnoteReference w:id="3"/>
      </w:r>
      <w:r w:rsidRPr="00EB4B3B">
        <w:t>, w szczególności ustanowienie funduszu innowacyjnego,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Europejski Zielony Ład, który ma skierować UE na ścieżkę zielonej transformacji i którego ostatecznym celem jest osiągnięcie neutralności klimatycznej do 2050 r.,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 xml:space="preserve">uwzględniając przyjęcie pakietu „Gotowi na 55” i wnioski wchodzące w jego skład, w szczególności wniosek w sprawie zwiększenia produkcji i wykorzystania zrównoważonych paliw lotniczych (SAF), znany również jako inicjatywa </w:t>
      </w:r>
      <w:proofErr w:type="spellStart"/>
      <w:r w:rsidRPr="00EB4B3B">
        <w:t>ReFuelEU</w:t>
      </w:r>
      <w:proofErr w:type="spellEnd"/>
      <w:r w:rsidRPr="00EB4B3B">
        <w:t xml:space="preserve"> </w:t>
      </w:r>
      <w:proofErr w:type="spellStart"/>
      <w:r w:rsidRPr="00EB4B3B">
        <w:t>Aviation</w:t>
      </w:r>
      <w:proofErr w:type="spellEnd"/>
      <w:r w:rsidRPr="00EB4B3B">
        <w:t>, oraz wniosek w sprawie przeglądu unijnych systemów handlu uprawnieniami do emisji (ETS) w odniesieniu do emisji CO</w:t>
      </w:r>
      <w:r w:rsidRPr="00EB4B3B">
        <w:rPr>
          <w:vertAlign w:val="subscript"/>
        </w:rPr>
        <w:t>2</w:t>
      </w:r>
      <w:r w:rsidRPr="00EB4B3B">
        <w:t xml:space="preserve"> z działalności lotniczej,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swoją rezolucję z dnia 9 maja 2023 r. w sprawie nowych unijnych ram mobilności miejskiej</w:t>
      </w:r>
      <w:r w:rsidRPr="00EB4B3B">
        <w:rPr>
          <w:rStyle w:val="FootnoteReference"/>
          <w:szCs w:val="24"/>
        </w:rPr>
        <w:footnoteReference w:id="4"/>
      </w:r>
      <w:r w:rsidRPr="00EB4B3B">
        <w:t>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–</w:t>
      </w:r>
      <w:r w:rsidRPr="00EB4B3B">
        <w:tab/>
        <w:t>uwzględniając swoją rezolucję z dnia 11 listopada 2015 r. w sprawie lotnictwa</w:t>
      </w:r>
      <w:r w:rsidRPr="00EB4B3B">
        <w:rPr>
          <w:rStyle w:val="FootnoteReference"/>
          <w:szCs w:val="24"/>
        </w:rPr>
        <w:footnoteReference w:id="5"/>
      </w:r>
      <w:r w:rsidRPr="00EB4B3B">
        <w:t>,</w:t>
      </w:r>
    </w:p>
    <w:p w:rsidR="00A5408F" w:rsidRPr="00EB4B3B" w:rsidRDefault="00A5408F" w:rsidP="00A5408F">
      <w:pPr>
        <w:pStyle w:val="NormalHanging12a"/>
        <w:rPr>
          <w:bCs/>
          <w:szCs w:val="24"/>
        </w:rPr>
      </w:pPr>
      <w:r w:rsidRPr="00EB4B3B">
        <w:t>–</w:t>
      </w:r>
      <w:r w:rsidRPr="00EB4B3B">
        <w:rPr>
          <w:b/>
        </w:rPr>
        <w:tab/>
      </w:r>
      <w:r w:rsidRPr="00EB4B3B">
        <w:t>uwzględniając swoją rezolucję z dnia 10 maja 2012 r. w sprawie przyszłości regionalnych portów lotniczych i usług lotniczych w UE</w:t>
      </w:r>
      <w:r w:rsidRPr="00EB4B3B">
        <w:rPr>
          <w:rStyle w:val="FootnoteReference"/>
          <w:bCs/>
          <w:szCs w:val="24"/>
        </w:rPr>
        <w:footnoteReference w:id="6"/>
      </w:r>
      <w:r w:rsidRPr="00EB4B3B">
        <w:t xml:space="preserve"> oraz swoją rezolucję z dnia 16 lutego 2017 r. w sprawie europejskiej strategii w dziedzinie lotnictwa</w:t>
      </w:r>
      <w:r w:rsidRPr="00EB4B3B">
        <w:rPr>
          <w:rStyle w:val="FootnoteReference"/>
          <w:bCs/>
          <w:szCs w:val="24"/>
        </w:rPr>
        <w:footnoteReference w:id="7"/>
      </w:r>
      <w:r w:rsidRPr="00EB4B3B">
        <w:t>,</w:t>
      </w:r>
    </w:p>
    <w:p w:rsidR="00A5408F" w:rsidRPr="00EB4B3B" w:rsidRDefault="00A5408F" w:rsidP="00A5408F">
      <w:pPr>
        <w:pStyle w:val="NormalHanging12a"/>
        <w:rPr>
          <w:bCs/>
          <w:szCs w:val="24"/>
        </w:rPr>
      </w:pPr>
      <w:r w:rsidRPr="00EB4B3B">
        <w:t>–</w:t>
      </w:r>
      <w:r w:rsidRPr="00EB4B3B">
        <w:tab/>
        <w:t xml:space="preserve">uwzględniając specjalne warunki certyfikacji SC E-19 Agencji Unii Europejskiej ds. </w:t>
      </w:r>
      <w:r w:rsidRPr="00EB4B3B">
        <w:lastRenderedPageBreak/>
        <w:t>Bezpieczeństwa Lotniczego (EASA) dla elektrycznych/hybrydowych układów napędowych,</w:t>
      </w:r>
    </w:p>
    <w:p w:rsidR="00A5408F" w:rsidRPr="00EB4B3B" w:rsidRDefault="00A5408F" w:rsidP="00A5408F">
      <w:pPr>
        <w:pStyle w:val="NormalHanging12a"/>
      </w:pPr>
      <w:r w:rsidRPr="00EB4B3B">
        <w:t>–</w:t>
      </w:r>
      <w:r w:rsidRPr="00EB4B3B">
        <w:rPr>
          <w:b/>
        </w:rPr>
        <w:tab/>
      </w:r>
      <w:r w:rsidRPr="00EB4B3B">
        <w:t>uwzględniając art. 54 Regulaminu,</w:t>
      </w:r>
    </w:p>
    <w:p w:rsidR="00A5408F" w:rsidRPr="00EB4B3B" w:rsidRDefault="00A5408F" w:rsidP="00A5408F">
      <w:pPr>
        <w:pStyle w:val="NormalHanging12a"/>
      </w:pPr>
      <w:r w:rsidRPr="00EB4B3B">
        <w:t>–</w:t>
      </w:r>
      <w:r w:rsidRPr="00EB4B3B">
        <w:tab/>
        <w:t>uwzględniając sprawozdanie Komisji Transportu i Turystyki (A9-0438/2023),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A.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do 2019 r. emisje pochodzące z lotnictwa międzynarodowego wzrosły o 146 % w porównaniu z 1990 r.</w:t>
      </w:r>
      <w:r w:rsidRPr="00EB4B3B">
        <w:rPr>
          <w:rStyle w:val="FootnoteReference"/>
          <w:szCs w:val="24"/>
        </w:rPr>
        <w:footnoteReference w:id="8"/>
      </w:r>
      <w:r w:rsidRPr="00EB4B3B">
        <w:t>; mając na uwadze, że przewiduje się, że udział ten będzie wzrastał wraz ze wzrostem popytu na przewozy lotnicze;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B.</w:t>
      </w:r>
      <w:r w:rsidRPr="00EB4B3B">
        <w:tab/>
        <w:t>mając na uwadze, że 50–55 % emisji można by zmniejszyć dzięki przejściu na stosowanie SAF, 30–35 % dzięki wdrożeniu nowych technologii, 5–10 % dzięki optymalizacji eksploatacji i infrastruktury statków powietrznych, a 5 % dzięki stosowaniu nowych środków rynkowych</w:t>
      </w:r>
      <w:r w:rsidRPr="00EB4B3B">
        <w:rPr>
          <w:rStyle w:val="FootnoteReference"/>
          <w:szCs w:val="24"/>
        </w:rPr>
        <w:footnoteReference w:id="9"/>
      </w:r>
      <w:r w:rsidRPr="00EB4B3B">
        <w:t>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C.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w celu osiągnięcia wymaganych redukcji emisji do 2050 r., 75 % światowej floty lotnictwa cywilnego będzie wymagało wymiany, począwszy od 2035 r.;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D.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działania na rzecz prawdziwie czystego lotnictwa wymagają ściślejszej współpracy między ośrodkami badawczymi, producentami, liniami lotniczymi, rządami i innymi zainteresowanymi stronami; mając na uwadze, że część branży lotniczej jest już zaangażowana w opracowywanie zaawansowanych koncepcji statków powietrznych</w:t>
      </w:r>
      <w:r w:rsidRPr="00EB4B3B">
        <w:rPr>
          <w:rStyle w:val="FootnoteReference"/>
          <w:szCs w:val="24"/>
        </w:rPr>
        <w:footnoteReference w:id="10"/>
      </w:r>
      <w:r w:rsidRPr="00EB4B3B">
        <w:t xml:space="preserve"> takich jak elektryczne statki powietrzne pionowego startu i lądowania (</w:t>
      </w:r>
      <w:proofErr w:type="spellStart"/>
      <w:r w:rsidRPr="00EB4B3B">
        <w:t>eVTOL</w:t>
      </w:r>
      <w:proofErr w:type="spellEnd"/>
      <w:r w:rsidRPr="00EB4B3B">
        <w:t>);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E.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Wspólne Przedsięwzięcie na rzecz Ekologicznego Lotnictwa (CAJU) jest wiodącym unijnym programem badań naukowych i innowacji ukierunkowanym na transformację lotnictwa w kierunku zrównoważonej przyszłości; mając na uwadze, że CAJU i EASA wspólnie pracują nad przyjęciem standardowego systemu certyfikacji na potrzeby samolotów nowej generacji;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F.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małe elektryczne samoloty testowe o maksymalnej liczbie dziewięciu miejsc wykonują już loty w różnych regionach UE; mając na uwadze, że produkcja samolotów elektrycznych o maksymalnej liczbie 30 miejsc planowana jest na koniec lat 20. XXI wieku, a regionalnych – na lata 30. XXI wieku</w:t>
      </w:r>
      <w:r w:rsidRPr="00EB4B3B">
        <w:rPr>
          <w:rStyle w:val="FootnoteReference"/>
          <w:szCs w:val="24"/>
        </w:rPr>
        <w:footnoteReference w:id="11"/>
      </w:r>
      <w:r w:rsidRPr="00EB4B3B">
        <w:t>; mając na uwadze, że obecnie prowadzone są już bezpieczne i przyjazne dla środowiska szkolenia pilotów z wykorzystaniem pierwszej floty samolotów elektrycznych certyfikowanych przez EASA</w:t>
      </w:r>
      <w:r w:rsidRPr="00EB4B3B">
        <w:rPr>
          <w:rStyle w:val="FootnoteReference"/>
          <w:szCs w:val="24"/>
        </w:rPr>
        <w:footnoteReference w:id="12"/>
      </w:r>
      <w:r w:rsidRPr="00EB4B3B">
        <w:t xml:space="preserve">; mając na uwadze, że kilka modeli </w:t>
      </w:r>
      <w:proofErr w:type="spellStart"/>
      <w:r w:rsidRPr="00EB4B3B">
        <w:t>eVTOL</w:t>
      </w:r>
      <w:proofErr w:type="spellEnd"/>
      <w:r w:rsidRPr="00EB4B3B">
        <w:t xml:space="preserve"> złożyło już w EASA wniosek o certyfikację typu;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lastRenderedPageBreak/>
        <w:t>G.</w:t>
      </w:r>
      <w:r w:rsidRPr="00EB4B3B">
        <w:tab/>
        <w:t>mając na uwadze, że EASA zaproponowała przepisy dotyczące bezpiecznej eksploatacji statków powietrznych VTOL, w tym taksówek powietrznych, oraz kompleksowy zestaw wymogów operacyjnych dla pilotowanych elektrycznych taksówek powietrznych, obejmujący obszary działania, licencjonowanie załóg lotniczych oraz przepisy dotyczące zarządzania przestrzenią powietrzną i ruchem lotniczym;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H.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lotnictwo elektryczne i hybrydowo-elektryczne może wzmocnić miejską i regionalną mobilność powietrzną oraz dostępność lotniczą, ponieważ zapewni szeroki wachlarz innowacyjnych rozwiązań w zakresie transportu publicznego; mając na uwadze, że w międzyczasie nabiera kształtu projekt mający na celu stworzenie samolotów napędzanych wodorem i wprowadzenie ich na dużą skalę do 2035 r.;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I.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lotnictwo elektryczne i hybrydowo-elektryczne zwiększy konkurencyjność pod względem czasu podróży na krótszych trasach dzięki szybszym transferom; mając na uwadze, że niewielkimi samolotami elektrycznymi podróżować będzie mniejsza liczba pasażerów, co z kolei skróci czas wejścia na pokład i obsługi naziemnej;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J.</w:t>
      </w:r>
      <w:r w:rsidRPr="00EB4B3B">
        <w:tab/>
        <w:t>mając na uwadze, że w UE obserwuje się szybki rozwój technologii akumulatorów zarówno pod względem wielkości produkcji, jak i wydatków na rozwój;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K.</w:t>
      </w:r>
      <w:r w:rsidRPr="00EB4B3B">
        <w:tab/>
        <w:t xml:space="preserve">mając na uwadze, że powodzenie wysoce złożonych projektów badawczo-rozwojowych w dziedzinie ekologicznego lotnictwa zależy bezpośrednio od wsparcia finansowego i politycznego, w tym od wsparcia instytucji Unii i państw członkowskich; mając na uwadze, że powstało wiele sojuszy na rzecz czystego lotnictwa, takich jak Sojusz na rzecz Lotnictwa </w:t>
      </w:r>
      <w:proofErr w:type="spellStart"/>
      <w:r w:rsidRPr="00EB4B3B">
        <w:t>Bezemisyjnego</w:t>
      </w:r>
      <w:proofErr w:type="spellEnd"/>
      <w:r w:rsidRPr="00EB4B3B">
        <w:t xml:space="preserve"> (AZEA), które obecnie pracują nad szeregiem projektów, ale potrzebują skutecznego wsparcia UE; mając na uwadze, że zachęty publiczne dla tych projektów mają zasadnicze znaczenie dla przyciągnięcia inwestycji prywatnych;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L.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w nadchodzących latach konieczne będą inwestycje państw członkowskich w zasilanie energią elektryczną samolotów podczas postoju, aby osiągnąć cele określone w rozporządzeniu Parlamentu Europejskiego i Rady (UE) 2023/1804 z dnia 13 września 2023 r. w sprawie rozwoju infrastruktury paliw alternatywnych</w:t>
      </w:r>
      <w:r w:rsidRPr="00EB4B3B">
        <w:rPr>
          <w:rStyle w:val="FootnoteReference"/>
          <w:szCs w:val="24"/>
        </w:rPr>
        <w:footnoteReference w:id="13"/>
      </w:r>
      <w:r w:rsidRPr="00EB4B3B">
        <w:t>, co może stanowić ważny krok w kierunku przyszłego rozwoju infrastruktury ładowania elektrycznych statków powietrznych;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M.</w:t>
      </w:r>
      <w:r w:rsidRPr="00EB4B3B">
        <w:tab/>
        <w:t>mając na uwadze, że obliczanie śladu węglowego lotnictwa elektrycznego i napędzanego wodorem musi opierać się na całym cyklu życia, w tym na źródle produkcji energii i produkcji akumulatora;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N.</w:t>
      </w:r>
      <w:r w:rsidRPr="00EB4B3B">
        <w:tab/>
        <w:t>mając na uwadze, że chociaż sektor lotnictwa wyraźnie odczuł ponownie swoją podatność na pandemie, geopolitykę i wstrząsy gospodarcze, dowiódł swojej kluczowej roli w utrzymaniu ciągłości łańcucha dostaw, zwłaszcza w odniesieniu do podstawowych towarów;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O.</w:t>
      </w:r>
      <w:r w:rsidRPr="00EB4B3B">
        <w:tab/>
      </w:r>
      <w:proofErr w:type="gramStart"/>
      <w:r w:rsidRPr="00EB4B3B">
        <w:t>mając</w:t>
      </w:r>
      <w:proofErr w:type="gramEnd"/>
      <w:r w:rsidRPr="00EB4B3B">
        <w:t xml:space="preserve"> na uwadze, że uwzględnienie umiejętności ekologicznych i cyfrowych w edukacji technicznej oraz fachowej wiedzy z dziedzin, takich jak technologia i inżynieria lotnicza, nauki ścisłe i matematyka, ma kluczowe znaczenie dla </w:t>
      </w:r>
      <w:r w:rsidRPr="00EB4B3B">
        <w:lastRenderedPageBreak/>
        <w:t>zrównoważonego rozwoju lotnictwa i tworzenia atrakcyjnych miejsc pracy dla młodych ludzi;</w:t>
      </w:r>
    </w:p>
    <w:p w:rsidR="00A5408F" w:rsidRPr="00EB4B3B" w:rsidRDefault="00A5408F" w:rsidP="00A5408F">
      <w:pPr>
        <w:pStyle w:val="NormalHanging12a"/>
      </w:pPr>
      <w:r w:rsidRPr="00EB4B3B">
        <w:t>P.</w:t>
      </w:r>
      <w:r w:rsidRPr="00EB4B3B">
        <w:tab/>
        <w:t>mając na uwadze, że bezpieczeństwo musi pozostać najważniejszym priorytetem lotnictwa;</w:t>
      </w:r>
    </w:p>
    <w:p w:rsidR="00A5408F" w:rsidRPr="00EB4B3B" w:rsidRDefault="00A5408F" w:rsidP="00A5408F">
      <w:pPr>
        <w:pStyle w:val="NormalHanging12a"/>
        <w:rPr>
          <w:b/>
          <w:i/>
        </w:rPr>
      </w:pPr>
      <w:r w:rsidRPr="00EB4B3B">
        <w:rPr>
          <w:b/>
          <w:i/>
        </w:rPr>
        <w:t>Korzyści wynikające z elektryfikacji samolotów</w:t>
      </w:r>
    </w:p>
    <w:p w:rsidR="00A5408F" w:rsidRPr="00EB4B3B" w:rsidRDefault="00A5408F" w:rsidP="00A5408F">
      <w:pPr>
        <w:pStyle w:val="NormalHanging12a"/>
      </w:pPr>
      <w:r w:rsidRPr="00EB4B3B">
        <w:t>1.</w:t>
      </w:r>
      <w:r w:rsidRPr="00EB4B3B">
        <w:tab/>
      </w:r>
      <w:proofErr w:type="gramStart"/>
      <w:r w:rsidRPr="00EB4B3B">
        <w:t>zwraca</w:t>
      </w:r>
      <w:proofErr w:type="gramEnd"/>
      <w:r w:rsidRPr="00EB4B3B">
        <w:t xml:space="preserve"> uwagę na znaczenie regionalnych portów lotniczych w Unii w kontekście krótko- i średniodystansowych operacji lotniczych wykonywanych przez samoloty elektryczne; podkreśla potencjał regionalnych portów lotniczych jako multimodalnych centrów innowacji oraz małych i średnich przedsiębiorstw (MŚP) w całym łańcuchu dostaw, sprzyjających badaniom i konkurencji nie tylko w sektorze lotnictwa, ale także w innych sektorach transportowych, takich jak transport drogowy, morski i kolejowy; w związku z tym zwraca się do Komisji o potwierdzenie wsparcia finansowego dla regionalnych portów lotniczych, zwłaszcza tych, które prowadzą działalność w dziedzinie lotnictwa elektrycznego;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2.</w:t>
      </w:r>
      <w:r w:rsidRPr="00EB4B3B">
        <w:tab/>
      </w:r>
      <w:proofErr w:type="gramStart"/>
      <w:r w:rsidRPr="00EB4B3B">
        <w:t>jest</w:t>
      </w:r>
      <w:proofErr w:type="gramEnd"/>
      <w:r w:rsidRPr="00EB4B3B">
        <w:t xml:space="preserve"> przekonany, że bardziej ekologiczne, szybsze i wygodniejsze rozwiązania w zakresie transportu lotniczego przyczyniłyby się do zwiększenia łączności i dostępności na mniejszych, bardziej odizolowanych i słabo zaludnionych obszarach, w tym w regionach wyspiarskich i regionach najbardziej oddalonych, w szczególności pod względem dostępu do usług publicznych, tworzenia miejsc pracy i rozwoju bardziej zrównoważonej turystyki;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3.</w:t>
      </w:r>
      <w:r w:rsidRPr="00EB4B3B">
        <w:tab/>
      </w:r>
      <w:proofErr w:type="gramStart"/>
      <w:r w:rsidRPr="00EB4B3B">
        <w:t>zwraca</w:t>
      </w:r>
      <w:proofErr w:type="gramEnd"/>
      <w:r w:rsidRPr="00EB4B3B">
        <w:t xml:space="preserve"> uwagę, że trudno będzie połączyć regiony najbardziej oddalone z kontynentem europejskim za pomocą lotnictwa elektrycznego ze względu na ich oddalenie i ograniczoną pojemność akumulatorów samolotów; podkreśla jednak potencjał lotnictwa elektrycznego w zapewnianiu łączności między regionami najbardziej oddalonymi, co sprzyja ich rozwojowi i przyczynia się do częściowego zmniejszenia negatywnych skutków dla ich gospodarek wynikających z trudnej topografii; podkreśla konieczność wsparcia finansowego, merytorycznego i technicznego dla regionów peryferyjnych, aby zapewnić odpowiednie tempo rozwoju infrastruktury niezbędnej do szybkiego i niezawodnego ładowania akumulatorów, serwisowania samolotów </w:t>
      </w:r>
      <w:proofErr w:type="spellStart"/>
      <w:r w:rsidRPr="00EB4B3B">
        <w:t>eVTOL</w:t>
      </w:r>
      <w:proofErr w:type="spellEnd"/>
      <w:r w:rsidRPr="00EB4B3B">
        <w:t xml:space="preserve"> oraz szkolenia wysoko wykwalifikowanych techników i operatorów;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4.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w obliczu barier geograficznych dzięki wykorzystaniu lotów elektrycznych jako nowego środka transportu publicznego, który nie jest uzależniony od istniejących dróg lub torów kolejowych, można zaoszczędzić dużo czasu; nawiązuje do doświadczeń krajów nordyckich, które łączą cechy geograficzne charakteryzujące się fiordami, jeziorami i górami, niską gęstość zaludnienia i silną koncentrację na zrównoważonej energii</w:t>
      </w:r>
      <w:r w:rsidRPr="00EB4B3B">
        <w:rPr>
          <w:rStyle w:val="FootnoteReference"/>
          <w:szCs w:val="24"/>
        </w:rPr>
        <w:footnoteReference w:id="14"/>
      </w:r>
      <w:r w:rsidRPr="00EB4B3B">
        <w:t>, oraz regionów najbardziej oddalonych, które charakteryzują się wyspiarskością, odległą lokalizacją, niewielkimi rozmiarami oraz trudną topografią i klimatem; zwraca się do Komisji o przeanalizowanie tego potencjału w ścisłej współpracy z odpowiednimi regionami i państwami członkowskimi;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5.</w:t>
      </w:r>
      <w:r w:rsidRPr="00EB4B3B">
        <w:tab/>
      </w:r>
      <w:proofErr w:type="gramStart"/>
      <w:r w:rsidRPr="00EB4B3B">
        <w:t>uważa</w:t>
      </w:r>
      <w:proofErr w:type="gramEnd"/>
      <w:r w:rsidRPr="00EB4B3B">
        <w:t xml:space="preserve">, że elektryfikacja lotnictwa regionalnego może sprawić, że wcześniej porzucone </w:t>
      </w:r>
      <w:r w:rsidRPr="00EB4B3B">
        <w:lastRenderedPageBreak/>
        <w:t>połączenia staną się rentowne i poprawią dostępność lotniczą, co z kolei pobudzi rozwój regionalny i przyciągnie nowe inwestycje regionalne; podkreśla wiarygodne perspektywy hybrydyzacji w świetle regionalnych ograniczeń lotnictwa związanych z autonomią i liczbą pasażerów;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6.</w:t>
      </w:r>
      <w:r w:rsidRPr="00EB4B3B">
        <w:tab/>
      </w:r>
      <w:proofErr w:type="gramStart"/>
      <w:r w:rsidRPr="00EB4B3B">
        <w:t>przypomina</w:t>
      </w:r>
      <w:proofErr w:type="gramEnd"/>
      <w:r w:rsidRPr="00EB4B3B">
        <w:t xml:space="preserve"> o wizji Komisji wyrażonej w jej strategii dotyczącej dronów 2.0, </w:t>
      </w:r>
      <w:proofErr w:type="gramStart"/>
      <w:r w:rsidRPr="00EB4B3B">
        <w:t>że</w:t>
      </w:r>
      <w:proofErr w:type="gramEnd"/>
      <w:r w:rsidRPr="00EB4B3B">
        <w:t xml:space="preserve"> do 2030 r. statki powietrzne </w:t>
      </w:r>
      <w:proofErr w:type="spellStart"/>
      <w:r w:rsidRPr="00EB4B3B">
        <w:t>eVTOL</w:t>
      </w:r>
      <w:proofErr w:type="spellEnd"/>
      <w:r w:rsidRPr="00EB4B3B">
        <w:t xml:space="preserve"> mają stać się podstawą transportu pasażerskiego, włączając się do istniejących systemów transportu i przyczyniając się do obniżenia emisyjności UE, przy jednoczesnym zminimalizowaniu wszelkiego negatywnego wpływu na środowisko</w:t>
      </w:r>
      <w:r w:rsidRPr="00EB4B3B">
        <w:rPr>
          <w:rStyle w:val="FootnoteReference"/>
          <w:szCs w:val="24"/>
        </w:rPr>
        <w:footnoteReference w:id="15"/>
      </w:r>
      <w:r w:rsidRPr="00EB4B3B">
        <w:t xml:space="preserve">; podkreśla fakt, że pomimo szybkiego rozwoju technologicznego statków powietrznych </w:t>
      </w:r>
      <w:proofErr w:type="spellStart"/>
      <w:r w:rsidRPr="00EB4B3B">
        <w:t>eVTOL</w:t>
      </w:r>
      <w:proofErr w:type="spellEnd"/>
      <w:r w:rsidRPr="00EB4B3B">
        <w:t xml:space="preserve"> obecnie są one nadal ograniczone do sześciu miejsc, podczas gdy </w:t>
      </w:r>
      <w:proofErr w:type="spellStart"/>
      <w:r w:rsidRPr="00EB4B3B">
        <w:t>stałopłatowe</w:t>
      </w:r>
      <w:proofErr w:type="spellEnd"/>
      <w:r w:rsidRPr="00EB4B3B">
        <w:t xml:space="preserve"> elektryczne statki powietrzne są już w stanie przewozić więcej pasażerów zarówno na istniejących, jak i nowych miejskich trasach lotniczych; wzywa Komisję, by odrębnie traktowała te dwie możliwości, ponieważ wykorzystują one różne technologie i służą różnym rynkom; jest przekonany, że zarówno statki powietrzne </w:t>
      </w:r>
      <w:proofErr w:type="spellStart"/>
      <w:r w:rsidRPr="00EB4B3B">
        <w:t>eVTOL</w:t>
      </w:r>
      <w:proofErr w:type="spellEnd"/>
      <w:r w:rsidRPr="00EB4B3B">
        <w:t xml:space="preserve">, jak i </w:t>
      </w:r>
      <w:proofErr w:type="spellStart"/>
      <w:r w:rsidRPr="00EB4B3B">
        <w:t>stałopłatowe</w:t>
      </w:r>
      <w:proofErr w:type="spellEnd"/>
      <w:r w:rsidRPr="00EB4B3B">
        <w:t xml:space="preserve"> </w:t>
      </w:r>
      <w:proofErr w:type="gramStart"/>
      <w:r w:rsidRPr="00EB4B3B">
        <w:t>elektryczne</w:t>
      </w:r>
      <w:proofErr w:type="gramEnd"/>
      <w:r w:rsidRPr="00EB4B3B">
        <w:t xml:space="preserve"> statki powietrzne trzeba postrzegać jako formy transportu stanowiące uzupełnienie nowej miejskiej mobilności powietrznej;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7.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samoloty z silnikami elektrycznymi powodują prawie zerowe zanieczyszczenie podczas operacji, co oznacza ograniczenie lokalnych emisji, które mogłyby mieć niekorzystny wpływ na zdrowie osób mieszkających w pobliżu portów lotniczych; uważa zatem, że w szczególności samoloty emitujące niski poziom decybeli powinny korzystać z uproszczonych procedur uzyskiwania zezwoleń związanych z hałasem lub odstępstw od ograniczeń lotów; podkreśla, że ograniczenie hałasu osiągnięte dzięki lotnictwu elektrycznemu emitującemu niski poziom decybeli może poprawić sytuację niektórych portów lotniczych i pobliskich obszarów mieszkalnych;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8.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należy wykorzystać potencjał znacznie mniejszego hałasu generowanego przez samoloty elektryczne i hybrydowo-elektryczne; apeluje do sektora o wykorzystanie prac EASA przy określaniu pierwszej specyfikacji technicznej</w:t>
      </w:r>
      <w:r w:rsidRPr="00EB4B3B">
        <w:rPr>
          <w:rStyle w:val="FootnoteReference"/>
          <w:szCs w:val="24"/>
        </w:rPr>
        <w:footnoteReference w:id="16"/>
      </w:r>
      <w:r w:rsidRPr="00EB4B3B">
        <w:t xml:space="preserve"> dotyczącej ochrony środowiska do oceny hałasu niektórych statków powietrznych </w:t>
      </w:r>
      <w:proofErr w:type="spellStart"/>
      <w:r w:rsidRPr="00EB4B3B">
        <w:t>eVTOL</w:t>
      </w:r>
      <w:proofErr w:type="spellEnd"/>
      <w:r w:rsidRPr="00EB4B3B">
        <w:t>, która to specyfikacja będzie mieć na celu zapewnienie wysokiego, jednolitego poziomu ochrony środowiska dla obywateli Europy i ułatwienie integracji tych statków z ekosystemem lotniczym i środowiskiem miejskim;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9.</w:t>
      </w:r>
      <w:r w:rsidRPr="00EB4B3B">
        <w:tab/>
      </w:r>
      <w:proofErr w:type="gramStart"/>
      <w:r w:rsidRPr="00EB4B3B">
        <w:t>jest</w:t>
      </w:r>
      <w:proofErr w:type="gramEnd"/>
      <w:r w:rsidRPr="00EB4B3B">
        <w:t xml:space="preserve"> głęboko przekonany, że elektryczne i elektryczno-hybrydowe statki powietrzne będą miały znaczny potencjał w zakresie redukcji emisji gazów cieplarnianych w lotnictwie oraz stworzą nowe możliwości mobilności w miastach; z zadowoleniem przyjmuje prace podjęte dotychczas przez EASA nad statkami powietrznymi </w:t>
      </w:r>
      <w:proofErr w:type="spellStart"/>
      <w:r w:rsidRPr="00EB4B3B">
        <w:t>eVTOL</w:t>
      </w:r>
      <w:proofErr w:type="spellEnd"/>
      <w:r w:rsidRPr="00EB4B3B">
        <w:t xml:space="preserve">, które mają być wykorzystywane jako taksówki powietrzne, nad projektem niezbędnej </w:t>
      </w:r>
      <w:r w:rsidRPr="00EB4B3B">
        <w:lastRenderedPageBreak/>
        <w:t>infrastruktury naziemnej do bezpiecznej miejskiej mobilności powietrznej</w:t>
      </w:r>
      <w:r w:rsidRPr="00EB4B3B">
        <w:rPr>
          <w:rStyle w:val="FootnoteReference"/>
          <w:szCs w:val="24"/>
        </w:rPr>
        <w:footnoteReference w:id="17"/>
      </w:r>
      <w:r w:rsidRPr="00EB4B3B">
        <w:t xml:space="preserve"> oraz nad dostosowaniem ram regulacyjnych lotnictwa w celu ułatwienia wejścia na rynek statków powietrznych wykorzystujących napęd elektryczny i napędzanych wodorem; podkreśla kluczową rolę EASA w certyfikacji tych typów statków powietrznych, ponieważ może ona przyspieszyć ich rozwój; popiera komercjalizację przyjaznych dla środowiska statków powietrznych </w:t>
      </w:r>
      <w:proofErr w:type="gramStart"/>
      <w:r w:rsidRPr="00EB4B3B">
        <w:t>wykorzystujących</w:t>
      </w:r>
      <w:proofErr w:type="gramEnd"/>
      <w:r w:rsidRPr="00EB4B3B">
        <w:t xml:space="preserve"> alternatywne technologie napędu w celu uzupełnienia środków wprowadzonych w ramach inicjatyw dotyczących zrównoważonych paliw lotniczych; zwraca się do Komisji o podjęcie w przyszłości działań w celu zapewnienia, aby loty elektryczne obsługiwały krótkie trasy regionalne do celów zobowiązań z tytułu świadczenia usług publicznych zgodnie z obowiązującymi przepisami UE;</w:t>
      </w:r>
    </w:p>
    <w:p w:rsidR="00A5408F" w:rsidRPr="00EB4B3B" w:rsidRDefault="00A5408F" w:rsidP="00A5408F">
      <w:pPr>
        <w:pStyle w:val="NormalHanging12a"/>
        <w:rPr>
          <w:b/>
          <w:i/>
        </w:rPr>
      </w:pPr>
      <w:r w:rsidRPr="00EB4B3B">
        <w:rPr>
          <w:b/>
          <w:i/>
        </w:rPr>
        <w:t>Inwestycje z myślą o przyszłości</w:t>
      </w:r>
    </w:p>
    <w:p w:rsidR="00A5408F" w:rsidRPr="00EB4B3B" w:rsidRDefault="00A5408F" w:rsidP="00A5408F">
      <w:pPr>
        <w:pStyle w:val="NormalHanging12a"/>
      </w:pPr>
      <w:r w:rsidRPr="00EB4B3B">
        <w:t>10.</w:t>
      </w:r>
      <w:r w:rsidRPr="00EB4B3B">
        <w:tab/>
      </w:r>
      <w:proofErr w:type="gramStart"/>
      <w:r w:rsidRPr="00EB4B3B">
        <w:t>uważa</w:t>
      </w:r>
      <w:proofErr w:type="gramEnd"/>
      <w:r w:rsidRPr="00EB4B3B">
        <w:t>, że chociaż loty krótko- i średniodystansowe odpowiadają za ułamek emisji, to każde zelektryfikowane połączenie oznacza mniejszy ślad klimatyczny i środowiskowy lotnictwa i stanowi opłacalną inwestycję; nalega, aby już teraz rozpoczęto koncentrowanie niezbędnych inwestycji;</w:t>
      </w:r>
    </w:p>
    <w:p w:rsidR="00A5408F" w:rsidRPr="00EB4B3B" w:rsidRDefault="00A5408F" w:rsidP="00A5408F">
      <w:pPr>
        <w:pStyle w:val="NormalHanging12a"/>
      </w:pPr>
      <w:r w:rsidRPr="00EB4B3B">
        <w:t>11.</w:t>
      </w:r>
      <w:r w:rsidRPr="00EB4B3B">
        <w:tab/>
      </w:r>
      <w:proofErr w:type="gramStart"/>
      <w:r w:rsidRPr="00EB4B3B">
        <w:t>uważa</w:t>
      </w:r>
      <w:proofErr w:type="gramEnd"/>
      <w:r w:rsidRPr="00EB4B3B">
        <w:t>, że cele związane z niskimi i zerowymi emisjami zostaną również osiągnięte dzięki wykorzystaniu technologii hybrydowo-elektrycznych rozwiniętych z myślą o regionalnych i międzynarodowych lotach krótko- i średniodystansowych prowadzonych zarówno na potrzeby lotnictwa komercyjnego, jak i biznesowego, i wzywa do niezbędnych inwestycji w badania i rozwój w dziedzinie projektowania samolotów i układów napędowych, akumulatorów i innych rozwiązań hybrydowych; uważa, że wraz z komercjalizacją lotnictwa elektrycznego państwa członkowskie powinny rozważyć przegląd swoich przepisów zakazujących lotów krótko- i średniodystansowych;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12.</w:t>
      </w:r>
      <w:r w:rsidRPr="00EB4B3B">
        <w:tab/>
      </w:r>
      <w:proofErr w:type="gramStart"/>
      <w:r w:rsidRPr="00EB4B3B">
        <w:t>twierdzi</w:t>
      </w:r>
      <w:proofErr w:type="gramEnd"/>
      <w:r w:rsidRPr="00EB4B3B">
        <w:t>, że znaczne potrzeby związane z wymianą floty lotnictwa cywilnego stanowią wyzwanie i wymagają znacznych nakładów finansowych, ale są także dużą szansą dla rynku, dzięki której cały sektor transportowy w Europie może prowadzić do tworzenia nowych miejsc pracy i umiejętności;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13.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rozwój lotnictwa elektrycznego do zastosowań komercyjnych wymaga skutecznego wsparcia finansowego i regulacyjnego zarówno na poziomie krajowym, jak i unijnym; zwraca uwagę na nadzwyczaj korzystne wyniki osiągnięte dzięki zamówieniom publicznym i jest zdania, że jest to skuteczne narzędzie elektryfikacji sektora bez zakłócania rynku;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14.</w:t>
      </w:r>
      <w:r w:rsidRPr="00EB4B3B">
        <w:tab/>
      </w:r>
      <w:proofErr w:type="gramStart"/>
      <w:r w:rsidRPr="00EB4B3B">
        <w:t>zachęca</w:t>
      </w:r>
      <w:proofErr w:type="gramEnd"/>
      <w:r w:rsidRPr="00EB4B3B">
        <w:t xml:space="preserve"> państwa członkowskie, aby rozważyły wprowadzenie zachęt rynkowych i korzyści dla producentów i operatorów samolotów elektrycznych oraz odpowiednich MŚP w celu promowania rozwoju i przyjęcia tej przyjaznej dla środowiska technologii; uważa, że wspomniane zachęty i korzyści związane ze stosowaniem elektrycznych komponentów lotniczych, energii elektrycznej i jednostek emisji mogą napędzać wzrost </w:t>
      </w:r>
      <w:r w:rsidRPr="00EB4B3B">
        <w:lastRenderedPageBreak/>
        <w:t>rynku;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15.</w:t>
      </w:r>
      <w:r w:rsidRPr="00EB4B3B">
        <w:tab/>
      </w:r>
      <w:proofErr w:type="gramStart"/>
      <w:r w:rsidRPr="00EB4B3B">
        <w:t>zauważa</w:t>
      </w:r>
      <w:proofErr w:type="gramEnd"/>
      <w:r w:rsidRPr="00EB4B3B">
        <w:t xml:space="preserve">, że w Europie odbywa się wiele lotów krótko- i średniodystansowych; wzywa Komisję, aby we współpracy z </w:t>
      </w:r>
      <w:proofErr w:type="spellStart"/>
      <w:r w:rsidRPr="00EB4B3B">
        <w:t>Eurocontrol</w:t>
      </w:r>
      <w:proofErr w:type="spellEnd"/>
      <w:r w:rsidRPr="00EB4B3B">
        <w:t xml:space="preserve"> i EASA określiła trasy lotnicze, które najlepiej nadają się do pełnej elektryfikacji umożliwiającej bardziej znaczące ograniczenie emisji CO</w:t>
      </w:r>
      <w:r w:rsidRPr="00EB4B3B">
        <w:rPr>
          <w:vertAlign w:val="subscript"/>
        </w:rPr>
        <w:t>2</w:t>
      </w:r>
      <w:r w:rsidRPr="00EB4B3B">
        <w:t>, gdyż pomoże to zainteresowanym portom lotniczym w rozpoczęciu wprowadzania niezbędnych dostosowań; podkreśla, że wodór może odegrać znaczącą rolę w redukcji emisji; przypomina, że w przypadku mniejszych samolotów przedsiębiorstwa stawiają na napęd elektryczny, a w przypadku większych – na napęd wodorowy;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16.</w:t>
      </w:r>
      <w:r w:rsidRPr="00EB4B3B">
        <w:tab/>
      </w:r>
      <w:proofErr w:type="gramStart"/>
      <w:r w:rsidRPr="00EB4B3B">
        <w:t>uważa</w:t>
      </w:r>
      <w:proofErr w:type="gramEnd"/>
      <w:r w:rsidRPr="00EB4B3B">
        <w:t xml:space="preserve">, że trzeba zbadać możliwość zmiany obowiązujących unijnych przepisów dotyczących pomocy państwa, aby umożliwić stworzenie ukierunkowanych ram inwestycyjnych, które będą wykorzystywać finansowanie publiczne i prywatne do wspierania powstającego </w:t>
      </w:r>
      <w:proofErr w:type="spellStart"/>
      <w:r w:rsidRPr="00EB4B3B">
        <w:t>zasobochłonnego</w:t>
      </w:r>
      <w:proofErr w:type="spellEnd"/>
      <w:r w:rsidRPr="00EB4B3B">
        <w:t xml:space="preserve"> sektora statków powietrznych </w:t>
      </w:r>
      <w:proofErr w:type="spellStart"/>
      <w:r w:rsidRPr="00EB4B3B">
        <w:t>eVTOL</w:t>
      </w:r>
      <w:proofErr w:type="spellEnd"/>
      <w:r w:rsidRPr="00EB4B3B">
        <w:t xml:space="preserve">, aby wzmocnić strategiczną autonomię Europy w tym obszarze, jako że statki powietrzne </w:t>
      </w:r>
      <w:proofErr w:type="spellStart"/>
      <w:r w:rsidRPr="00EB4B3B">
        <w:t>eVTOL</w:t>
      </w:r>
      <w:proofErr w:type="spellEnd"/>
      <w:r w:rsidRPr="00EB4B3B">
        <w:t xml:space="preserve"> z pewnością staną się strategiczną częścią sektora transportu;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17.</w:t>
      </w:r>
      <w:r w:rsidRPr="00EB4B3B">
        <w:tab/>
      </w:r>
      <w:proofErr w:type="gramStart"/>
      <w:r w:rsidRPr="00EB4B3B">
        <w:t>uważa</w:t>
      </w:r>
      <w:proofErr w:type="gramEnd"/>
      <w:r w:rsidRPr="00EB4B3B">
        <w:t>, że przedsiębiorstwa z UE zaangażowane w elektryfikację sektora lotnictwa powinny ściślej współpracować z organami państw członkowskich i UE w celu opracowania zintegrowanego planu działania w zakresie technologii oraz wspólnych programów badawczych; z zadowoleniem przyjmuje prace podjęte w ramach AZEA; podkreśla, że współpraca ta ma zasadnicze znaczenie dla utrzymania przez UE wiodącej pozycji w przemyśle i konkurencyjności na arenie międzynarodowej;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18.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mniejsze samoloty elektryczne mogą korzystać z krótszych i mniej skomplikowanych pasów startowych, co w przyszłości może zmniejszyć zapotrzebowanie na dużą i kosztowną infrastrukturę;</w:t>
      </w:r>
    </w:p>
    <w:p w:rsidR="00A5408F" w:rsidRPr="00EB4B3B" w:rsidRDefault="00A5408F" w:rsidP="00A5408F">
      <w:pPr>
        <w:pStyle w:val="NormalHanging12a"/>
      </w:pPr>
      <w:r w:rsidRPr="00EB4B3B">
        <w:t>19.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planowanie i gotowość infrastruktury energetycznej są kluczowymi czynnikami decydującymi o upowszechnieniu lotnictwa elektrycznego i opartego na wodorze, ponieważ lotnictwo elektryczne będzie można wdrożyć dopiero po przygotowaniu i przetestowaniu infrastruktury; zauważa, że po przejściu na alternatywne systemy napędu istniejące duże porty lotnicze mogłyby do 2050 r. zużywać 5–10 razy więcej energii elektrycznej niż obecnie</w:t>
      </w:r>
      <w:r w:rsidRPr="00EB4B3B">
        <w:rPr>
          <w:rStyle w:val="FootnoteReference"/>
        </w:rPr>
        <w:footnoteReference w:id="18"/>
      </w:r>
      <w:r w:rsidRPr="00EB4B3B">
        <w:t>; zauważa ponadto, że infrastruktura dla samolotów elektrycznych i elektryfikacja obiektów takich jak porty lotnicze nie zostały jeszcze wystarczająco rozwinięte; zaznacza, że aby zaspokoić przewidywane zapotrzebowanie na energię, pierwsze elementy infrastruktury portów lotniczych trzeba wdrożyć do 2025 r., i wzywa do zapewnienia niezbędnych inwestycji; podkreśla ponadto w tym zakresie, że aby zapewnić eksploatację samolotów elektrycznych na odpowiednią skalę, Komisja i państwa członkowskie muszą odpowiednio wdrożyć rozporządzenie w sprawie rozwoju infrastruktury paliw alternatywnych (AFIR</w:t>
      </w:r>
      <w:proofErr w:type="gramStart"/>
      <w:r w:rsidRPr="00EB4B3B">
        <w:t>)</w:t>
      </w:r>
      <w:r w:rsidRPr="00EB4B3B">
        <w:rPr>
          <w:rStyle w:val="FootnoteReference"/>
        </w:rPr>
        <w:footnoteReference w:id="19"/>
      </w:r>
      <w:r w:rsidRPr="00EB4B3B">
        <w:t xml:space="preserve"> w</w:t>
      </w:r>
      <w:proofErr w:type="gramEnd"/>
      <w:r w:rsidRPr="00EB4B3B">
        <w:t xml:space="preserve"> celu dalszego promowania elektryfikacji obiektów; </w:t>
      </w:r>
      <w:r w:rsidRPr="00EB4B3B">
        <w:lastRenderedPageBreak/>
        <w:t xml:space="preserve">podkreśla użyteczność specjalnych projektów finansowania infrastruktury, takich jak instrument „Łącząc Europę”, w dziedzinach transportu i energii; przypomina, że zgodnie z AFIR do końca 2026 r., a następnie co pięć lat, Komisja ma oceniać bieżący stan i przyszły rozwój rynku lotnictwa napędzanego wodorem i energią elektryczną; wzywa Komisję i państwa członkowskie do dopilnowania, aby ocenę tę przeprowadzono wraz ze studium wykonalności dotyczącym rozwoju odpowiedniej infrastruktury zasilającej statki powietrzne, a następnie do sporządzenia </w:t>
      </w:r>
      <w:proofErr w:type="gramStart"/>
      <w:r w:rsidRPr="00EB4B3B">
        <w:t>planu</w:t>
      </w:r>
      <w:proofErr w:type="gramEnd"/>
      <w:r w:rsidRPr="00EB4B3B">
        <w:t xml:space="preserve"> rozwoju infrastruktury paliw alternatywnych w portach lotniczych, w szczególności punktów ładowania energią elektryczną i tankowania wodoru; zachęca sektor na poziomie globalnym do jak najszybszego uzgodnienia globalnych standardów dla naziemnych stacji ładowania statków powietrznych podczas postoju;</w:t>
      </w:r>
    </w:p>
    <w:p w:rsidR="00A5408F" w:rsidRPr="00EB4B3B" w:rsidRDefault="00A5408F" w:rsidP="00A5408F">
      <w:pPr>
        <w:pStyle w:val="NormalHanging12a"/>
        <w:rPr>
          <w:b/>
          <w:i/>
        </w:rPr>
      </w:pPr>
      <w:r w:rsidRPr="00EB4B3B">
        <w:rPr>
          <w:b/>
          <w:i/>
        </w:rPr>
        <w:t>Wyzwania i rozwiązania w zakresie technologii</w:t>
      </w:r>
    </w:p>
    <w:p w:rsidR="00A5408F" w:rsidRPr="00EB4B3B" w:rsidRDefault="00A5408F" w:rsidP="00A5408F">
      <w:pPr>
        <w:pStyle w:val="NormalHanging12a"/>
      </w:pPr>
      <w:r w:rsidRPr="00EB4B3B">
        <w:t>20.</w:t>
      </w:r>
      <w:r w:rsidRPr="00EB4B3B">
        <w:tab/>
      </w:r>
      <w:proofErr w:type="gramStart"/>
      <w:r w:rsidRPr="00EB4B3B">
        <w:t>biorąc</w:t>
      </w:r>
      <w:proofErr w:type="gramEnd"/>
      <w:r w:rsidRPr="00EB4B3B">
        <w:t xml:space="preserve"> pod uwagę, że trendy technologiczne w różnych sektorach transportowych zmierzają w tym samym kierunku, z zadowoleniem przyjmuje istniejące międzybranżowe partnerstwa badawczo-rozwojowe</w:t>
      </w:r>
      <w:r w:rsidRPr="00EB4B3B">
        <w:rPr>
          <w:rStyle w:val="FootnoteReference"/>
        </w:rPr>
        <w:footnoteReference w:id="20"/>
      </w:r>
      <w:r w:rsidRPr="00EB4B3B">
        <w:t xml:space="preserve"> między sektorem lotniczym i motoryzacyjnym (w zakresie rozwoju akumulatorów i ogniw paliwowych nowej generacji), lotniczym i żeglugowym (w zakresie wykorzystania paliw alternatywnych) oraz lotniczym i kolejowym (w zakresie systemów dystrybucji energii elektrycznej); </w:t>
      </w:r>
    </w:p>
    <w:p w:rsidR="00A5408F" w:rsidRPr="00EB4B3B" w:rsidRDefault="00A5408F" w:rsidP="00A5408F">
      <w:pPr>
        <w:pStyle w:val="NormalHanging12a"/>
      </w:pPr>
      <w:r w:rsidRPr="00EB4B3B">
        <w:t>21.</w:t>
      </w:r>
      <w:r w:rsidRPr="00EB4B3B">
        <w:tab/>
      </w:r>
      <w:proofErr w:type="gramStart"/>
      <w:r w:rsidRPr="00EB4B3B">
        <w:t>zwraca</w:t>
      </w:r>
      <w:proofErr w:type="gramEnd"/>
      <w:r w:rsidRPr="00EB4B3B">
        <w:t xml:space="preserve"> uwagę, że choć samoloty elektryczne i hybrydowo-elektryczne niosą ze sobą ogromne nadzieje na bardziej zrównoważoną przyszłość lotnictwa, obecna generacja stosowanych w nich akumulatorów wiąże się z poważnymi wyzwaniami, związanymi głównie z ich wagą i gęstością energii; zauważa, że ograniczenia te wpływają na zasięg, ładowność i ogólną wydajność samolotów elektrycznych;</w:t>
      </w:r>
    </w:p>
    <w:p w:rsidR="00A5408F" w:rsidRPr="00EB4B3B" w:rsidRDefault="00A5408F" w:rsidP="00A5408F">
      <w:pPr>
        <w:pStyle w:val="NormalHanging12a"/>
      </w:pPr>
      <w:r w:rsidRPr="00EB4B3B">
        <w:t>22.</w:t>
      </w:r>
      <w:r w:rsidRPr="00EB4B3B">
        <w:tab/>
      </w:r>
      <w:proofErr w:type="gramStart"/>
      <w:r w:rsidRPr="00EB4B3B">
        <w:t>przypomina</w:t>
      </w:r>
      <w:proofErr w:type="gramEnd"/>
      <w:r w:rsidRPr="00EB4B3B">
        <w:t xml:space="preserve">, że – stawiając na pierwszym miejscu bezpieczeństwo – eksploatacja samolotów elektrycznych wiąże się z rygorystycznymi wymogami dotyczącymi akumulatorów, które muszą także być lekkie, kompaktowe, szybkie do naładowania i zapewniać wysoką moc wymaganą w segmentach startu i wznoszenia; podkreśla, że takie wysoko wydajne akumulatory wymagają surowców krytycznych, które często nie są dostępne w Europie; wzywa przemysł lotniczy do włączenia się w wysiłki różnych sektorów na rzecz zapewnienia zrównoważonego łańcucha dostaw; </w:t>
      </w:r>
    </w:p>
    <w:p w:rsidR="00A5408F" w:rsidRPr="00EB4B3B" w:rsidRDefault="00A5408F" w:rsidP="00A5408F">
      <w:pPr>
        <w:pStyle w:val="NormalHanging12a"/>
      </w:pPr>
      <w:r w:rsidRPr="00EB4B3B">
        <w:t>23.</w:t>
      </w:r>
      <w:r w:rsidRPr="00EB4B3B">
        <w:tab/>
      </w:r>
      <w:proofErr w:type="gramStart"/>
      <w:r w:rsidRPr="00EB4B3B">
        <w:t>przypomina</w:t>
      </w:r>
      <w:proofErr w:type="gramEnd"/>
      <w:r w:rsidRPr="00EB4B3B">
        <w:t>, że warunki wysokościowe charakterystyczne dla transportu lotniczego nakładają na akumulatory szczególne ograniczenia techniczne w porównaniu z innymi rodzajami transportu;</w:t>
      </w:r>
    </w:p>
    <w:p w:rsidR="00A5408F" w:rsidRPr="00EB4B3B" w:rsidRDefault="00A5408F" w:rsidP="00A5408F">
      <w:pPr>
        <w:pStyle w:val="NormalHanging12a"/>
      </w:pPr>
      <w:r w:rsidRPr="00EB4B3B">
        <w:t>24.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 xml:space="preserve"> potencjał lotnictwa napędzanego wodorem i opartego na ogniwach paliwowych, które stanowi alternatywę dla lotnictwa elektrycznego, w szczególności pod względem autonomii; podkreśla, że ciągłe udoskonalanie technologii akumulatorów i ogniw paliwowych w połączeniu z bardziej energooszczędnymi konstrukcjami samolotów może zapewnić lepszą efektywność środowiskową; przypomina, że niektóre z największych wyzwań technologicznych stojących obecnie przed tym sektorem obejmują masę i wymiary akumulatorów, maksymalną moc wyjściową ogniw paliwowych, dystrybucję energii elektrycznej i systemy termiczne, integrację płatowca i </w:t>
      </w:r>
      <w:r w:rsidRPr="00EB4B3B">
        <w:lastRenderedPageBreak/>
        <w:t>poprawę aerodynamiki;</w:t>
      </w:r>
    </w:p>
    <w:p w:rsidR="00A5408F" w:rsidRPr="00EB4B3B" w:rsidRDefault="00A5408F" w:rsidP="00A5408F">
      <w:pPr>
        <w:pStyle w:val="NormalHanging12a"/>
      </w:pPr>
      <w:r w:rsidRPr="00EB4B3B">
        <w:t>25.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>, że zwiększone wykorzystanie akumulatorów w aeronautyce będzie wymagało natychmiastowego utworzenia unijnego przemysłu recyklingu zgodnego z potrzebami sektora, aby uniknąć tworzenia nowych zależności od państw spoza UE;</w:t>
      </w:r>
    </w:p>
    <w:p w:rsidR="00A5408F" w:rsidRPr="00EB4B3B" w:rsidRDefault="00A5408F" w:rsidP="00A5408F">
      <w:pPr>
        <w:pStyle w:val="NormalHanging12a"/>
        <w:rPr>
          <w:b/>
          <w:i/>
          <w:szCs w:val="24"/>
        </w:rPr>
      </w:pPr>
      <w:r w:rsidRPr="00EB4B3B">
        <w:rPr>
          <w:b/>
          <w:i/>
        </w:rPr>
        <w:t>Działania w ramach UE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26.</w:t>
      </w:r>
      <w:r w:rsidRPr="00EB4B3B">
        <w:tab/>
      </w:r>
      <w:proofErr w:type="gramStart"/>
      <w:r w:rsidRPr="00EB4B3B">
        <w:t>przypomina</w:t>
      </w:r>
      <w:proofErr w:type="gramEnd"/>
      <w:r w:rsidRPr="00EB4B3B">
        <w:t>, że przemysł lotniczy nie tylko ma istotne znaczenie dla rozwoju działalności gospodarczej, ale jest również jednym z najlepiej prosperujących sektorów zaawansowanych technologii w UE; zwraca się do Komisji o opracowanie proaktywnej polityki wspierania i rozwoju tego przemysłu w ścisłej współpracy z istniejącymi forami, takimi jak Rada Doradcza ds. Badań i Innowacji w Lotnictwie (ACARE) oraz AZEA; wzywa Komisję do zapewnienia, aby istniejące przepisy UE w tej dziedzinie nie stały w sprzeczności ze sobą nawzajem ani nie uniemożliwiały sektorowi lotniczemu opracowywania projektów dotyczących dekarbonizacji i elektryfikacji;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27.</w:t>
      </w:r>
      <w:r w:rsidRPr="00EB4B3B">
        <w:tab/>
      </w:r>
      <w:proofErr w:type="gramStart"/>
      <w:r w:rsidRPr="00EB4B3B">
        <w:t>uważa</w:t>
      </w:r>
      <w:proofErr w:type="gramEnd"/>
      <w:r w:rsidRPr="00EB4B3B">
        <w:t xml:space="preserve">, że dalsze dostosowanie między ekosystemem lotniczym i obronnym a ekosystemem energetycznym jest niezbędne do usprawnienia lotów zasilanych energią elektryczną; odnotowuje, że Komisja pracuje nad odrębnymi ścieżkami transformacji tych dwóch ekosystemów; dostrzega ogromne znaczenie ścieżek transformacji dla umożliwienia branży skutecznego przełożenia aspiracji klimatycznych na konkretne działania na rzecz klimatu, a tym samym zachowania i tworzenia wartości dla naszego społeczeństwa, naszej planety i przedsiębiorstw; mimo tego wyraża zaniepokojenie rozbieżnymi ścieżkami transformacji obu ekosystemów, w szczególności w świetle wspólnej konieczności stworzenia wystarczająco stabilnych sieci energetycznych i zapewnienia przystępności cenowej czystej energii elektrycznej, w tym na potrzeby elektryfikacji samolotów; w związku z powyższym </w:t>
      </w:r>
      <w:proofErr w:type="gramStart"/>
      <w:r w:rsidRPr="00EB4B3B">
        <w:t>podkreśla</w:t>
      </w:r>
      <w:proofErr w:type="gramEnd"/>
      <w:r w:rsidRPr="00EB4B3B">
        <w:t xml:space="preserve"> znaczenie wspólnej strategii na rzecz samolotów elektrycznych i wzywa Komisję do podjęcia aktywnych kroków w celu opracowania takiej strategii; wzywa ponadto Komisję do zainicjowania dialogu strukturalnego na ten temat między Dyrekcją Generalną ds. Mobilności i Transportu a Dyrekcją Generalną ds. Energii oraz do sfinalizowania ścieżki przed wyborami europejskimi w 2024 r., aby mogła ona być wykorzystywana jako punkt odniesienia dla przyszłych regulacji tworzonych przez nową Komisję od 2024 r.;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28.</w:t>
      </w:r>
      <w:r w:rsidRPr="00EB4B3B">
        <w:tab/>
      </w:r>
      <w:proofErr w:type="gramStart"/>
      <w:r w:rsidRPr="00EB4B3B">
        <w:t>przypomina</w:t>
      </w:r>
      <w:proofErr w:type="gramEnd"/>
      <w:r w:rsidRPr="00EB4B3B">
        <w:t>, że AZEA został utworzony z inicjatywy Komisji w celu zgromadzenia wszystkich partnerów prywatnych i publicznych z całego ekosystemu lotniczego, aby przygotować się do rozpoczęcia komercyjnej eksploatacji samolotów napędzanych wodorem i energią elektryczną; wzywa Komisję do współpracy z AZEA i wspierania go w rozwijaniu wiedzy na temat lotnictwa elektrycznego; zauważa, że w tym względzie można by wykorzystać akademie umiejętności określone w akcie w sprawie przemysłu neutralnego emisyjnie, i wzywa Komisję i państwa członkowskie do ich promowania;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29.</w:t>
      </w:r>
      <w:r w:rsidRPr="00EB4B3B">
        <w:tab/>
      </w:r>
      <w:proofErr w:type="gramStart"/>
      <w:r w:rsidRPr="00EB4B3B">
        <w:t>zwraca</w:t>
      </w:r>
      <w:proofErr w:type="gramEnd"/>
      <w:r w:rsidRPr="00EB4B3B">
        <w:t xml:space="preserve"> uwagę na obecny niedobór umiejętności w zakresie inżynierii elektrycznej i inżynierii systemów; przypomina, że Konkurs Prac Młodych Naukowców UE można byłoby wykorzystać jako punkt odniesienia dla opracowania tematycznego konkursu UE dla młodych talentów ze wszystkich ekosystemów przemysłowych, w tym sektora lotów elektrycznych; wzywa Komisję i państwa członkowskie do zwiększania świadomości na temat możliwości związanych z ekologicznymi karierami w lotnictwie oraz do wspierania projektów krajowych i unijnych w tym zakresie;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lastRenderedPageBreak/>
        <w:t>30.</w:t>
      </w:r>
      <w:r w:rsidRPr="00EB4B3B">
        <w:tab/>
      </w:r>
      <w:proofErr w:type="gramStart"/>
      <w:r w:rsidRPr="00EB4B3B">
        <w:t>z</w:t>
      </w:r>
      <w:proofErr w:type="gramEnd"/>
      <w:r w:rsidRPr="00EB4B3B">
        <w:t xml:space="preserve"> zadowoleniem przyjmuje zamiar Komisji, aby stworzyć skoordynowaną obsługę zaproszeń do składania wniosków w ramach istniejących instrumentów UE i pożyczek Europejskiego Banku Inwestycyjnego (EBI) w celu wsparcia nowego projektu przewodniego dotyczącego technologii dronów; wzywa EBI do wprowadzenia i uruchomienia ukierunkowanych instrumentów finansowania w celu umocnienia powstającego sektora europejskiego lotnictwa elektrycznego i wsparcia jego potrzeb; zauważa jego kapitałochłonny charakter i wyjątkowe potrzeby; uznaje, że upowszechnienie statków powietrznych </w:t>
      </w:r>
      <w:proofErr w:type="spellStart"/>
      <w:r w:rsidRPr="00EB4B3B">
        <w:t>eVTOL</w:t>
      </w:r>
      <w:proofErr w:type="spellEnd"/>
      <w:r w:rsidRPr="00EB4B3B">
        <w:t xml:space="preserve"> będzie również wymagało inwestycji w infrastrukturę naziemną, w tym w porty lotnicze i infrastrukturę ładowania;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31.</w:t>
      </w:r>
      <w:r w:rsidRPr="00EB4B3B">
        <w:tab/>
      </w:r>
      <w:proofErr w:type="gramStart"/>
      <w:r w:rsidRPr="00EB4B3B">
        <w:t>wyraża</w:t>
      </w:r>
      <w:proofErr w:type="gramEnd"/>
      <w:r w:rsidRPr="00EB4B3B">
        <w:t xml:space="preserve"> zaniepokojenie faktem, że budżet przewidziany dla CAJU w ramach programu „Horyzont Europa” jest znacznie poniżej poziomu jego ambitnych założeń; przypomina, że poziom innowacji związany z każdym projektem jest bardzo wysoki i że wsparcie musi być współmierne oraz że należy je kontynuować w ramach nowych wieloletnich ram finansowych po 2027 r.; przypomina, że CAJU należy także zachęcać do zajęcia się lotnictwem elektrycznym i nadania pierwszeństwa finansowaniu innowacyjnych projektów dotyczących lotnictwa </w:t>
      </w:r>
      <w:proofErr w:type="spellStart"/>
      <w:r w:rsidRPr="00EB4B3B">
        <w:t>bezemisyjnego</w:t>
      </w:r>
      <w:proofErr w:type="spellEnd"/>
      <w:r w:rsidRPr="00EB4B3B">
        <w:t xml:space="preserve">, w tym samolotów elektrycznych i o napędzie wodorowym; zwraca uwagę, że aby wyjść poza szósty poziom gotowości technologicznej i wprowadzić technologie na rynek, niezbędne są nowe środki finansowe; z zadowoleniem </w:t>
      </w:r>
      <w:proofErr w:type="gramStart"/>
      <w:r w:rsidRPr="00EB4B3B">
        <w:t>przyjmuje</w:t>
      </w:r>
      <w:proofErr w:type="gramEnd"/>
      <w:r w:rsidRPr="00EB4B3B">
        <w:t xml:space="preserve"> niedawne ogłoszenie Zjednoczonego Królestwa krajem stowarzyszonym w ramach programu „Horyzont Europa”, co zwiększy nasze wspólne wysiłki na rzecz czystego lotnictwa;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32.</w:t>
      </w:r>
      <w:r w:rsidRPr="00EB4B3B">
        <w:tab/>
      </w:r>
      <w:proofErr w:type="gramStart"/>
      <w:r w:rsidRPr="00EB4B3B">
        <w:t>wyraża</w:t>
      </w:r>
      <w:proofErr w:type="gramEnd"/>
      <w:r w:rsidRPr="00EB4B3B">
        <w:t xml:space="preserve"> ubolewanie, że mimo znacznych wysiłków i zaangażowania, jakich wymaga się od sektora lotnictwa w dążeniu do obniżenia emisyjności, nie ma specjalnego unijnego funduszu lotniczego przeznaczonego wyraźnie na wsparcie lotnictwa; wzywa Komisję do ogłoszenia specjalnych zaproszeń do składania wniosków dotyczących finansowania projektów wspierających elektryfikację i działań mające na celu zmniejszenie ogólnego oddziaływania lotnictwa; przypomina jednak, że fundusz innowacyjny w ramach ETS oraz wykorzystywanie kontraktów różnicowych na emisję dwutlenku węgla są ważnymi instrumentami wdrażania i wprowadzania na skalę przemysłową technologii, które mogłyby utorować drogę do lotnictwa elektrycznego i lotnictwa o napędzie wodorowym; przypomina o dyrektywie (UE) 2023/959</w:t>
      </w:r>
      <w:r w:rsidRPr="00EB4B3B">
        <w:rPr>
          <w:rStyle w:val="FootnoteReference"/>
          <w:szCs w:val="24"/>
        </w:rPr>
        <w:footnoteReference w:id="21"/>
      </w:r>
      <w:r w:rsidRPr="00EB4B3B">
        <w:t xml:space="preserve">, która zmieniła dyrektywę 2003/87/WE i </w:t>
      </w:r>
      <w:proofErr w:type="gramStart"/>
      <w:r w:rsidRPr="00EB4B3B">
        <w:t>rozszerzyła</w:t>
      </w:r>
      <w:proofErr w:type="gramEnd"/>
      <w:r w:rsidRPr="00EB4B3B">
        <w:t xml:space="preserve"> zakres projektów kwalifikujących się do finansowania ze środków funduszu innowacyjnego, aby uwzględnić szerszy wachlarz </w:t>
      </w:r>
      <w:proofErr w:type="spellStart"/>
      <w:r w:rsidRPr="00EB4B3B">
        <w:t>bezemisyjnych</w:t>
      </w:r>
      <w:proofErr w:type="spellEnd"/>
      <w:r w:rsidRPr="00EB4B3B">
        <w:t xml:space="preserve"> produktów, procesów i technologii;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33.</w:t>
      </w:r>
      <w:r w:rsidRPr="00EB4B3B">
        <w:tab/>
      </w:r>
      <w:proofErr w:type="gramStart"/>
      <w:r w:rsidRPr="00EB4B3B">
        <w:t>podkreśla</w:t>
      </w:r>
      <w:proofErr w:type="gramEnd"/>
      <w:r w:rsidRPr="00EB4B3B">
        <w:t xml:space="preserve"> potrzebę poprawy zarządzania energią cieplną baterii oraz zarządzania ładowaniem i wymianą baterii, a także przyspieszenia rozwoju sektora recyklingu baterii; wzywa Komisję do inwestowania w badania i rozwój nowej generacji baterii ze stałym elektrolitem, które mają dwa razy więcej energii niż baterie </w:t>
      </w:r>
      <w:proofErr w:type="spellStart"/>
      <w:r w:rsidRPr="00EB4B3B">
        <w:t>litowo</w:t>
      </w:r>
      <w:proofErr w:type="spellEnd"/>
      <w:r w:rsidRPr="00EB4B3B">
        <w:t xml:space="preserve">-jonowe i około trzy razy większy potencjał magazynowania; wzywa zatem Komisję do zachęcania, za pomocą instrumentów takich jak akt w sprawie przemysłu neutralnego emisyjnie i europejski sojusz na rzecz baterii, do zmniejszenia zależności w łańcuchu dostaw baterii i zapewnienia wystarczających dostaw kluczowych surowców, co </w:t>
      </w:r>
      <w:r w:rsidRPr="00EB4B3B">
        <w:lastRenderedPageBreak/>
        <w:t xml:space="preserve">zmniejszy tym samym naszą zewnętrzną zależność w zakresie baterii; zachęca Komisję i państwa członkowskie </w:t>
      </w:r>
      <w:proofErr w:type="gramStart"/>
      <w:r w:rsidRPr="00EB4B3B">
        <w:t>do</w:t>
      </w:r>
      <w:proofErr w:type="gramEnd"/>
      <w:r w:rsidRPr="00EB4B3B">
        <w:t xml:space="preserve"> dalszego równoległego rozwijania partnerstw strategicznych w dziedzinie surowców dla aeronautyki z państwami spoza UE o zbieżnych poglądach;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34.</w:t>
      </w:r>
      <w:r w:rsidRPr="00EB4B3B">
        <w:tab/>
      </w:r>
      <w:proofErr w:type="gramStart"/>
      <w:r w:rsidRPr="00EB4B3B">
        <w:t>wzywa</w:t>
      </w:r>
      <w:proofErr w:type="gramEnd"/>
      <w:r w:rsidRPr="00EB4B3B">
        <w:t xml:space="preserve"> Komisję do zapewnienia spójności między rozwojem transportu elektrycznego, elektrycznej mobilności i niezbędnej infrastruktury a polityką UE mającą na celu zwiększenie europejskich zdolności produkcyjnych w zakresie baterii, w tym dostaw surowców i zaawansowanych materiałów potrzebnych do produkcji baterii; wzywa zatem Komisję do przeglądu strategicznego planu działania na rzecz baterii, który łączy wyżej wymienione aspekty i w szczególności obejmuje wprowadzenie określonych ilościowo i czasowo celów w zakresie produkcji baterii w UE; wzywa państwa członkowskie i Komisję, aby w związku z tym zidentyfikowały we współpracy z sektorem lotnictwa potencjalne synergie z sektorem transportu drogowego w celu maksymalizacji inwestycji publicznych i prywatnych, zwłaszcza </w:t>
      </w:r>
      <w:proofErr w:type="gramStart"/>
      <w:r w:rsidRPr="00EB4B3B">
        <w:t>w</w:t>
      </w:r>
      <w:proofErr w:type="gramEnd"/>
      <w:r w:rsidRPr="00EB4B3B">
        <w:t xml:space="preserve"> dziedzinie produkcji i recyklingu akumulatorów i ogniw paliwowych.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35.</w:t>
      </w:r>
      <w:r w:rsidRPr="00EB4B3B">
        <w:tab/>
      </w:r>
      <w:proofErr w:type="gramStart"/>
      <w:r w:rsidRPr="00EB4B3B">
        <w:t>wzywa</w:t>
      </w:r>
      <w:proofErr w:type="gramEnd"/>
      <w:r w:rsidRPr="00EB4B3B">
        <w:t xml:space="preserve"> Komisję do stworzenia ram politycznych wspierających upowszechnianie technologii elektrycznych statków powietrznych, obejmujących przekazywanie części dochodów z lotnictwa w ramach ETS lub wszelkie opodatkowanie lotnictwa do CAJU, zgodnie z wnioskiem dotyczącym dyrektywy w sprawie opodatkowania energii</w:t>
      </w:r>
      <w:r w:rsidRPr="00EB4B3B">
        <w:rPr>
          <w:rStyle w:val="FootnoteReference"/>
          <w:szCs w:val="24"/>
        </w:rPr>
        <w:footnoteReference w:id="22"/>
      </w:r>
      <w:r w:rsidRPr="00EB4B3B">
        <w:t>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36.</w:t>
      </w:r>
      <w:r w:rsidRPr="00EB4B3B">
        <w:tab/>
      </w:r>
      <w:proofErr w:type="gramStart"/>
      <w:r w:rsidRPr="00EB4B3B">
        <w:t>wzywa</w:t>
      </w:r>
      <w:proofErr w:type="gramEnd"/>
      <w:r w:rsidRPr="00EB4B3B">
        <w:t xml:space="preserve"> Komisję do stworzenia strategii mającej na celu zapewnienie, aby niezbędna dla lotnictwa elektrycznego infrastruktura, w tym infrastruktura wytwarzanie energii, podłączenia do sieci i ładowania, była rozwijana współmiernie do rozpowszechniania się samolotów elektrycznych; przypomina, że ograniczona dostępność czystego wodoru i brak infrastruktury może opóźnić wprowadzenie do użytku samolotów napędzanych wodorem; wzywa Komisję, by opracowała ukierunkowaną strategię na rzecz produkcji i magazynowania wodoru;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37.</w:t>
      </w:r>
      <w:r w:rsidRPr="00EB4B3B">
        <w:tab/>
      </w:r>
      <w:proofErr w:type="gramStart"/>
      <w:r w:rsidRPr="00EB4B3B">
        <w:t>wzywa</w:t>
      </w:r>
      <w:proofErr w:type="gramEnd"/>
      <w:r w:rsidRPr="00EB4B3B">
        <w:t xml:space="preserve"> EASA do kontynuowania prac mających na celu ustanowienie standardów certyfikacji i ścieżek, które sprawią, że samoloty elektryczne i hybrydowo-elektryczne będą opłacalne i będą mogły być wprowadzane na rynek w znacznie krótszym czasie; wzywa Komisję do zapewnienia niezbędnych zasobów w tym zakresie, zwłaszcza personelu;</w:t>
      </w:r>
    </w:p>
    <w:p w:rsidR="00A5408F" w:rsidRPr="00EB4B3B" w:rsidRDefault="00A5408F" w:rsidP="00A5408F">
      <w:pPr>
        <w:pStyle w:val="NormalHanging12a"/>
        <w:rPr>
          <w:szCs w:val="24"/>
        </w:rPr>
      </w:pPr>
      <w:r w:rsidRPr="00EB4B3B">
        <w:t>38.</w:t>
      </w:r>
      <w:r w:rsidRPr="00EB4B3B">
        <w:tab/>
      </w:r>
      <w:proofErr w:type="gramStart"/>
      <w:r w:rsidRPr="00EB4B3B">
        <w:t>wzywa</w:t>
      </w:r>
      <w:proofErr w:type="gramEnd"/>
      <w:r w:rsidRPr="00EB4B3B">
        <w:t xml:space="preserve"> Komisję do opracowania europejskiej strategii skoordynowanego podejścia do rozwoju, certyfikacji i wdrażania statków powietrznych nowej generacji, w tym </w:t>
      </w:r>
      <w:proofErr w:type="spellStart"/>
      <w:r w:rsidRPr="00EB4B3B">
        <w:t>eVTOL</w:t>
      </w:r>
      <w:proofErr w:type="spellEnd"/>
      <w:r w:rsidRPr="00EB4B3B">
        <w:t>, w celu zwiększenia świadomości Europejczyków na temat korzyści związanych z ich użytkowaniem oraz wsparcia inwestycji prywatnych i publicznych, przy jednoczesnym utrzymaniu bazy technologicznej i wiodącej pozycji Europy; uważa, że lotnictwo elektryczne niesie ze sobą obietnicę bardziej zrównoważonej przyszłości dla podróży lotniczych, a ukierunkowana kampania informacyjna ma kluczowe znaczenie dla pogłębiania świadomości obywateli na temat potencjalnych korzyści tego rozwiązania i jego oddziaływania;</w:t>
      </w:r>
    </w:p>
    <w:p w:rsidR="00A5408F" w:rsidRPr="00EB4B3B" w:rsidRDefault="00A5408F" w:rsidP="00A5408F">
      <w:pPr>
        <w:pStyle w:val="NormalHanging12a"/>
        <w:jc w:val="center"/>
        <w:rPr>
          <w:szCs w:val="24"/>
        </w:rPr>
      </w:pPr>
      <w:r w:rsidRPr="00EB4B3B">
        <w:t>°</w:t>
      </w:r>
    </w:p>
    <w:p w:rsidR="00A5408F" w:rsidRPr="00EB4B3B" w:rsidRDefault="00A5408F" w:rsidP="00A5408F">
      <w:pPr>
        <w:pStyle w:val="NormalHanging12a"/>
        <w:jc w:val="center"/>
        <w:rPr>
          <w:szCs w:val="24"/>
        </w:rPr>
      </w:pPr>
      <w:r w:rsidRPr="00EB4B3B">
        <w:lastRenderedPageBreak/>
        <w:t>°</w:t>
      </w:r>
      <w:r w:rsidRPr="00EB4B3B">
        <w:tab/>
        <w:t>°</w:t>
      </w:r>
    </w:p>
    <w:p w:rsidR="00A5408F" w:rsidRPr="00EB4B3B" w:rsidRDefault="00A5408F" w:rsidP="00A5408F">
      <w:pPr>
        <w:widowControl/>
        <w:ind w:left="567" w:hanging="567"/>
      </w:pPr>
      <w:r w:rsidRPr="00EB4B3B">
        <w:t>39.</w:t>
      </w:r>
      <w:r w:rsidRPr="00EB4B3B">
        <w:tab/>
      </w:r>
      <w:proofErr w:type="gramStart"/>
      <w:r w:rsidRPr="00EB4B3B">
        <w:t>zobowiązuje</w:t>
      </w:r>
      <w:proofErr w:type="gramEnd"/>
      <w:r w:rsidRPr="00EB4B3B">
        <w:t xml:space="preserve"> swoją przewodniczącą do przekazania niniejszej rezolucji Radzie i Komisji.</w:t>
      </w:r>
    </w:p>
    <w:p w:rsidR="00E365E1" w:rsidRPr="00EB4B3B" w:rsidRDefault="00E365E1" w:rsidP="000F3257"/>
    <w:sectPr w:rsidR="00E365E1" w:rsidRPr="00EB4B3B" w:rsidSect="00EB4B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257" w:rsidRPr="00EB4B3B" w:rsidRDefault="000F3257">
      <w:r w:rsidRPr="00EB4B3B">
        <w:separator/>
      </w:r>
    </w:p>
  </w:endnote>
  <w:endnote w:type="continuationSeparator" w:id="0">
    <w:p w:rsidR="000F3257" w:rsidRPr="00EB4B3B" w:rsidRDefault="000F3257">
      <w:r w:rsidRPr="00EB4B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B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B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B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257" w:rsidRPr="00EB4B3B" w:rsidRDefault="000F3257">
      <w:r w:rsidRPr="00EB4B3B">
        <w:separator/>
      </w:r>
    </w:p>
  </w:footnote>
  <w:footnote w:type="continuationSeparator" w:id="0">
    <w:p w:rsidR="000F3257" w:rsidRPr="00EB4B3B" w:rsidRDefault="000F3257">
      <w:r w:rsidRPr="00EB4B3B">
        <w:continuationSeparator/>
      </w:r>
    </w:p>
  </w:footnote>
  <w:footnote w:id="1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Dz.U. L 243 z 9.7.2021,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 1.</w:t>
      </w:r>
    </w:p>
  </w:footnote>
  <w:footnote w:id="2">
    <w:p w:rsidR="00A5408F" w:rsidRPr="00EB4B3B" w:rsidRDefault="00A5408F" w:rsidP="00EB4B3B">
      <w:pPr>
        <w:pStyle w:val="FootnoteText"/>
        <w:ind w:left="567" w:hanging="567"/>
        <w:rPr>
          <w:bCs/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Dz.U. L 173 z 12.6.2014,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 65.</w:t>
      </w:r>
    </w:p>
  </w:footnote>
  <w:footnote w:id="3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Dz.U. L 275 z 25.10.2003,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 32.</w:t>
      </w:r>
    </w:p>
  </w:footnote>
  <w:footnote w:id="4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>Teksty przyjęte, P9_TA(2023)0130.</w:t>
      </w:r>
    </w:p>
  </w:footnote>
  <w:footnote w:id="5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Dz.U. C 366 z 27.10.2017,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 2.</w:t>
      </w:r>
    </w:p>
  </w:footnote>
  <w:footnote w:id="6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Dz.U. C 261 E z 10.9.2013,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 1.</w:t>
      </w:r>
    </w:p>
  </w:footnote>
  <w:footnote w:id="7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Dz.U. C 252 z 18.7.2018,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 284.</w:t>
      </w:r>
    </w:p>
  </w:footnote>
  <w:footnote w:id="8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Parlament Europejski, </w:t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"https://www.europarl.europa.eu/news/pl/headlines/society/20191129STO67756/emisje-z-samolotow-</w:instrText>
      </w:r>
      <w:r w:rsidR="00E47232" w:rsidRPr="00E47232">
        <w:rPr>
          <w:lang w:val="pl-PL"/>
        </w:rPr>
        <w:instrText xml:space="preserve">i-statkow-fakty-i-liczby-infografika" </w:instrText>
      </w:r>
      <w:r w:rsidR="00E47232">
        <w:fldChar w:fldCharType="separate"/>
      </w:r>
      <w:r w:rsidRPr="00EB4B3B">
        <w:rPr>
          <w:rStyle w:val="Hyperlink"/>
          <w:sz w:val="24"/>
          <w:lang w:val="pl-PL"/>
        </w:rPr>
        <w:t xml:space="preserve">Emisje z samolotów i </w:t>
      </w:r>
      <w:proofErr w:type="spellStart"/>
      <w:r w:rsidRPr="00EB4B3B">
        <w:rPr>
          <w:rStyle w:val="Hyperlink"/>
          <w:sz w:val="24"/>
          <w:lang w:val="pl-PL"/>
        </w:rPr>
        <w:t>statków</w:t>
      </w:r>
      <w:r w:rsidR="00E47232">
        <w:rPr>
          <w:rStyle w:val="Hyperlink"/>
          <w:sz w:val="24"/>
          <w:lang w:val="pl-PL"/>
        </w:rPr>
        <w:fldChar w:fldCharType="end"/>
      </w:r>
      <w:proofErr w:type="gramStart"/>
      <w:r w:rsidRPr="00EB4B3B">
        <w:rPr>
          <w:sz w:val="24"/>
          <w:lang w:val="pl-PL"/>
        </w:rPr>
        <w:t>:</w:t>
      </w:r>
      <w:r w:rsidRPr="00EB4B3B">
        <w:fldChar w:fldCharType="begin"/>
      </w:r>
      <w:r w:rsidRPr="00EB4B3B">
        <w:rPr>
          <w:sz w:val="24"/>
          <w:lang w:val="pl-PL"/>
        </w:rPr>
        <w:instrText xml:space="preserve"> HYPERLINK "https://www.europarl.europa.eu/news/pl/headlines/society/20191129STO67756/emisje-z-samolotow-i-statkow-fakty</w:instrText>
      </w:r>
      <w:proofErr w:type="gramEnd"/>
      <w:r w:rsidRPr="00EB4B3B">
        <w:rPr>
          <w:sz w:val="24"/>
          <w:lang w:val="pl-PL"/>
        </w:rPr>
        <w:instrText xml:space="preserve">-i-liczby-infografika" </w:instrText>
      </w:r>
      <w:r w:rsidRPr="00EB4B3B">
        <w:fldChar w:fldCharType="separate"/>
      </w:r>
      <w:r w:rsidRPr="00EB4B3B">
        <w:rPr>
          <w:rStyle w:val="Hyperlink"/>
          <w:sz w:val="24"/>
          <w:lang w:val="pl-PL"/>
        </w:rPr>
        <w:t>fakty</w:t>
      </w:r>
      <w:proofErr w:type="spellEnd"/>
      <w:r w:rsidRPr="00EB4B3B">
        <w:rPr>
          <w:rStyle w:val="Hyperlink"/>
          <w:sz w:val="24"/>
          <w:lang w:val="pl-PL"/>
        </w:rPr>
        <w:t xml:space="preserve"> i liczby (infografika)</w:t>
      </w:r>
      <w:r w:rsidRPr="00EB4B3B">
        <w:rPr>
          <w:rStyle w:val="Hyperlink"/>
          <w:sz w:val="24"/>
          <w:lang w:val="pl-PL"/>
        </w:rPr>
        <w:fldChar w:fldCharType="end"/>
      </w:r>
      <w:r w:rsidRPr="00EB4B3B">
        <w:rPr>
          <w:sz w:val="24"/>
          <w:lang w:val="pl-PL"/>
        </w:rPr>
        <w:t>, aktualizacja 15 czerwca 2023 r.</w:t>
      </w:r>
    </w:p>
  </w:footnote>
  <w:footnote w:id="9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"https://aviationbenefits.org/environmental-efficiency/climate-action/waypoint-2050/" </w:instrText>
      </w:r>
      <w:r w:rsidR="00E47232">
        <w:fldChar w:fldCharType="separate"/>
      </w:r>
      <w:r w:rsidRPr="00EB4B3B">
        <w:rPr>
          <w:rStyle w:val="Hyperlink"/>
          <w:sz w:val="24"/>
          <w:lang w:val="pl-PL"/>
        </w:rPr>
        <w:t>Waypoint 2050</w:t>
      </w:r>
      <w:r w:rsidR="00E47232">
        <w:rPr>
          <w:rStyle w:val="Hyperlink"/>
          <w:sz w:val="24"/>
          <w:lang w:val="pl-PL"/>
        </w:rPr>
        <w:fldChar w:fldCharType="end"/>
      </w:r>
      <w:r w:rsidRPr="00EB4B3B">
        <w:rPr>
          <w:sz w:val="24"/>
          <w:lang w:val="pl-PL"/>
        </w:rPr>
        <w:t>, „</w:t>
      </w:r>
      <w:proofErr w:type="spellStart"/>
      <w:r w:rsidRPr="00EB4B3B">
        <w:rPr>
          <w:sz w:val="24"/>
          <w:lang w:val="pl-PL"/>
        </w:rPr>
        <w:t>Aviation</w:t>
      </w:r>
      <w:proofErr w:type="spellEnd"/>
      <w:r w:rsidRPr="00EB4B3B">
        <w:rPr>
          <w:sz w:val="24"/>
          <w:lang w:val="pl-PL"/>
        </w:rPr>
        <w:t xml:space="preserve">: </w:t>
      </w:r>
      <w:proofErr w:type="spellStart"/>
      <w:r w:rsidRPr="00EB4B3B">
        <w:rPr>
          <w:sz w:val="24"/>
          <w:lang w:val="pl-PL"/>
        </w:rPr>
        <w:t>Benefits</w:t>
      </w:r>
      <w:proofErr w:type="spellEnd"/>
      <w:r w:rsidRPr="00EB4B3B">
        <w:rPr>
          <w:sz w:val="24"/>
          <w:lang w:val="pl-PL"/>
        </w:rPr>
        <w:t xml:space="preserve"> Beyond </w:t>
      </w:r>
      <w:proofErr w:type="spellStart"/>
      <w:r w:rsidRPr="00EB4B3B">
        <w:rPr>
          <w:sz w:val="24"/>
          <w:lang w:val="pl-PL"/>
        </w:rPr>
        <w:t>Borders</w:t>
      </w:r>
      <w:proofErr w:type="spellEnd"/>
      <w:r w:rsidRPr="00EB4B3B">
        <w:rPr>
          <w:sz w:val="24"/>
          <w:lang w:val="pl-PL"/>
        </w:rPr>
        <w:t>” [Lotnictwo: korzyści ponad granicami], wykres 2.</w:t>
      </w:r>
    </w:p>
  </w:footnote>
  <w:footnote w:id="10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ATR, </w:t>
      </w:r>
      <w:proofErr w:type="spellStart"/>
      <w:r w:rsidRPr="00EB4B3B">
        <w:rPr>
          <w:sz w:val="24"/>
          <w:lang w:val="pl-PL"/>
        </w:rPr>
        <w:t>Avinor</w:t>
      </w:r>
      <w:proofErr w:type="spellEnd"/>
      <w:r w:rsidRPr="00EB4B3B">
        <w:rPr>
          <w:sz w:val="24"/>
          <w:lang w:val="pl-PL"/>
        </w:rPr>
        <w:t xml:space="preserve">, Deutsche Aircraft (we współpracy z </w:t>
      </w:r>
      <w:proofErr w:type="spellStart"/>
      <w:r w:rsidRPr="00EB4B3B">
        <w:rPr>
          <w:sz w:val="24"/>
          <w:lang w:val="pl-PL"/>
        </w:rPr>
        <w:t>Private</w:t>
      </w:r>
      <w:proofErr w:type="spellEnd"/>
      <w:r w:rsidRPr="00EB4B3B">
        <w:rPr>
          <w:sz w:val="24"/>
          <w:lang w:val="pl-PL"/>
        </w:rPr>
        <w:t xml:space="preserve"> </w:t>
      </w:r>
      <w:proofErr w:type="spellStart"/>
      <w:r w:rsidRPr="00EB4B3B">
        <w:rPr>
          <w:sz w:val="24"/>
          <w:lang w:val="pl-PL"/>
        </w:rPr>
        <w:t>Wings</w:t>
      </w:r>
      <w:proofErr w:type="spellEnd"/>
      <w:r w:rsidRPr="00EB4B3B">
        <w:rPr>
          <w:sz w:val="24"/>
          <w:lang w:val="pl-PL"/>
        </w:rPr>
        <w:t xml:space="preserve">), </w:t>
      </w:r>
      <w:proofErr w:type="spellStart"/>
      <w:r w:rsidRPr="00EB4B3B">
        <w:rPr>
          <w:sz w:val="24"/>
          <w:lang w:val="pl-PL"/>
        </w:rPr>
        <w:t>Heart</w:t>
      </w:r>
      <w:proofErr w:type="spellEnd"/>
      <w:r w:rsidRPr="00EB4B3B">
        <w:rPr>
          <w:sz w:val="24"/>
          <w:lang w:val="pl-PL"/>
        </w:rPr>
        <w:t xml:space="preserve"> </w:t>
      </w:r>
      <w:proofErr w:type="spellStart"/>
      <w:r w:rsidRPr="00EB4B3B">
        <w:rPr>
          <w:sz w:val="24"/>
          <w:lang w:val="pl-PL"/>
        </w:rPr>
        <w:t>Aerospace</w:t>
      </w:r>
      <w:proofErr w:type="spellEnd"/>
      <w:r w:rsidRPr="00EB4B3B">
        <w:rPr>
          <w:sz w:val="24"/>
          <w:lang w:val="pl-PL"/>
        </w:rPr>
        <w:t xml:space="preserve"> (we współpracy z </w:t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"https://www.greenairnews.com/?p=824" </w:instrText>
      </w:r>
      <w:r w:rsidR="00E47232">
        <w:fldChar w:fldCharType="separate"/>
      </w:r>
      <w:r w:rsidRPr="00EB4B3B">
        <w:rPr>
          <w:rStyle w:val="Hyperlink"/>
          <w:sz w:val="24"/>
          <w:lang w:val="pl-PL"/>
        </w:rPr>
        <w:t>Finnair</w:t>
      </w:r>
      <w:r w:rsidR="00E47232">
        <w:rPr>
          <w:rStyle w:val="Hyperlink"/>
          <w:sz w:val="24"/>
          <w:lang w:val="pl-PL"/>
        </w:rPr>
        <w:fldChar w:fldCharType="end"/>
      </w:r>
      <w:r w:rsidRPr="00EB4B3B">
        <w:rPr>
          <w:sz w:val="24"/>
          <w:lang w:val="pl-PL"/>
        </w:rPr>
        <w:t xml:space="preserve"> i </w:t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"https://www.icelandairgroup.com/newsroom/news/icelandair-signs-a-new-loi-with-heart-aerospace" </w:instrText>
      </w:r>
      <w:r w:rsidR="00E47232">
        <w:fldChar w:fldCharType="separate"/>
      </w:r>
      <w:proofErr w:type="spellStart"/>
      <w:r w:rsidRPr="00EB4B3B">
        <w:rPr>
          <w:rStyle w:val="Hyperlink"/>
          <w:sz w:val="24"/>
          <w:lang w:val="pl-PL"/>
        </w:rPr>
        <w:t>Icelandair</w:t>
      </w:r>
      <w:proofErr w:type="spellEnd"/>
      <w:r w:rsidR="00E47232">
        <w:rPr>
          <w:rStyle w:val="Hyperlink"/>
          <w:sz w:val="24"/>
          <w:lang w:val="pl-PL"/>
        </w:rPr>
        <w:fldChar w:fldCharType="end"/>
      </w:r>
      <w:r w:rsidRPr="00EB4B3B">
        <w:rPr>
          <w:sz w:val="24"/>
          <w:lang w:val="pl-PL"/>
        </w:rPr>
        <w:t xml:space="preserve">), </w:t>
      </w:r>
      <w:proofErr w:type="spellStart"/>
      <w:r w:rsidRPr="00EB4B3B">
        <w:rPr>
          <w:sz w:val="24"/>
          <w:lang w:val="pl-PL"/>
        </w:rPr>
        <w:t>Pipistrel</w:t>
      </w:r>
      <w:proofErr w:type="spellEnd"/>
      <w:r w:rsidRPr="00EB4B3B">
        <w:rPr>
          <w:sz w:val="24"/>
          <w:lang w:val="pl-PL"/>
        </w:rPr>
        <w:t xml:space="preserve">, </w:t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"https://www.airbus.com/en/newsroom/press-releases/2019-05-airbus-and-sas-scandinavian-airlines-sign-hybrid-and-electric" </w:instrText>
      </w:r>
      <w:r w:rsidR="00E47232">
        <w:fldChar w:fldCharType="separate"/>
      </w:r>
      <w:r w:rsidRPr="00EB4B3B">
        <w:rPr>
          <w:rStyle w:val="Hyperlink"/>
          <w:sz w:val="24"/>
          <w:lang w:val="pl-PL"/>
        </w:rPr>
        <w:t>SAS (we współpracy z Airbus</w:t>
      </w:r>
      <w:proofErr w:type="gramStart"/>
      <w:r w:rsidRPr="00EB4B3B">
        <w:rPr>
          <w:rStyle w:val="Hyperlink"/>
          <w:sz w:val="24"/>
          <w:lang w:val="pl-PL"/>
        </w:rPr>
        <w:t>)</w:t>
      </w:r>
      <w:r w:rsidR="00E47232">
        <w:rPr>
          <w:rStyle w:val="Hyperlink"/>
          <w:sz w:val="24"/>
          <w:lang w:val="pl-PL"/>
        </w:rPr>
        <w:fldChar w:fldCharType="end"/>
      </w:r>
      <w:r w:rsidRPr="00EB4B3B">
        <w:rPr>
          <w:sz w:val="24"/>
          <w:lang w:val="pl-PL"/>
        </w:rPr>
        <w:t xml:space="preserve">, </w:t>
      </w:r>
      <w:proofErr w:type="spellStart"/>
      <w:r w:rsidRPr="00EB4B3B">
        <w:rPr>
          <w:sz w:val="24"/>
          <w:lang w:val="pl-PL"/>
        </w:rPr>
        <w:t>Tecnam</w:t>
      </w:r>
      <w:proofErr w:type="spellEnd"/>
      <w:proofErr w:type="gramEnd"/>
      <w:r w:rsidRPr="00EB4B3B">
        <w:rPr>
          <w:sz w:val="24"/>
          <w:lang w:val="pl-PL"/>
        </w:rPr>
        <w:t xml:space="preserve"> itp.</w:t>
      </w:r>
    </w:p>
  </w:footnote>
  <w:footnote w:id="11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>Nota faktograficzna, „</w:t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"https://www.iata.org/en/iata-repository/pressroom/fact-sheets/fact-sheet-new-aircraft-technology/" </w:instrText>
      </w:r>
      <w:r w:rsidR="00E47232">
        <w:fldChar w:fldCharType="separate"/>
      </w:r>
      <w:r w:rsidRPr="00EB4B3B">
        <w:rPr>
          <w:rStyle w:val="Hyperlink"/>
          <w:sz w:val="24"/>
          <w:lang w:val="pl-PL"/>
        </w:rPr>
        <w:t>Net zero</w:t>
      </w:r>
      <w:proofErr w:type="gramStart"/>
      <w:r w:rsidRPr="00EB4B3B">
        <w:rPr>
          <w:rStyle w:val="Hyperlink"/>
          <w:sz w:val="24"/>
          <w:lang w:val="pl-PL"/>
        </w:rPr>
        <w:t xml:space="preserve"> 2050:</w:t>
      </w:r>
      <w:r w:rsidR="00E47232">
        <w:rPr>
          <w:rStyle w:val="Hyperlink"/>
          <w:sz w:val="24"/>
          <w:lang w:val="pl-PL"/>
        </w:rPr>
        <w:fldChar w:fldCharType="end"/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"https://www.iata.org/en/iata-repository/pressroom/fact-sheets/fact-sheet-new-aircraft-technology/" </w:instrText>
      </w:r>
      <w:r w:rsidR="00E47232">
        <w:fldChar w:fldCharType="separate"/>
      </w:r>
      <w:proofErr w:type="gramEnd"/>
      <w:r w:rsidRPr="00EB4B3B">
        <w:rPr>
          <w:rStyle w:val="Hyperlink"/>
          <w:sz w:val="24"/>
          <w:lang w:val="pl-PL"/>
        </w:rPr>
        <w:t xml:space="preserve"> </w:t>
      </w:r>
      <w:proofErr w:type="spellStart"/>
      <w:r w:rsidRPr="00EB4B3B">
        <w:rPr>
          <w:rStyle w:val="Hyperlink"/>
          <w:sz w:val="24"/>
          <w:lang w:val="pl-PL"/>
        </w:rPr>
        <w:t>new</w:t>
      </w:r>
      <w:proofErr w:type="spellEnd"/>
      <w:r w:rsidRPr="00EB4B3B">
        <w:rPr>
          <w:rStyle w:val="Hyperlink"/>
          <w:sz w:val="24"/>
          <w:lang w:val="pl-PL"/>
        </w:rPr>
        <w:t xml:space="preserve"> </w:t>
      </w:r>
      <w:proofErr w:type="spellStart"/>
      <w:r w:rsidRPr="00EB4B3B">
        <w:rPr>
          <w:rStyle w:val="Hyperlink"/>
          <w:sz w:val="24"/>
          <w:lang w:val="pl-PL"/>
        </w:rPr>
        <w:t>aircraft</w:t>
      </w:r>
      <w:proofErr w:type="spellEnd"/>
      <w:r w:rsidRPr="00EB4B3B">
        <w:rPr>
          <w:rStyle w:val="Hyperlink"/>
          <w:sz w:val="24"/>
          <w:lang w:val="pl-PL"/>
        </w:rPr>
        <w:t xml:space="preserve"> </w:t>
      </w:r>
      <w:proofErr w:type="spellStart"/>
      <w:r w:rsidRPr="00EB4B3B">
        <w:rPr>
          <w:rStyle w:val="Hyperlink"/>
          <w:sz w:val="24"/>
          <w:lang w:val="pl-PL"/>
        </w:rPr>
        <w:t>technology</w:t>
      </w:r>
      <w:proofErr w:type="spellEnd"/>
      <w:r w:rsidR="00E47232">
        <w:rPr>
          <w:rStyle w:val="Hyperlink"/>
          <w:sz w:val="24"/>
          <w:lang w:val="pl-PL"/>
        </w:rPr>
        <w:fldChar w:fldCharType="end"/>
      </w:r>
      <w:r w:rsidRPr="00EB4B3B">
        <w:rPr>
          <w:rStyle w:val="Hyperlink"/>
          <w:sz w:val="24"/>
          <w:lang w:val="pl-PL"/>
        </w:rPr>
        <w:t>”</w:t>
      </w:r>
      <w:r w:rsidRPr="00EB4B3B">
        <w:rPr>
          <w:sz w:val="24"/>
          <w:lang w:val="pl-PL"/>
        </w:rPr>
        <w:t xml:space="preserve"> [</w:t>
      </w:r>
      <w:proofErr w:type="spellStart"/>
      <w:r w:rsidRPr="00EB4B3B">
        <w:rPr>
          <w:sz w:val="24"/>
          <w:lang w:val="pl-PL"/>
        </w:rPr>
        <w:t>Zeroemisyjność</w:t>
      </w:r>
      <w:proofErr w:type="spellEnd"/>
      <w:r w:rsidRPr="00EB4B3B">
        <w:rPr>
          <w:sz w:val="24"/>
          <w:lang w:val="pl-PL"/>
        </w:rPr>
        <w:t xml:space="preserve"> netto do 2050 r.: nowe technologie lotnicze], IATA, czerwiec 2023 r.</w:t>
      </w:r>
    </w:p>
  </w:footnote>
  <w:footnote w:id="12">
    <w:p w:rsidR="00A5408F" w:rsidRPr="00E47232" w:rsidRDefault="00A5408F" w:rsidP="00EB4B3B">
      <w:pPr>
        <w:pStyle w:val="FootnoteText"/>
        <w:ind w:left="567" w:hanging="567"/>
        <w:rPr>
          <w:sz w:val="24"/>
          <w:lang w:val="pt-PT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47232">
        <w:rPr>
          <w:sz w:val="24"/>
          <w:lang w:val="pt-PT"/>
        </w:rPr>
        <w:t xml:space="preserve"> </w:t>
      </w:r>
      <w:r w:rsidR="00EB4B3B" w:rsidRPr="00E47232">
        <w:rPr>
          <w:sz w:val="24"/>
          <w:lang w:val="pt-PT"/>
        </w:rPr>
        <w:tab/>
      </w:r>
      <w:r w:rsidR="00E47232">
        <w:fldChar w:fldCharType="begin"/>
      </w:r>
      <w:r w:rsidR="00E47232" w:rsidRPr="00E47232">
        <w:rPr>
          <w:lang w:val="pt-PT"/>
        </w:rPr>
        <w:instrText xml:space="preserve"> HYPERLINK "https://www.pipistrel-aircraft.com/products/velis-electro/" </w:instrText>
      </w:r>
      <w:r w:rsidR="00E47232">
        <w:fldChar w:fldCharType="separate"/>
      </w:r>
      <w:r w:rsidRPr="00E47232">
        <w:rPr>
          <w:rStyle w:val="Hyperlink"/>
          <w:sz w:val="24"/>
          <w:lang w:val="pt-PT"/>
        </w:rPr>
        <w:t>Pipistrel Velis Electro</w:t>
      </w:r>
      <w:r w:rsidR="00E47232">
        <w:rPr>
          <w:rStyle w:val="Hyperlink"/>
          <w:sz w:val="24"/>
          <w:lang w:val="pl-PL"/>
        </w:rPr>
        <w:fldChar w:fldCharType="end"/>
      </w:r>
      <w:r w:rsidRPr="00E47232">
        <w:rPr>
          <w:sz w:val="24"/>
          <w:lang w:val="pt-PT"/>
        </w:rPr>
        <w:t>.</w:t>
      </w:r>
    </w:p>
  </w:footnote>
  <w:footnote w:id="13">
    <w:p w:rsidR="00A5408F" w:rsidRPr="00E47232" w:rsidRDefault="00A5408F" w:rsidP="00EB4B3B">
      <w:pPr>
        <w:pStyle w:val="FootnoteText"/>
        <w:ind w:left="567" w:hanging="567"/>
        <w:rPr>
          <w:sz w:val="24"/>
          <w:lang w:val="pt-PT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47232">
        <w:rPr>
          <w:sz w:val="24"/>
          <w:lang w:val="pt-PT"/>
        </w:rPr>
        <w:t xml:space="preserve"> </w:t>
      </w:r>
      <w:r w:rsidR="00EB4B3B" w:rsidRPr="00E47232">
        <w:rPr>
          <w:sz w:val="24"/>
          <w:lang w:val="pt-PT"/>
        </w:rPr>
        <w:tab/>
      </w:r>
      <w:r w:rsidRPr="00E47232">
        <w:rPr>
          <w:sz w:val="24"/>
          <w:lang w:val="pt-PT"/>
        </w:rPr>
        <w:t>Dz.U. L 234 z 22.9.2023, s. 1.</w:t>
      </w:r>
    </w:p>
  </w:footnote>
  <w:footnote w:id="14">
    <w:p w:rsidR="00A5408F" w:rsidRPr="00E47232" w:rsidRDefault="00A5408F" w:rsidP="00EB4B3B">
      <w:pPr>
        <w:pStyle w:val="FootnoteText"/>
        <w:ind w:left="567" w:hanging="567"/>
        <w:rPr>
          <w:sz w:val="24"/>
          <w:lang w:val="pt-PT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47232">
        <w:rPr>
          <w:sz w:val="24"/>
          <w:lang w:val="pt-PT"/>
        </w:rPr>
        <w:t xml:space="preserve"> </w:t>
      </w:r>
      <w:r w:rsidR="00EB4B3B" w:rsidRPr="00E47232">
        <w:rPr>
          <w:sz w:val="24"/>
          <w:lang w:val="pt-PT"/>
        </w:rPr>
        <w:tab/>
      </w:r>
      <w:r w:rsidR="00E47232">
        <w:fldChar w:fldCharType="begin"/>
      </w:r>
      <w:r w:rsidR="00E47232" w:rsidRPr="00E47232">
        <w:rPr>
          <w:lang w:val="pt-PT"/>
        </w:rPr>
        <w:instrText xml:space="preserve"> HYPERLINK "https://storymaps.arcgis.com/stories/3b35687163744e69a6966b5b9fad976e" </w:instrText>
      </w:r>
      <w:r w:rsidR="00E47232">
        <w:fldChar w:fldCharType="separate"/>
      </w:r>
      <w:r w:rsidRPr="00E47232">
        <w:rPr>
          <w:rStyle w:val="Hyperlink"/>
          <w:sz w:val="24"/>
          <w:lang w:val="pt-PT"/>
        </w:rPr>
        <w:t>Accessibility study for electric aviation.Part of the project Electric Aviation and the Effect on Nordic Regions</w:t>
      </w:r>
      <w:r w:rsidR="00E47232">
        <w:rPr>
          <w:rStyle w:val="Hyperlink"/>
          <w:sz w:val="24"/>
          <w:lang w:val="pl-PL"/>
        </w:rPr>
        <w:fldChar w:fldCharType="end"/>
      </w:r>
      <w:r w:rsidRPr="00E47232">
        <w:rPr>
          <w:sz w:val="24"/>
          <w:lang w:val="pt-PT"/>
        </w:rPr>
        <w:t xml:space="preserve"> [Badanie dotyczące dostępności lotnictwa elektrycznego w ramach projektu „Lotnictwo elektryczne i jego wpływ na regiony nordyckie”].</w:t>
      </w:r>
    </w:p>
  </w:footnote>
  <w:footnote w:id="15">
    <w:p w:rsidR="00A5408F" w:rsidRPr="00E47232" w:rsidRDefault="00A5408F" w:rsidP="00EB4B3B">
      <w:pPr>
        <w:pStyle w:val="FootnoteText"/>
        <w:ind w:left="567" w:hanging="567"/>
        <w:rPr>
          <w:sz w:val="24"/>
          <w:lang w:val="pt-PT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47232">
        <w:rPr>
          <w:sz w:val="24"/>
          <w:lang w:val="pt-PT"/>
        </w:rPr>
        <w:t xml:space="preserve"> </w:t>
      </w:r>
      <w:r w:rsidR="00EB4B3B" w:rsidRPr="00E47232">
        <w:rPr>
          <w:sz w:val="24"/>
          <w:lang w:val="pt-PT"/>
        </w:rPr>
        <w:tab/>
      </w:r>
      <w:r w:rsidRPr="00E47232">
        <w:rPr>
          <w:sz w:val="24"/>
          <w:lang w:val="pt-PT"/>
        </w:rPr>
        <w:t>Idem.</w:t>
      </w:r>
    </w:p>
  </w:footnote>
  <w:footnote w:id="16">
    <w:p w:rsidR="00A5408F" w:rsidRPr="00E47232" w:rsidRDefault="00A5408F" w:rsidP="00EB4B3B">
      <w:pPr>
        <w:pStyle w:val="FootnoteText"/>
        <w:ind w:left="567" w:hanging="567"/>
        <w:rPr>
          <w:sz w:val="24"/>
          <w:lang w:val="pt-PT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47232">
        <w:rPr>
          <w:sz w:val="24"/>
          <w:lang w:val="pt-PT"/>
        </w:rPr>
        <w:t xml:space="preserve"> </w:t>
      </w:r>
      <w:r w:rsidR="00EB4B3B" w:rsidRPr="00E47232">
        <w:rPr>
          <w:sz w:val="24"/>
          <w:lang w:val="pt-PT"/>
        </w:rPr>
        <w:tab/>
      </w:r>
      <w:r w:rsidRPr="00E47232">
        <w:rPr>
          <w:sz w:val="24"/>
          <w:lang w:val="pt-PT"/>
        </w:rPr>
        <w:t>https://www.easa.europa.eu/en/newsroom-and-events/press-releases/easa-publishes-worlds-first-proposal-assessment-and-limitation.</w:t>
      </w:r>
    </w:p>
  </w:footnote>
  <w:footnote w:id="17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47232">
        <w:rPr>
          <w:sz w:val="24"/>
          <w:lang w:val="en-GB"/>
        </w:rPr>
        <w:t xml:space="preserve"> </w:t>
      </w:r>
      <w:r w:rsidR="00EB4B3B" w:rsidRPr="00E47232">
        <w:rPr>
          <w:sz w:val="24"/>
          <w:lang w:val="en-GB"/>
        </w:rPr>
        <w:tab/>
      </w:r>
      <w:r w:rsidRPr="00E47232">
        <w:rPr>
          <w:sz w:val="24"/>
          <w:lang w:val="en-GB"/>
        </w:rPr>
        <w:t xml:space="preserve">EASA, „Vertiports. Prototype Technical Specifications for the Design of VFR Vertiports for Operation of with Manned VTOL-Capable Aircraft Certified in the Enhanced Category (PTS-VPT-DSN)” [Wertiporty. </w:t>
      </w:r>
      <w:r w:rsidRPr="00EB4B3B">
        <w:rPr>
          <w:sz w:val="24"/>
          <w:lang w:val="pl-PL"/>
        </w:rPr>
        <w:t xml:space="preserve">Prototypowe specyfikacje techniczne dla projektu </w:t>
      </w:r>
      <w:proofErr w:type="spellStart"/>
      <w:r w:rsidRPr="00EB4B3B">
        <w:rPr>
          <w:sz w:val="24"/>
          <w:lang w:val="pl-PL"/>
        </w:rPr>
        <w:t>wertiportów</w:t>
      </w:r>
      <w:proofErr w:type="spellEnd"/>
      <w:r w:rsidRPr="00EB4B3B">
        <w:rPr>
          <w:sz w:val="24"/>
          <w:lang w:val="pl-PL"/>
        </w:rPr>
        <w:t xml:space="preserve"> VFR do obsługi załogowych statków powietrznych zdolnych do pionowego startu i lądowania certyfikowanych w kategorii rozszerzonej], marzec 2022 r.</w:t>
      </w:r>
    </w:p>
  </w:footnote>
  <w:footnote w:id="18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"https://www3.weforum.org/docs/WEF_Target_True_Zero_2023.pdf" </w:instrText>
      </w:r>
      <w:r w:rsidR="00E47232">
        <w:fldChar w:fldCharType="separate"/>
      </w:r>
      <w:r w:rsidRPr="00EB4B3B">
        <w:rPr>
          <w:rStyle w:val="Hyperlink"/>
          <w:i/>
          <w:sz w:val="24"/>
          <w:lang w:val="pl-PL"/>
        </w:rPr>
        <w:t xml:space="preserve">Target True Zero: </w:t>
      </w:r>
      <w:proofErr w:type="spellStart"/>
      <w:r w:rsidRPr="00EB4B3B">
        <w:rPr>
          <w:rStyle w:val="Hyperlink"/>
          <w:i/>
          <w:sz w:val="24"/>
          <w:lang w:val="pl-PL"/>
        </w:rPr>
        <w:t>Delivering</w:t>
      </w:r>
      <w:proofErr w:type="spellEnd"/>
      <w:r w:rsidRPr="00EB4B3B">
        <w:rPr>
          <w:rStyle w:val="Hyperlink"/>
          <w:i/>
          <w:sz w:val="24"/>
          <w:lang w:val="pl-PL"/>
        </w:rPr>
        <w:t xml:space="preserve"> the </w:t>
      </w:r>
      <w:proofErr w:type="spellStart"/>
      <w:r w:rsidRPr="00EB4B3B">
        <w:rPr>
          <w:rStyle w:val="Hyperlink"/>
          <w:i/>
          <w:sz w:val="24"/>
          <w:lang w:val="pl-PL"/>
        </w:rPr>
        <w:t>Infrastructure</w:t>
      </w:r>
      <w:proofErr w:type="spellEnd"/>
      <w:r w:rsidRPr="00EB4B3B">
        <w:rPr>
          <w:rStyle w:val="Hyperlink"/>
          <w:i/>
          <w:sz w:val="24"/>
          <w:lang w:val="pl-PL"/>
        </w:rPr>
        <w:t xml:space="preserve"> for Battery and </w:t>
      </w:r>
      <w:proofErr w:type="spellStart"/>
      <w:r w:rsidRPr="00EB4B3B">
        <w:rPr>
          <w:rStyle w:val="Hyperlink"/>
          <w:i/>
          <w:sz w:val="24"/>
          <w:lang w:val="pl-PL"/>
        </w:rPr>
        <w:t>Hydrogen</w:t>
      </w:r>
      <w:proofErr w:type="spellEnd"/>
      <w:r w:rsidRPr="00EB4B3B">
        <w:rPr>
          <w:rStyle w:val="Hyperlink"/>
          <w:i/>
          <w:sz w:val="24"/>
          <w:lang w:val="pl-PL"/>
        </w:rPr>
        <w:t>-Powered Flight</w:t>
      </w:r>
      <w:r w:rsidR="00E47232">
        <w:rPr>
          <w:rStyle w:val="Hyperlink"/>
          <w:i/>
          <w:sz w:val="24"/>
          <w:lang w:val="pl-PL"/>
        </w:rPr>
        <w:fldChar w:fldCharType="end"/>
      </w:r>
      <w:r w:rsidRPr="00EB4B3B">
        <w:rPr>
          <w:sz w:val="24"/>
          <w:lang w:val="pl-PL"/>
        </w:rPr>
        <w:t xml:space="preserve"> [Osiągnięcie celu zerowego poziomu emisji: stworzenie infrastruktury dla samolotów z napędem akumulatorowym i wodorowym], Światowe Forum Ekonomiczne, kwiecień 2023 r., s. 10–15.</w:t>
      </w:r>
    </w:p>
  </w:footnote>
  <w:footnote w:id="19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>Rozporządzenie Parlamentu Europejskiego i Rady (UE</w:t>
      </w:r>
      <w:proofErr w:type="gramStart"/>
      <w:r w:rsidRPr="00EB4B3B">
        <w:rPr>
          <w:sz w:val="24"/>
          <w:lang w:val="pl-PL"/>
        </w:rPr>
        <w:t>) 2023/1804 z</w:t>
      </w:r>
      <w:proofErr w:type="gramEnd"/>
      <w:r w:rsidRPr="00EB4B3B">
        <w:rPr>
          <w:sz w:val="24"/>
          <w:lang w:val="pl-PL"/>
        </w:rPr>
        <w:t xml:space="preserve"> dnia 13 września 2023 r. w sprawie rozwoju infrastruktury paliw alternatywnych i uchylenia dyrektywy 2014/94/UE (Dz.U. L 234 z 22.9.2023,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 1).</w:t>
      </w:r>
    </w:p>
  </w:footnote>
  <w:footnote w:id="20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="00E47232">
        <w:fldChar w:fldCharType="begin"/>
      </w:r>
      <w:r w:rsidR="00E47232" w:rsidRPr="00E47232">
        <w:rPr>
          <w:lang w:val="pl-PL"/>
        </w:rPr>
        <w:instrText xml:space="preserve"> HYPERLINK "https://www.airbus.com/en/newsroom/press-releases/2022-11-airbus-and-renault-gro</w:instrText>
      </w:r>
      <w:r w:rsidR="00E47232" w:rsidRPr="00E47232">
        <w:rPr>
          <w:lang w:val="pl-PL"/>
        </w:rPr>
        <w:instrText xml:space="preserve">up-to-advance-research-on-electrification" </w:instrText>
      </w:r>
      <w:r w:rsidR="00E47232">
        <w:fldChar w:fldCharType="separate"/>
      </w:r>
      <w:r w:rsidRPr="00EB4B3B">
        <w:rPr>
          <w:rStyle w:val="Hyperlink"/>
          <w:sz w:val="24"/>
          <w:lang w:val="pl-PL"/>
        </w:rPr>
        <w:t xml:space="preserve">Airbus and Renault </w:t>
      </w:r>
      <w:proofErr w:type="spellStart"/>
      <w:r w:rsidRPr="00EB4B3B">
        <w:rPr>
          <w:rStyle w:val="Hyperlink"/>
          <w:sz w:val="24"/>
          <w:lang w:val="pl-PL"/>
        </w:rPr>
        <w:t>Group</w:t>
      </w:r>
      <w:proofErr w:type="spellEnd"/>
      <w:r w:rsidRPr="00EB4B3B">
        <w:rPr>
          <w:rStyle w:val="Hyperlink"/>
          <w:sz w:val="24"/>
          <w:lang w:val="pl-PL"/>
        </w:rPr>
        <w:t xml:space="preserve"> to </w:t>
      </w:r>
      <w:proofErr w:type="spellStart"/>
      <w:r w:rsidRPr="00EB4B3B">
        <w:rPr>
          <w:rStyle w:val="Hyperlink"/>
          <w:sz w:val="24"/>
          <w:lang w:val="pl-PL"/>
        </w:rPr>
        <w:t>advance</w:t>
      </w:r>
      <w:proofErr w:type="spellEnd"/>
      <w:r w:rsidRPr="00EB4B3B">
        <w:rPr>
          <w:rStyle w:val="Hyperlink"/>
          <w:sz w:val="24"/>
          <w:lang w:val="pl-PL"/>
        </w:rPr>
        <w:t xml:space="preserve"> </w:t>
      </w:r>
      <w:proofErr w:type="spellStart"/>
      <w:r w:rsidRPr="00EB4B3B">
        <w:rPr>
          <w:rStyle w:val="Hyperlink"/>
          <w:sz w:val="24"/>
          <w:lang w:val="pl-PL"/>
        </w:rPr>
        <w:t>research</w:t>
      </w:r>
      <w:proofErr w:type="spellEnd"/>
      <w:r w:rsidRPr="00EB4B3B">
        <w:rPr>
          <w:rStyle w:val="Hyperlink"/>
          <w:sz w:val="24"/>
          <w:lang w:val="pl-PL"/>
        </w:rPr>
        <w:t xml:space="preserve"> on </w:t>
      </w:r>
      <w:proofErr w:type="spellStart"/>
      <w:r w:rsidRPr="00EB4B3B">
        <w:rPr>
          <w:rStyle w:val="Hyperlink"/>
          <w:sz w:val="24"/>
          <w:lang w:val="pl-PL"/>
        </w:rPr>
        <w:t>electrification</w:t>
      </w:r>
      <w:proofErr w:type="spellEnd"/>
      <w:r w:rsidR="00E47232">
        <w:rPr>
          <w:rStyle w:val="Hyperlink"/>
          <w:sz w:val="24"/>
          <w:lang w:val="pl-PL"/>
        </w:rPr>
        <w:fldChar w:fldCharType="end"/>
      </w:r>
      <w:r w:rsidRPr="00EB4B3B">
        <w:rPr>
          <w:sz w:val="24"/>
          <w:lang w:val="pl-PL"/>
        </w:rPr>
        <w:t xml:space="preserve"> [Airbus i Renault </w:t>
      </w:r>
      <w:proofErr w:type="spellStart"/>
      <w:r w:rsidRPr="00EB4B3B">
        <w:rPr>
          <w:sz w:val="24"/>
          <w:lang w:val="pl-PL"/>
        </w:rPr>
        <w:t>Group</w:t>
      </w:r>
      <w:proofErr w:type="spellEnd"/>
      <w:r w:rsidRPr="00EB4B3B">
        <w:rPr>
          <w:sz w:val="24"/>
          <w:lang w:val="pl-PL"/>
        </w:rPr>
        <w:t xml:space="preserve"> przyspieszają badania nad elektryfikacją].</w:t>
      </w:r>
    </w:p>
  </w:footnote>
  <w:footnote w:id="21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>Dyrektywa Parlamentu Europejskiego i Rady (UE</w:t>
      </w:r>
      <w:proofErr w:type="gramStart"/>
      <w:r w:rsidRPr="00EB4B3B">
        <w:rPr>
          <w:sz w:val="24"/>
          <w:lang w:val="pl-PL"/>
        </w:rPr>
        <w:t>) 2023/959 z</w:t>
      </w:r>
      <w:proofErr w:type="gramEnd"/>
      <w:r w:rsidRPr="00EB4B3B">
        <w:rPr>
          <w:sz w:val="24"/>
          <w:lang w:val="pl-PL"/>
        </w:rPr>
        <w:t xml:space="preserve"> dnia 10 maja 2023 r. zmieniająca dyrektywę 2003/87/WE ustanawiającą system handlu przydziałami emisji gazów cieplarnianych w Unii oraz decyzję (UE) 2015/1814 w sprawie ustanowienia i funkcjonowania rezerwy stabilności rynkowej dla unijnego systemu handlu uprawnieniami do emisji gazów cieplarnianych (Dz.U. L 130 z 16.5.2023,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 xml:space="preserve">. 134). </w:t>
      </w:r>
    </w:p>
  </w:footnote>
  <w:footnote w:id="22">
    <w:p w:rsidR="00A5408F" w:rsidRPr="00EB4B3B" w:rsidRDefault="00A5408F" w:rsidP="00EB4B3B">
      <w:pPr>
        <w:pStyle w:val="FootnoteText"/>
        <w:ind w:left="567" w:hanging="567"/>
        <w:rPr>
          <w:sz w:val="24"/>
          <w:lang w:val="pl-PL"/>
        </w:rPr>
      </w:pPr>
      <w:r w:rsidRPr="00EB4B3B">
        <w:rPr>
          <w:rStyle w:val="FootnoteReference"/>
          <w:sz w:val="24"/>
          <w:lang w:val="pl-PL"/>
        </w:rPr>
        <w:footnoteRef/>
      </w:r>
      <w:r w:rsidR="00EB4B3B" w:rsidRPr="00EB4B3B">
        <w:rPr>
          <w:sz w:val="24"/>
          <w:lang w:val="pl-PL"/>
        </w:rPr>
        <w:t xml:space="preserve"> </w:t>
      </w:r>
      <w:r w:rsidR="00EB4B3B" w:rsidRPr="00EB4B3B">
        <w:rPr>
          <w:sz w:val="24"/>
          <w:lang w:val="pl-PL"/>
        </w:rPr>
        <w:tab/>
      </w:r>
      <w:r w:rsidRPr="00EB4B3B">
        <w:rPr>
          <w:sz w:val="24"/>
          <w:lang w:val="pl-PL"/>
        </w:rPr>
        <w:t xml:space="preserve">Dyrektywa Rady 2003/96/WE z dnia 27 października 2003 r. w sprawie restrukturyzacji wspólnotowych przepisów ramowych dotyczących opodatkowania produktów energetycznych i energii elektrycznej (Dz.U. L 283 z 31.10.2003, </w:t>
      </w:r>
      <w:proofErr w:type="gramStart"/>
      <w:r w:rsidRPr="00EB4B3B">
        <w:rPr>
          <w:sz w:val="24"/>
          <w:lang w:val="pl-PL"/>
        </w:rPr>
        <w:t>s</w:t>
      </w:r>
      <w:proofErr w:type="gramEnd"/>
      <w:r w:rsidRPr="00EB4B3B">
        <w:rPr>
          <w:sz w:val="24"/>
          <w:lang w:val="pl-PL"/>
        </w:rPr>
        <w:t>. 51).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B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B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B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8/2023"/>
    <w:docVar w:name="dvlangue" w:val="PL"/>
    <w:docVar w:name="dvnumam" w:val="0"/>
    <w:docVar w:name="dvpe" w:val="751.901"/>
    <w:docVar w:name="dvrapporteur" w:val="Sprawozdawca: "/>
    <w:docVar w:name="dvtitre" w:val="Rezolucja Parlamentu Europejskiego z dnia  2024 r. na temat lotnictwa elektrycznego – rozwiązanie na potrzeby lotów krótko- i średniodystansowych(2023/2060(INI))"/>
  </w:docVars>
  <w:rsids>
    <w:rsidRoot w:val="000F3257"/>
    <w:rsid w:val="00002272"/>
    <w:rsid w:val="00064002"/>
    <w:rsid w:val="000677B9"/>
    <w:rsid w:val="000831BA"/>
    <w:rsid w:val="000A42CC"/>
    <w:rsid w:val="000E7DD9"/>
    <w:rsid w:val="000F3257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E7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08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232"/>
    <w:rsid w:val="00E820A4"/>
    <w:rsid w:val="00EB006A"/>
    <w:rsid w:val="00EB4772"/>
    <w:rsid w:val="00EB4B3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47972"/>
  <w15:chartTrackingRefBased/>
  <w15:docId w15:val="{AC4FAA71-1E11-4232-ADA3-179AF231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408F"/>
    <w:pPr>
      <w:spacing w:after="240"/>
      <w:ind w:left="567" w:hanging="567"/>
    </w:pPr>
  </w:style>
  <w:style w:type="paragraph" w:customStyle="1" w:styleId="EPComma">
    <w:name w:val="EPComma"/>
    <w:basedOn w:val="Normal"/>
    <w:rsid w:val="00A5408F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A5408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A5408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02167-861F-4851-B947-CAAEF6B2E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4308</Words>
  <Characters>29645</Characters>
  <Application>Microsoft Office Word</Application>
  <DocSecurity>0</DocSecurity>
  <Lines>1235</Lines>
  <Paragraphs>373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2024-01-16T11:45:00Z</dcterms:created>
  <dcterms:modified xsi:type="dcterms:W3CDTF">2024-01-16T11:45:00Z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A9-0438/2023</vt:lpwstr>
  </property>
  <property fmtid="{D5CDD505-2E9C-101B-9397-08002B2CF9AE}" pid="4" name="&lt;Type&gt;">
    <vt:lpwstr>RR</vt:lpwstr>
  </property>
</Properties>
</file>