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D570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D570B" w:rsidRDefault="009646E8" w:rsidP="0010095E">
            <w:pPr>
              <w:pStyle w:val="EPName"/>
            </w:pPr>
            <w:r w:rsidRPr="001D570B">
              <w:t>Parlamento Europeu</w:t>
            </w:r>
          </w:p>
          <w:p w:rsidR="00751A4A" w:rsidRPr="001D570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D570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D570B" w:rsidRDefault="00187494" w:rsidP="0010095E">
            <w:pPr>
              <w:pStyle w:val="EPLogo"/>
            </w:pPr>
            <w:r w:rsidRPr="001D570B">
              <w:rPr>
                <w:noProof/>
                <w:lang w:eastAsia="pt-PT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D570B" w:rsidRDefault="00D058B8" w:rsidP="004C5D52">
      <w:pPr>
        <w:pStyle w:val="LineTop"/>
      </w:pPr>
    </w:p>
    <w:p w:rsidR="00680577" w:rsidRPr="001D570B" w:rsidRDefault="009646E8" w:rsidP="00680577">
      <w:pPr>
        <w:pStyle w:val="EPBodyTA1"/>
      </w:pPr>
      <w:r w:rsidRPr="001D570B">
        <w:t>TEXTOS APROVADOS</w:t>
      </w:r>
    </w:p>
    <w:p w:rsidR="00D058B8" w:rsidRPr="001D570B" w:rsidRDefault="00D058B8" w:rsidP="00D058B8">
      <w:pPr>
        <w:pStyle w:val="LineBottom"/>
      </w:pPr>
    </w:p>
    <w:p w:rsidR="009646E8" w:rsidRPr="001D570B" w:rsidRDefault="009646E8" w:rsidP="009646E8">
      <w:pPr>
        <w:pStyle w:val="ATHeading1"/>
      </w:pPr>
      <w:bookmarkStart w:id="0" w:name="TANumber"/>
      <w:r w:rsidRPr="001D570B">
        <w:t>P9_</w:t>
      </w:r>
      <w:proofErr w:type="gramStart"/>
      <w:r w:rsidRPr="001D570B">
        <w:t>TA(</w:t>
      </w:r>
      <w:proofErr w:type="gramEnd"/>
      <w:r w:rsidRPr="001D570B">
        <w:t>2024)00</w:t>
      </w:r>
      <w:r w:rsidR="008819C3" w:rsidRPr="001D570B">
        <w:t>14</w:t>
      </w:r>
      <w:bookmarkEnd w:id="0"/>
    </w:p>
    <w:p w:rsidR="009646E8" w:rsidRPr="001D570B" w:rsidRDefault="009646E8" w:rsidP="009646E8">
      <w:pPr>
        <w:pStyle w:val="ATHeading2"/>
      </w:pPr>
      <w:bookmarkStart w:id="1" w:name="title"/>
      <w:r w:rsidRPr="001D570B">
        <w:t>Aviões elétricos - uma solução para voos de curta e média distância</w:t>
      </w:r>
      <w:bookmarkEnd w:id="1"/>
    </w:p>
    <w:p w:rsidR="009646E8" w:rsidRPr="001D570B" w:rsidRDefault="009646E8" w:rsidP="009646E8">
      <w:pPr>
        <w:rPr>
          <w:i/>
          <w:vanish/>
        </w:rPr>
      </w:pPr>
      <w:r w:rsidRPr="001D570B">
        <w:rPr>
          <w:i/>
        </w:rPr>
        <w:fldChar w:fldCharType="begin"/>
      </w:r>
      <w:r w:rsidRPr="001D570B">
        <w:rPr>
          <w:i/>
        </w:rPr>
        <w:instrText xml:space="preserve"> TC"(</w:instrText>
      </w:r>
      <w:bookmarkStart w:id="2" w:name="DocNumber"/>
      <w:r w:rsidRPr="001D570B">
        <w:rPr>
          <w:i/>
        </w:rPr>
        <w:instrText>A9-0438/2023</w:instrText>
      </w:r>
      <w:bookmarkEnd w:id="2"/>
      <w:r w:rsidRPr="001D570B">
        <w:rPr>
          <w:i/>
        </w:rPr>
        <w:instrText xml:space="preserve"> - Relator:  Erik Bergkvist)"\l3 \n&gt; \* MERGEFORMAT </w:instrText>
      </w:r>
      <w:r w:rsidRPr="001D570B">
        <w:rPr>
          <w:i/>
        </w:rPr>
        <w:fldChar w:fldCharType="end"/>
      </w:r>
    </w:p>
    <w:p w:rsidR="009646E8" w:rsidRPr="001D570B" w:rsidRDefault="009646E8" w:rsidP="009646E8">
      <w:pPr>
        <w:rPr>
          <w:vanish/>
        </w:rPr>
      </w:pPr>
      <w:bookmarkStart w:id="3" w:name="Commission"/>
      <w:r w:rsidRPr="001D570B">
        <w:rPr>
          <w:vanish/>
        </w:rPr>
        <w:t>Comissão dos Transportes e do Turismo</w:t>
      </w:r>
      <w:bookmarkEnd w:id="3"/>
    </w:p>
    <w:p w:rsidR="009646E8" w:rsidRPr="001D570B" w:rsidRDefault="009646E8" w:rsidP="009646E8">
      <w:pPr>
        <w:rPr>
          <w:vanish/>
        </w:rPr>
      </w:pPr>
      <w:bookmarkStart w:id="4" w:name="PE"/>
      <w:r w:rsidRPr="001D570B">
        <w:rPr>
          <w:vanish/>
        </w:rPr>
        <w:t>PE751.901</w:t>
      </w:r>
      <w:bookmarkEnd w:id="4"/>
    </w:p>
    <w:p w:rsidR="009646E8" w:rsidRPr="001D570B" w:rsidRDefault="009646E8" w:rsidP="009646E8">
      <w:pPr>
        <w:pStyle w:val="ATHeading3"/>
      </w:pPr>
      <w:bookmarkStart w:id="5" w:name="Sujet"/>
      <w:r w:rsidRPr="001D570B">
        <w:t xml:space="preserve">Resolução do Parlamento Europeu, de </w:t>
      </w:r>
      <w:r w:rsidR="008819C3" w:rsidRPr="001D570B">
        <w:t>16</w:t>
      </w:r>
      <w:r w:rsidRPr="001D570B">
        <w:t xml:space="preserve"> de </w:t>
      </w:r>
      <w:r w:rsidR="00F9768F" w:rsidRPr="001D570B">
        <w:t>janeiro</w:t>
      </w:r>
      <w:r w:rsidRPr="001D570B">
        <w:t xml:space="preserve"> de 2024, sobre os aviões elétricos – uma solução para voos de curta e média distância</w:t>
      </w:r>
      <w:bookmarkEnd w:id="5"/>
      <w:r w:rsidRPr="001D570B">
        <w:t xml:space="preserve"> </w:t>
      </w:r>
      <w:bookmarkStart w:id="6" w:name="References"/>
      <w:r w:rsidRPr="001D570B">
        <w:t>(2023/2060(INI))</w:t>
      </w:r>
      <w:bookmarkEnd w:id="6"/>
    </w:p>
    <w:p w:rsidR="00CE43FD" w:rsidRPr="001D570B" w:rsidRDefault="00CE43FD" w:rsidP="00CE43FD">
      <w:pPr>
        <w:pStyle w:val="EPComma"/>
      </w:pPr>
      <w:bookmarkStart w:id="7" w:name="TextBodyBegin"/>
      <w:bookmarkEnd w:id="7"/>
      <w:r w:rsidRPr="001D570B">
        <w:rPr>
          <w:i/>
        </w:rPr>
        <w:t>O Parlamento Europeu,</w:t>
      </w:r>
    </w:p>
    <w:p w:rsidR="00CE43FD" w:rsidRPr="001D570B" w:rsidRDefault="00CE43FD" w:rsidP="00CE43FD">
      <w:pPr>
        <w:pStyle w:val="NormalHanging12a"/>
        <w:rPr>
          <w:i/>
        </w:rPr>
      </w:pPr>
      <w:r w:rsidRPr="001D570B">
        <w:t>–</w:t>
      </w:r>
      <w:r w:rsidRPr="001D570B">
        <w:tab/>
        <w:t>Tendo em conta o Tratado sobre o Funcionamento da União Europeia, nomeadamente o artigo 90.º,</w:t>
      </w:r>
    </w:p>
    <w:p w:rsidR="00CE43FD" w:rsidRPr="001D570B" w:rsidRDefault="00CE43FD" w:rsidP="00CE43FD">
      <w:pPr>
        <w:pStyle w:val="NormalHanging12a"/>
      </w:pPr>
      <w:r w:rsidRPr="001D570B">
        <w:t>–</w:t>
      </w:r>
      <w:r w:rsidRPr="001D570B">
        <w:tab/>
        <w:t>Tendo em conta o Tratado da União Europeia, nomeadamente o artigo 3.º, n.º 3,</w:t>
      </w:r>
    </w:p>
    <w:p w:rsidR="00CE43FD" w:rsidRPr="001D570B" w:rsidRDefault="00CE43FD" w:rsidP="00CE43FD">
      <w:pPr>
        <w:pStyle w:val="NormalHanging12a"/>
      </w:pPr>
      <w:r w:rsidRPr="001D570B">
        <w:t>–</w:t>
      </w:r>
      <w:r w:rsidRPr="001D570B">
        <w:tab/>
        <w:t>Tendo em conta a proposta da Comissão, de 16 de março de 2023, de um regulamento do Parlamento Europeu e do Conselho que estabelece um quadro de medidas para reforçar o ecossistema europeu de fabrico de produtos com tecnologia de impacto zero (Regulamento Indústria de Impacto Zero)</w:t>
      </w:r>
      <w:r w:rsidR="00776C33" w:rsidRPr="001D570B">
        <w:t xml:space="preserve"> (</w:t>
      </w:r>
      <w:proofErr w:type="gramStart"/>
      <w:r w:rsidR="00776C33" w:rsidRPr="001D570B">
        <w:t>COM(</w:t>
      </w:r>
      <w:proofErr w:type="gramEnd"/>
      <w:r w:rsidR="00776C33" w:rsidRPr="001D570B">
        <w:t>2023)0161)</w:t>
      </w:r>
      <w:r w:rsidRPr="001D570B">
        <w:t>,</w:t>
      </w:r>
    </w:p>
    <w:p w:rsidR="00CE43FD" w:rsidRPr="001D570B" w:rsidRDefault="00CE43FD" w:rsidP="00CE43FD">
      <w:pPr>
        <w:pStyle w:val="NormalHanging12a"/>
      </w:pPr>
      <w:r w:rsidRPr="001D570B">
        <w:t>–</w:t>
      </w:r>
      <w:r w:rsidRPr="001D570B">
        <w:tab/>
        <w:t>Tendo em conta a proposta da Comissão, de 14 de julho de 2021, de um regulamento do Parlamento Europeu e do Conselho relativo à criação de uma infraestrutura para combustíveis alternativos e que revoga a Diretiva 2014/94/UE do Parlamento Europeu e do Conselho (</w:t>
      </w:r>
      <w:proofErr w:type="gramStart"/>
      <w:r w:rsidRPr="001D570B">
        <w:rPr>
          <w:shd w:val="clear" w:color="auto" w:fill="FFFFFF"/>
        </w:rPr>
        <w:t>COM(</w:t>
      </w:r>
      <w:proofErr w:type="gramEnd"/>
      <w:r w:rsidRPr="001D570B">
        <w:rPr>
          <w:shd w:val="clear" w:color="auto" w:fill="FFFFFF"/>
        </w:rPr>
        <w:t>2021)0559)</w:t>
      </w:r>
      <w:r w:rsidRPr="001D570B">
        <w:t>,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–</w:t>
      </w:r>
      <w:r w:rsidRPr="001D570B">
        <w:tab/>
        <w:t>Tendo em conta a proposta da Comissão, de 14 de dezembro de 2021, de um regulamento do Parlamento Europeu e do Conselho relativo às orientações da União para o desenvolvimento da rede transeuropeia de transportes, que altera o Regulamento (UE) 2021/1153 e o Regulamento (UE) n.º 913/2010 e revoga o Regulamento (UE) n.º 1315/2013 (</w:t>
      </w:r>
      <w:proofErr w:type="gramStart"/>
      <w:r w:rsidRPr="001D570B">
        <w:t>COM(</w:t>
      </w:r>
      <w:proofErr w:type="gramEnd"/>
      <w:r w:rsidRPr="001D570B">
        <w:t>2021)0812), nomeadamente a secção 5 relativa à infraestrutura do transporte aéreo,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–</w:t>
      </w:r>
      <w:r w:rsidRPr="001D570B">
        <w:tab/>
        <w:t>Tendo em conta a proposta da Comissão, de 7 de junho de 2018, de um regulamento do Parlamento Europeu e do Conselho que estabelece o Horizonte Europa – Programa-Quadro de Investigação e Inovação e que define as suas regras de participação e difusão (</w:t>
      </w:r>
      <w:proofErr w:type="gramStart"/>
      <w:r w:rsidRPr="001D570B">
        <w:rPr>
          <w:shd w:val="clear" w:color="auto" w:fill="FFFFFF"/>
        </w:rPr>
        <w:t>COM(</w:t>
      </w:r>
      <w:proofErr w:type="gramEnd"/>
      <w:r w:rsidRPr="001D570B">
        <w:rPr>
          <w:shd w:val="clear" w:color="auto" w:fill="FFFFFF"/>
        </w:rPr>
        <w:t>2018)</w:t>
      </w:r>
      <w:r w:rsidR="005C277A">
        <w:rPr>
          <w:shd w:val="clear" w:color="auto" w:fill="FFFFFF"/>
        </w:rPr>
        <w:t>0</w:t>
      </w:r>
      <w:bookmarkStart w:id="8" w:name="_GoBack"/>
      <w:bookmarkEnd w:id="8"/>
      <w:r w:rsidRPr="001D570B">
        <w:rPr>
          <w:shd w:val="clear" w:color="auto" w:fill="FFFFFF"/>
        </w:rPr>
        <w:t>435</w:t>
      </w:r>
      <w:r w:rsidRPr="001D570B">
        <w:t>),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–</w:t>
      </w:r>
      <w:r w:rsidRPr="001D570B">
        <w:tab/>
        <w:t>Tendo em conta a proposta da Comissão, de 11 de junho de 2013, de um regulamento do Parlamento Europeu e do Conselho relativo à implementação do Céu Único Europeu (</w:t>
      </w:r>
      <w:proofErr w:type="gramStart"/>
      <w:r w:rsidRPr="001D570B">
        <w:t>COM(</w:t>
      </w:r>
      <w:proofErr w:type="gramEnd"/>
      <w:r w:rsidRPr="001D570B">
        <w:t>2013)0410),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–</w:t>
      </w:r>
      <w:r w:rsidRPr="001D570B">
        <w:tab/>
        <w:t xml:space="preserve">Tendo em conta a Comunicação da Comissão, de 29 de novembro de 2022, intitulada «Estratégia Drone 2.0 para um ecossistema de aeronaves não tripuladas inteligente e </w:t>
      </w:r>
      <w:r w:rsidRPr="001D570B">
        <w:lastRenderedPageBreak/>
        <w:t>sustentável na Europa» (</w:t>
      </w:r>
      <w:proofErr w:type="gramStart"/>
      <w:r w:rsidRPr="001D570B">
        <w:t>COM(</w:t>
      </w:r>
      <w:proofErr w:type="gramEnd"/>
      <w:r w:rsidRPr="001D570B">
        <w:t>2022)</w:t>
      </w:r>
      <w:r w:rsidR="00FD60BD" w:rsidRPr="001D570B">
        <w:t>0</w:t>
      </w:r>
      <w:r w:rsidRPr="001D570B">
        <w:t>652),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–</w:t>
      </w:r>
      <w:r w:rsidRPr="001D570B">
        <w:tab/>
        <w:t>Tendo em conta a Comunicação da Comissão, de 9 de dezembro de 2020, intitulada «Estratégia de mobilidade sustentável e inteligente – pôr os transportes europeus na senda do futuro» (</w:t>
      </w:r>
      <w:proofErr w:type="gramStart"/>
      <w:r w:rsidRPr="001D570B">
        <w:t>COM(</w:t>
      </w:r>
      <w:proofErr w:type="gramEnd"/>
      <w:r w:rsidRPr="001D570B">
        <w:t>2020)0789),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–</w:t>
      </w:r>
      <w:r w:rsidRPr="001D570B">
        <w:tab/>
        <w:t>Tendo em conta o Regulamento (UE) 2021/1119 do Parlamento Europeu e do Conselho, de 30 de junho de 2021, que cria o regime para alcançar a neutralidade climática e que altera os Regulamentos (CE) n.º 401/2009 e (UE) 2018/1999 («Lei europeia em matéria de clima»)</w:t>
      </w:r>
      <w:r w:rsidRPr="001D570B">
        <w:rPr>
          <w:rStyle w:val="FootnoteReference"/>
          <w:szCs w:val="24"/>
        </w:rPr>
        <w:footnoteReference w:id="1"/>
      </w:r>
      <w:r w:rsidRPr="001D570B">
        <w:t>, transformando em legislação os objetivos do Pacto Ecológico Europeu,</w:t>
      </w:r>
    </w:p>
    <w:p w:rsidR="00CE43FD" w:rsidRPr="001D570B" w:rsidRDefault="00CE43FD" w:rsidP="00CE43FD">
      <w:pPr>
        <w:pStyle w:val="NormalHanging12a"/>
        <w:rPr>
          <w:bCs/>
          <w:szCs w:val="24"/>
        </w:rPr>
      </w:pPr>
      <w:r w:rsidRPr="001D570B">
        <w:t>–</w:t>
      </w:r>
      <w:r w:rsidRPr="001D570B">
        <w:tab/>
        <w:t>Tendo em conta o Regulamento (UE) n.</w:t>
      </w:r>
      <w:r w:rsidR="00FD60BD" w:rsidRPr="001D570B">
        <w:t>º</w:t>
      </w:r>
      <w:r w:rsidRPr="001D570B">
        <w:t xml:space="preserve"> 598/2014 do Parlamento Europeu e do Conselho, de 16 de abril de 2014, relativo ao estabelecimento de regras e procedimentos para a introdução de restrições de operação relacionadas com o ruído nos aeroportos da União no âmbito de uma abordagem equilibrada e que revoga a Diretiva 2002/30/CE</w:t>
      </w:r>
      <w:r w:rsidRPr="001D570B">
        <w:rPr>
          <w:rStyle w:val="FootnoteReference"/>
          <w:bCs/>
          <w:szCs w:val="24"/>
        </w:rPr>
        <w:footnoteReference w:id="2"/>
      </w:r>
      <w:r w:rsidRPr="001D570B">
        <w:t>,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–</w:t>
      </w:r>
      <w:r w:rsidRPr="001D570B">
        <w:tab/>
        <w:t>Tendo em conta a Diretiva 2003/87/CE do Parlamento Europeu e do Conselho, de 13 de outubro de 2003, relativa à criação de um regime de comércio de licenças de emissão de gases com efeito de estufa na União e que altera a Diretiva 96/61/CE</w:t>
      </w:r>
      <w:r w:rsidRPr="001D570B">
        <w:rPr>
          <w:rStyle w:val="FootnoteReference"/>
          <w:szCs w:val="24"/>
        </w:rPr>
        <w:footnoteReference w:id="3"/>
      </w:r>
      <w:r w:rsidRPr="001D570B">
        <w:t>do Conselho, nomeadamente a criação do Fundo de Inovação,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–</w:t>
      </w:r>
      <w:r w:rsidRPr="001D570B">
        <w:tab/>
        <w:t>Tendo em conta o Pacto Ecológico Europeu, que visa colocar a UE na via de uma transição ecológica, com o objetivo último de alcançar a neutralidade climática até 2050,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–</w:t>
      </w:r>
      <w:r w:rsidRPr="001D570B">
        <w:tab/>
        <w:t>Tendo em conta a adoção do pacote Objetivo 55 e das propostas nele incluídas, nomeadamente a proposta de aumento da produção e da adoção de combustíveis de aviação sustentáveis, também conhecida como Iniciativa ReFuelEU Aviação, e a proposta de revisão dos regimes de comércio de licenças de emissão da UE (RCLE) no que diz respeito às emissões de CO</w:t>
      </w:r>
      <w:r w:rsidRPr="001D570B">
        <w:rPr>
          <w:vertAlign w:val="subscript"/>
        </w:rPr>
        <w:t>2</w:t>
      </w:r>
      <w:r w:rsidRPr="001D570B">
        <w:t xml:space="preserve"> provenientes da aviação,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–</w:t>
      </w:r>
      <w:r w:rsidRPr="001D570B">
        <w:tab/>
        <w:t>Tendo em conta a sua Resolução, de 9 de maio de 2023, sobre o novo quadro da UE para a mobilidade urbana</w:t>
      </w:r>
      <w:r w:rsidRPr="001D570B">
        <w:rPr>
          <w:rStyle w:val="FootnoteReference"/>
          <w:szCs w:val="24"/>
        </w:rPr>
        <w:footnoteReference w:id="4"/>
      </w:r>
      <w:r w:rsidRPr="001D570B">
        <w:t>,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–</w:t>
      </w:r>
      <w:r w:rsidRPr="001D570B">
        <w:tab/>
        <w:t>Tendo em conta a sua Resolução, de 11 de novembro de 2015, sobre aviação</w:t>
      </w:r>
      <w:r w:rsidRPr="001D570B">
        <w:rPr>
          <w:rStyle w:val="FootnoteReference"/>
          <w:szCs w:val="24"/>
        </w:rPr>
        <w:footnoteReference w:id="5"/>
      </w:r>
      <w:r w:rsidRPr="001D570B">
        <w:t>,</w:t>
      </w:r>
    </w:p>
    <w:p w:rsidR="00CE43FD" w:rsidRPr="001D570B" w:rsidRDefault="00CE43FD" w:rsidP="00CE43FD">
      <w:pPr>
        <w:pStyle w:val="NormalHanging12a"/>
        <w:rPr>
          <w:bCs/>
          <w:szCs w:val="24"/>
        </w:rPr>
      </w:pPr>
      <w:r w:rsidRPr="001D570B">
        <w:t>–</w:t>
      </w:r>
      <w:r w:rsidRPr="001D570B">
        <w:rPr>
          <w:b/>
        </w:rPr>
        <w:tab/>
      </w:r>
      <w:r w:rsidRPr="001D570B">
        <w:t>Tendo em conta a sua Resolução, de 10 de maio de 2012, sobre o futuro dos aeroportos regionais e dos serviços aéreos na UE</w:t>
      </w:r>
      <w:r w:rsidRPr="001D570B">
        <w:rPr>
          <w:rStyle w:val="FootnoteReference"/>
          <w:bCs/>
          <w:szCs w:val="24"/>
        </w:rPr>
        <w:footnoteReference w:id="6"/>
      </w:r>
      <w:r w:rsidRPr="001D570B">
        <w:t>, e a sua Resolução, de 16 de fevereiro de 2017, sobre uma Estratégia da Aviação para a Europa</w:t>
      </w:r>
      <w:r w:rsidRPr="001D570B">
        <w:rPr>
          <w:rStyle w:val="FootnoteReference"/>
          <w:bCs/>
          <w:szCs w:val="24"/>
        </w:rPr>
        <w:footnoteReference w:id="7"/>
      </w:r>
      <w:r w:rsidRPr="001D570B">
        <w:t>,</w:t>
      </w:r>
    </w:p>
    <w:p w:rsidR="00CE43FD" w:rsidRPr="001D570B" w:rsidRDefault="00CE43FD" w:rsidP="00CE43FD">
      <w:pPr>
        <w:pStyle w:val="NormalHanging12a"/>
        <w:rPr>
          <w:bCs/>
          <w:szCs w:val="24"/>
        </w:rPr>
      </w:pPr>
      <w:r w:rsidRPr="001D570B">
        <w:t>–</w:t>
      </w:r>
      <w:r w:rsidRPr="001D570B">
        <w:tab/>
        <w:t xml:space="preserve">Tendo em conta as condições especiais de certificação SC E-19 da Agência da União Europeia para a Segurança da Aviação (AESA) para sistemas de propulsão </w:t>
      </w:r>
      <w:r w:rsidRPr="001D570B">
        <w:lastRenderedPageBreak/>
        <w:t>elétricos/híbridos,</w:t>
      </w:r>
    </w:p>
    <w:p w:rsidR="00CE43FD" w:rsidRPr="001D570B" w:rsidRDefault="00CE43FD" w:rsidP="00CE43FD">
      <w:pPr>
        <w:pStyle w:val="NormalHanging12a"/>
      </w:pPr>
      <w:r w:rsidRPr="001D570B">
        <w:t>–</w:t>
      </w:r>
      <w:r w:rsidRPr="001D570B">
        <w:rPr>
          <w:b/>
        </w:rPr>
        <w:tab/>
      </w:r>
      <w:r w:rsidRPr="001D570B">
        <w:t>Tendo em conta o artigo 54.º do seu Regimento,</w:t>
      </w:r>
    </w:p>
    <w:p w:rsidR="00CE43FD" w:rsidRPr="001D570B" w:rsidRDefault="00CE43FD" w:rsidP="00CE43FD">
      <w:pPr>
        <w:pStyle w:val="NormalHanging12a"/>
      </w:pPr>
      <w:r w:rsidRPr="001D570B">
        <w:t>–</w:t>
      </w:r>
      <w:r w:rsidRPr="001D570B">
        <w:tab/>
        <w:t>Tendo em conta o relatório da Comissão dos Transportes e do Turismo (A9-0438/2023),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A.</w:t>
      </w:r>
      <w:r w:rsidRPr="001D570B">
        <w:tab/>
        <w:t>Considerando que, até 2019, as emissões da aviação internacional aumentaram 146 % em comparação com 1990</w:t>
      </w:r>
      <w:r w:rsidRPr="001D570B">
        <w:rPr>
          <w:rStyle w:val="FootnoteReference"/>
          <w:szCs w:val="24"/>
        </w:rPr>
        <w:footnoteReference w:id="8"/>
      </w:r>
      <w:r w:rsidR="00BC3E6C" w:rsidRPr="001D570B">
        <w:t>; considerando que</w:t>
      </w:r>
      <w:r w:rsidRPr="001D570B">
        <w:t xml:space="preserve"> é expectável uma subida desta percentagem à medida que aumenta a procura de viagens aéreas;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B.</w:t>
      </w:r>
      <w:r w:rsidRPr="001D570B">
        <w:tab/>
        <w:t>Considerando que estas emissões poderiam ser reduzidas em 50 a 55 % fazendo uma transição para combustíveis de aviação sustentáveis, e em 30 a 35 % com a utilização de novas tecnologias, 5 a 10 % otimizando a operação das aeronaves e respetivas infraestruturas e 5 % optando por novas medidas baseadas no mercado</w:t>
      </w:r>
      <w:r w:rsidRPr="001D570B">
        <w:rPr>
          <w:rStyle w:val="FootnoteReference"/>
          <w:szCs w:val="24"/>
        </w:rPr>
        <w:footnoteReference w:id="9"/>
      </w:r>
      <w:r w:rsidRPr="001D570B">
        <w:t>;</w:t>
      </w:r>
    </w:p>
    <w:p w:rsidR="00CE43FD" w:rsidRPr="001D570B" w:rsidRDefault="00CE43FD" w:rsidP="00CE43FD">
      <w:pPr>
        <w:pStyle w:val="NormalHanging12a"/>
        <w:rPr>
          <w:szCs w:val="24"/>
        </w:rPr>
      </w:pPr>
      <w:proofErr w:type="gramStart"/>
      <w:r w:rsidRPr="001D570B">
        <w:t>C.</w:t>
      </w:r>
      <w:r w:rsidRPr="001D570B">
        <w:tab/>
        <w:t>Considerando</w:t>
      </w:r>
      <w:proofErr w:type="gramEnd"/>
      <w:r w:rsidRPr="001D570B">
        <w:t xml:space="preserve"> que, para alcançar até 2050 as necessárias reduções das emissões, 75 % da frota civil mundial terá de ser substituída a partir de 2035;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D.</w:t>
      </w:r>
      <w:r w:rsidRPr="001D570B">
        <w:tab/>
        <w:t>Considerando que a defesa de uma aviação verdadeiramente limpa exige uma colaboração mais profunda entre investigadores, fabricantes, companhias aéreas, governos e outras partes interessadas</w:t>
      </w:r>
      <w:r w:rsidR="00BC3E6C" w:rsidRPr="001D570B">
        <w:t>; considerando que</w:t>
      </w:r>
      <w:r w:rsidRPr="001D570B">
        <w:t xml:space="preserve"> um subsetor da aviação está já a desenvolver ativamente protótipos avançados de aeronaves</w:t>
      </w:r>
      <w:r w:rsidRPr="001D570B">
        <w:rPr>
          <w:rStyle w:val="FootnoteReference"/>
          <w:szCs w:val="24"/>
        </w:rPr>
        <w:footnoteReference w:id="10"/>
      </w:r>
      <w:r w:rsidRPr="001D570B">
        <w:rPr>
          <w:vertAlign w:val="superscript"/>
        </w:rPr>
        <w:t xml:space="preserve"> </w:t>
      </w:r>
      <w:r w:rsidRPr="001D570B">
        <w:t>, como aeronaves elétricas de descolagem e aterragem vertical (eVTOL);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E.</w:t>
      </w:r>
      <w:r w:rsidRPr="001D570B">
        <w:tab/>
        <w:t>Considerando que a Empresa Comum de Aviação Limpa (CAJU</w:t>
      </w:r>
      <w:r w:rsidR="00BC3E6C" w:rsidRPr="001D570B">
        <w:t xml:space="preserve">, do inglês </w:t>
      </w:r>
      <w:r w:rsidR="00BC3E6C" w:rsidRPr="001D570B">
        <w:rPr>
          <w:i/>
        </w:rPr>
        <w:t>Clean Aviation Joint Undertaking</w:t>
      </w:r>
      <w:r w:rsidRPr="001D570B">
        <w:t>) é o principal programa de investigação e inovação da UE para transformar a aviação rumo a um futuro sustentável</w:t>
      </w:r>
      <w:r w:rsidR="00BC3E6C" w:rsidRPr="001D570B">
        <w:t>; considerando que</w:t>
      </w:r>
      <w:r w:rsidRPr="001D570B">
        <w:t xml:space="preserve"> a CAJU e a AESA estão a cooperar na adoção de um regime horizontal de certificação para uma nova geração de aviões;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F.</w:t>
      </w:r>
      <w:r w:rsidRPr="001D570B">
        <w:tab/>
        <w:t>Considerando que estão já a voar em várias regiões da UE pequenas aeronaves elétricas de ensaio com uma lotação máxima de nove lugares</w:t>
      </w:r>
      <w:r w:rsidR="00BC3E6C" w:rsidRPr="001D570B">
        <w:t>; considerando que</w:t>
      </w:r>
      <w:r w:rsidRPr="001D570B">
        <w:t xml:space="preserve"> estão previstas aeronaves elétricas com um máximo de 30 lugares para o final da presente década e aeronaves para voos regionais na próxima década (2030-2040)</w:t>
      </w:r>
      <w:r w:rsidRPr="001D570B">
        <w:rPr>
          <w:rStyle w:val="FootnoteReference"/>
          <w:szCs w:val="24"/>
        </w:rPr>
        <w:footnoteReference w:id="11"/>
      </w:r>
      <w:r w:rsidR="00BC3E6C" w:rsidRPr="001D570B">
        <w:t>; considerando que</w:t>
      </w:r>
      <w:r w:rsidRPr="001D570B">
        <w:t xml:space="preserve"> a primeira frota de aeronaves elétricas certificada pela AESA</w:t>
      </w:r>
      <w:r w:rsidRPr="001D570B">
        <w:rPr>
          <w:rStyle w:val="FootnoteReference"/>
          <w:szCs w:val="24"/>
        </w:rPr>
        <w:footnoteReference w:id="12"/>
      </w:r>
      <w:r w:rsidRPr="001D570B">
        <w:t xml:space="preserve"> já está empenhada em atividades de formação de pilotos seguras e respeitadoras do ambiente; e que já foram apresentados à AESA pedidos de certificação relativos a vários modelos de eVTOL;</w:t>
      </w:r>
    </w:p>
    <w:p w:rsidR="00CE43FD" w:rsidRPr="001D570B" w:rsidRDefault="00CE43FD" w:rsidP="00CE43FD">
      <w:pPr>
        <w:pStyle w:val="NormalHanging12a"/>
        <w:rPr>
          <w:szCs w:val="24"/>
        </w:rPr>
      </w:pPr>
      <w:proofErr w:type="gramStart"/>
      <w:r w:rsidRPr="001D570B">
        <w:t>G.</w:t>
      </w:r>
      <w:r w:rsidRPr="001D570B">
        <w:tab/>
        <w:t>Considerando</w:t>
      </w:r>
      <w:proofErr w:type="gramEnd"/>
      <w:r w:rsidRPr="001D570B">
        <w:t xml:space="preserve"> que a AESA propôs regras para a operação segura de aeronaves VTOL, que incluem táxis aéreos, e um conjunto abrangente de requisitos operacionais para os </w:t>
      </w:r>
      <w:r w:rsidRPr="001D570B">
        <w:lastRenderedPageBreak/>
        <w:t>táxis aéreos elétricos pilotados, englobando os domínios das operações, o licenciamento das tripulações de voo e regras sobre a gestão do espaço e tráfego aéreos;</w:t>
      </w:r>
    </w:p>
    <w:p w:rsidR="00CE43FD" w:rsidRPr="001D570B" w:rsidRDefault="00CE43FD" w:rsidP="00CE43FD">
      <w:pPr>
        <w:pStyle w:val="NormalHanging12a"/>
        <w:rPr>
          <w:szCs w:val="24"/>
        </w:rPr>
      </w:pPr>
      <w:proofErr w:type="gramStart"/>
      <w:r w:rsidRPr="001D570B">
        <w:t>H.</w:t>
      </w:r>
      <w:r w:rsidRPr="001D570B">
        <w:tab/>
        <w:t>Considerando</w:t>
      </w:r>
      <w:proofErr w:type="gramEnd"/>
      <w:r w:rsidRPr="001D570B">
        <w:t xml:space="preserve"> que a aviação elétrica e híbrida-elétrica pode reforçar a mobilidade e a conectividade aérea urbana e regional, oferecendo toda uma gama de soluções inovadoras de transporte público</w:t>
      </w:r>
      <w:r w:rsidR="00BC3E6C" w:rsidRPr="001D570B">
        <w:t>; considerando que</w:t>
      </w:r>
      <w:r w:rsidRPr="001D570B">
        <w:t>, entretanto, estão também a ser concebidos planos para a descolagem generalizada de aeronaves movidas a hidrogénio até 2035;</w:t>
      </w:r>
    </w:p>
    <w:p w:rsidR="00CE43FD" w:rsidRPr="001D570B" w:rsidRDefault="00CE43FD" w:rsidP="00CE43FD">
      <w:pPr>
        <w:pStyle w:val="NormalHanging12a"/>
        <w:rPr>
          <w:szCs w:val="24"/>
        </w:rPr>
      </w:pPr>
      <w:proofErr w:type="gramStart"/>
      <w:r w:rsidRPr="001D570B">
        <w:t>I.</w:t>
      </w:r>
      <w:r w:rsidRPr="001D570B">
        <w:tab/>
        <w:t>Considerando</w:t>
      </w:r>
      <w:proofErr w:type="gramEnd"/>
      <w:r w:rsidRPr="001D570B">
        <w:t xml:space="preserve"> que a aviação elétrica e híbrida-elétrica melhorará a competitividade dos tempos de viagem em distâncias mais curtas através de deslocações mais rápidas</w:t>
      </w:r>
      <w:r w:rsidR="00BC3E6C" w:rsidRPr="001D570B">
        <w:t>; considerando que</w:t>
      </w:r>
      <w:r w:rsidRPr="001D570B">
        <w:t xml:space="preserve"> os aviões elétricos irão transportar menos passageiros, dado serem mais pequenos, o que significa menos tempo gasto no embarque e na assistência em terra;</w:t>
      </w:r>
    </w:p>
    <w:p w:rsidR="00CE43FD" w:rsidRPr="001D570B" w:rsidRDefault="00CE43FD" w:rsidP="00CE43FD">
      <w:pPr>
        <w:pStyle w:val="NormalHanging12a"/>
        <w:rPr>
          <w:szCs w:val="24"/>
        </w:rPr>
      </w:pPr>
      <w:proofErr w:type="gramStart"/>
      <w:r w:rsidRPr="001D570B">
        <w:t>J.</w:t>
      </w:r>
      <w:r w:rsidRPr="001D570B">
        <w:tab/>
        <w:t>Considerando</w:t>
      </w:r>
      <w:proofErr w:type="gramEnd"/>
      <w:r w:rsidRPr="001D570B">
        <w:t xml:space="preserve"> que a UE está a assistir a um rápido desenvolvimento da tecnologia das baterias, tanto em termos de volumes de produção como de despesas de desenvolvimento;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K.</w:t>
      </w:r>
      <w:r w:rsidRPr="001D570B">
        <w:tab/>
        <w:t>Considerando que o êxito de projetos de investigação e desenvolvimento extremamente complexos no domínio da aviação limpa depende diretamente do apoio financeiro e político, inclusivamente das instituições da UE e dos Estados-Membros</w:t>
      </w:r>
      <w:r w:rsidR="00BC3E6C" w:rsidRPr="001D570B">
        <w:t>; considerando que</w:t>
      </w:r>
      <w:r w:rsidRPr="001D570B">
        <w:t xml:space="preserve"> foram criadas múltiplas alianças em matéria de aviação limpa, como a Aliança para a Aviação com Emissões Zero (AZEA), que estão atualmente a trabalhar em reservas de projetos, mas que necessitam de um apoio eficaz por parte da UE</w:t>
      </w:r>
      <w:r w:rsidR="00BC3E6C" w:rsidRPr="001D570B">
        <w:t>; considerando que</w:t>
      </w:r>
      <w:r w:rsidRPr="001D570B">
        <w:t xml:space="preserve"> o incentivo público para esses projetos é fundamental para atrair investimento privado;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L.</w:t>
      </w:r>
      <w:r w:rsidRPr="001D570B">
        <w:tab/>
        <w:t>Considerando que, nos próximos anos, serão necessários investimentos dos Estados-Membros no fornecimento de eletricidade a aeronaves estacionadas, a fim de cumprir os objetivos estabelecidos no Regulamento (UE) 2023/1804 do Parlamento Europeu e do Conselho, de 13 de setembro de 2023, relativo à criação de uma infraestrutura</w:t>
      </w:r>
      <w:r w:rsidRPr="001D570B">
        <w:rPr>
          <w:rStyle w:val="FootnoteReference"/>
          <w:szCs w:val="24"/>
        </w:rPr>
        <w:footnoteReference w:id="13"/>
      </w:r>
      <w:r w:rsidRPr="001D570B">
        <w:t>para combustíveis alternativos, o que poderá constituir um trampolim para a futura implantação de infraestruturas de carregamento para aeronaves elétricas;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M.</w:t>
      </w:r>
      <w:r w:rsidRPr="001D570B">
        <w:tab/>
        <w:t>Considerando que o cálculo da pegada de carbono da aviação elétrica e a hidrogénio deve basear-se em todo o seu ciclo de vida, incluindo a fonte de produção de energia e o fabrico de baterias;</w:t>
      </w:r>
    </w:p>
    <w:p w:rsidR="00CE43FD" w:rsidRPr="001D570B" w:rsidRDefault="00CE43FD" w:rsidP="00CE43FD">
      <w:pPr>
        <w:pStyle w:val="NormalHanging12a"/>
        <w:rPr>
          <w:szCs w:val="24"/>
        </w:rPr>
      </w:pPr>
      <w:proofErr w:type="gramStart"/>
      <w:r w:rsidRPr="001D570B">
        <w:t>N.</w:t>
      </w:r>
      <w:r w:rsidRPr="001D570B">
        <w:tab/>
        <w:t>Considerando</w:t>
      </w:r>
      <w:proofErr w:type="gramEnd"/>
      <w:r w:rsidRPr="001D570B">
        <w:t xml:space="preserve"> que, embora o setor da aviação tenha sido claramente recordado da sua vulnerabilidade às pandemias, à geopolítica e aos choques económicos, demonstrou o seu papel fundamental para manter a cadeia de abastecimento ininterrupta, especialmente no que diz respeito aos bens essenciais;</w:t>
      </w:r>
    </w:p>
    <w:p w:rsidR="00CE43FD" w:rsidRPr="001D570B" w:rsidRDefault="00CE43FD" w:rsidP="00CE43FD">
      <w:pPr>
        <w:pStyle w:val="NormalHanging12a"/>
        <w:rPr>
          <w:szCs w:val="24"/>
        </w:rPr>
      </w:pPr>
      <w:proofErr w:type="gramStart"/>
      <w:r w:rsidRPr="001D570B">
        <w:t>O.</w:t>
      </w:r>
      <w:r w:rsidRPr="001D570B">
        <w:tab/>
        <w:t>Considerando</w:t>
      </w:r>
      <w:proofErr w:type="gramEnd"/>
      <w:r w:rsidRPr="001D570B">
        <w:t xml:space="preserve"> que as competências ecológicas e digitais no ensino técnico, bem como os conhecimentos especializados, como a tecnologia e a engenharia aeronáuticas, a ciência e a matemática, são vitais para o desenvolvimento sustentável da aviação e criam empregos atrativos para os jovens;</w:t>
      </w:r>
    </w:p>
    <w:p w:rsidR="00CE43FD" w:rsidRPr="001D570B" w:rsidRDefault="00CE43FD" w:rsidP="00CE43FD">
      <w:pPr>
        <w:pStyle w:val="NormalHanging12a"/>
      </w:pPr>
      <w:r w:rsidRPr="001D570B">
        <w:t>P.</w:t>
      </w:r>
      <w:r w:rsidRPr="001D570B">
        <w:tab/>
        <w:t>Considerando que a segurança deve continuar a ser a prioridade principal da aviação;</w:t>
      </w:r>
    </w:p>
    <w:p w:rsidR="00CE43FD" w:rsidRPr="001D570B" w:rsidRDefault="00CE43FD" w:rsidP="00CE43FD">
      <w:pPr>
        <w:pStyle w:val="NormalHanging12a"/>
        <w:rPr>
          <w:b/>
          <w:i/>
        </w:rPr>
      </w:pPr>
      <w:r w:rsidRPr="001D570B">
        <w:rPr>
          <w:b/>
          <w:i/>
        </w:rPr>
        <w:lastRenderedPageBreak/>
        <w:t>Vantagens da eletrificação das aeronaves</w:t>
      </w:r>
    </w:p>
    <w:p w:rsidR="00CE43FD" w:rsidRPr="001D570B" w:rsidRDefault="00CE43FD" w:rsidP="00CE43FD">
      <w:pPr>
        <w:pStyle w:val="NormalHanging12a"/>
      </w:pPr>
      <w:r w:rsidRPr="001D570B">
        <w:t>1.</w:t>
      </w:r>
      <w:r w:rsidRPr="001D570B">
        <w:tab/>
        <w:t>Constata a importância dos aeroportos regionais da União para voos de curta e média distância realizados por aeronaves elétricas; salienta o potencial dos aeroportos regionais enquanto polos multimodais de inovação e das pequenas e médias empresas (PME) ao longo de toda a cadeia de abastecimento, beneficiando a investigação e a concorrência, não só no setor da aviação mas também noutros setores dos transportes como o transporte rodoviário, marítimo e ferroviário; solicita, por conseguinte, à Comissão que confirme o seu apoio financeiro aos aeroportos regionais, especialmente aos que operam no domínio da aviação elétrica;</w:t>
      </w:r>
    </w:p>
    <w:p w:rsidR="00CE43FD" w:rsidRPr="001D570B" w:rsidRDefault="00CE43FD" w:rsidP="00CE43FD">
      <w:pPr>
        <w:pStyle w:val="NormalHanging12a"/>
        <w:rPr>
          <w:szCs w:val="24"/>
        </w:rPr>
      </w:pPr>
      <w:proofErr w:type="gramStart"/>
      <w:r w:rsidRPr="001D570B">
        <w:t>2.</w:t>
      </w:r>
      <w:r w:rsidRPr="001D570B">
        <w:tab/>
        <w:t>Está</w:t>
      </w:r>
      <w:proofErr w:type="gramEnd"/>
      <w:r w:rsidRPr="001D570B">
        <w:t xml:space="preserve"> convicto de que opções de transporte aéreo mais limpas, mais rápidas e mais convenientes aumentariam a conectividade e a acessibilidade nas zonas mais pequenas, mais isoladas e escassamente povoadas, incluindo as regiões insulares e as regiões ultraperiféricas, em particular em termos de acesso a serviços públicos, criação de oportunidades de emprego e turismo mais sustentável;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3.</w:t>
      </w:r>
      <w:r w:rsidRPr="001D570B">
        <w:tab/>
        <w:t>Observa que será difícil ligar as regiões ultraperiféricas ao continente europeu utilizando aviões elétricos devido ao isolamento dessas regiões e à reduzida capacidade das baterias das aeronaves; salienta, no entanto, o potencial da aviação elétrica para assegurar a conectividade entre as regiões ultraperiféricas, contribuindo para o seu desenvolvimento e atenuando parcialmente as consequências negativas para a sua economia resultantes das dificuldades topográficas que enfrentam; destaca a necessidade de apoio financeiro, material e técnico às regiões periféricas, a fim de assegurar que as infraestruturas necessárias para o carregamento rápido e fiável de baterias, a manutenção das aeronaves eVTOL e a formação de técnicos e operadores altamente qualificados se desenvolvam a um ritmo adequado;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4.</w:t>
      </w:r>
      <w:r w:rsidRPr="001D570B">
        <w:tab/>
        <w:t>Salienta que, perante barreiras geográficas, pode ser considerável o tempo poupado com voos realizados por aeronaves elétricas como um novo meio de transporte público não dependente de estradas ou vias ferroviárias já existentes; remete para a experiência dos países nórdicos, que combinam geografias caracterizadas por fiordes, lagos e montanhas, uma baixa densidade populacional e um forte enfoque na energia sustentável</w:t>
      </w:r>
      <w:r w:rsidRPr="001D570B">
        <w:rPr>
          <w:rStyle w:val="FootnoteReference"/>
          <w:szCs w:val="24"/>
        </w:rPr>
        <w:footnoteReference w:id="14"/>
      </w:r>
      <w:r w:rsidRPr="001D570B">
        <w:t>, bem como para a experiência das regiões ultraperiféricas, que são caracterizadas pela insularidade, pelo afastamento, por pequenas dimensões e por uma topografia e um clima que suscitam dificuldades; solicita à Comissão que explore este potencial em estreita cooperação com as regiões e os Estados-Membros pertinentes;</w:t>
      </w:r>
    </w:p>
    <w:p w:rsidR="00CE43FD" w:rsidRPr="001D570B" w:rsidRDefault="00CE43FD" w:rsidP="00CE43FD">
      <w:pPr>
        <w:pStyle w:val="NormalHanging12a"/>
        <w:rPr>
          <w:szCs w:val="24"/>
        </w:rPr>
      </w:pPr>
      <w:proofErr w:type="gramStart"/>
      <w:r w:rsidRPr="001D570B">
        <w:t>5.</w:t>
      </w:r>
      <w:r w:rsidRPr="001D570B">
        <w:tab/>
        <w:t>Considera</w:t>
      </w:r>
      <w:proofErr w:type="gramEnd"/>
      <w:r w:rsidRPr="001D570B">
        <w:t xml:space="preserve"> que a eletrificação da aviação regional poderia viabilizar economicamente rotas anteriormente abandonadas, melhorando a conectividade, promovendo o desenvolvimento regional e atraindo novos investimentos para as regiões; sublinha as perspetivas credíveis de hibridação, tendo em conta as restrições da aviação regional relacionadas com a autonomia e o número de passageiros;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6.</w:t>
      </w:r>
      <w:r w:rsidRPr="001D570B">
        <w:tab/>
        <w:t xml:space="preserve">Reitera a visão da Comissão de que as eVTOL, tal como consta da Estratégia Drone 2.0 da Comissão, deverão tornar-se um elemento essencial do transporte de passageiros até 2030, integrando os sistemas de transporte existentes e contribuindo para a </w:t>
      </w:r>
      <w:r w:rsidRPr="001D570B">
        <w:lastRenderedPageBreak/>
        <w:t>descarbonização da UE, minimizando ao mesmo tempo quaisquer impactos ambientais adversos</w:t>
      </w:r>
      <w:r w:rsidRPr="001D570B">
        <w:rPr>
          <w:rStyle w:val="FootnoteReference"/>
          <w:szCs w:val="24"/>
        </w:rPr>
        <w:footnoteReference w:id="15"/>
      </w:r>
      <w:r w:rsidRPr="001D570B">
        <w:t>; salienta que, apesar da rápida evolução tecnológica das eVTOL, estas ainda estão limitadas a seis lugares, ao passo que as aeronaves elétricas de asa fixa já conseguem transportar mais passageiros, tanto nas rotas aéreas urbanas existentes como nas novas; insta a Comissão a estabelecer uma distinção entre as duas possibilidades, uma vez que utilizam diferentes tecnologias e servem mercados diferentes; considera que tanto as eVTOL como as aeronaves elétricas de asa fixa devem ser vistas como formas complementares de uma nova mobilidade aérea urbana;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7.</w:t>
      </w:r>
      <w:r w:rsidRPr="001D570B">
        <w:tab/>
        <w:t>Salienta que as aeronaves com motores elétricos geram uma poluição operacional e sonora próxima de zero, o que significa uma redução das emissões locais que podem afetar negativamente a saúde dos cidadãos que vivem perto dos aeroportos; considera, por conseguinte, que, em especial, os aviões com baixos níveis de ruído devem beneficiar de procedimentos simplificados para obtenção de licenças que tenham em conta o ruído ou de derrogações às restrições de voo; salienta que a redução do ruído obtida através da aviação elétrica de baixa decibéis pode melhorar a situação de alguns aeroportos e zonas residenciais vizinhas;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8.</w:t>
      </w:r>
      <w:r w:rsidRPr="001D570B">
        <w:tab/>
        <w:t>Salienta a necessidade de tirar partido do potencial de ruído significativamente mais baixo das aeronaves elétricas e híbridas-elétricas; insta a indústria a fazer uso do trabalho da AESA na definição da primeira especificação técnica de proteção ambiental</w:t>
      </w:r>
      <w:r w:rsidRPr="001D570B">
        <w:rPr>
          <w:rStyle w:val="FootnoteReference"/>
          <w:szCs w:val="24"/>
        </w:rPr>
        <w:footnoteReference w:id="16"/>
      </w:r>
      <w:r w:rsidRPr="001D570B">
        <w:t>para a avaliação do ruído de determinadas aeronaves eVTOL, que visa proporcionar um nível elevado e uniforme de proteção ambiental aos cidadãos europeus e facilitar a sua integração no ecossistema da aviação e no ambiente urbano;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9.</w:t>
      </w:r>
      <w:r w:rsidRPr="001D570B">
        <w:tab/>
        <w:t>Está firmemente convicto de que os aviões elétricos e híbridos-elétricos proporcionarão um potencial significativo de redução das emissões de gases com efeito de estufa na aviação e novas possibilidades de mobilidade urbana; congratula-se com o trabalho realizado até à data pela AESA sobre as aeronaves eVTOL destinadas a ser utilizadas como táxis aéreos, sobre a conceção das infraestruturas terrestres necessárias para operações seguras de mobilidade aérea urbana</w:t>
      </w:r>
      <w:r w:rsidRPr="001D570B">
        <w:rPr>
          <w:rStyle w:val="FootnoteReference"/>
          <w:szCs w:val="24"/>
        </w:rPr>
        <w:footnoteReference w:id="17"/>
      </w:r>
      <w:r w:rsidRPr="001D570B">
        <w:t>e sobre a adaptação do quadro regulamentar da aviação, a fim de facilitar a entrada no mercado de aeronaves que utilizam propulsão elétrica e a hidrogénio; salienta o papel fundamental da AESA na certificação destes tipos de aeronaves, o que poderá acelerar o desenvolvimento das mesmas; apoia a comercialização de aeronaves respeitadoras do ambiente utilizando tecnologias de propulsão alternativas para complementar as medidas lançadas no âmbito das iniciativas relativas ao combustível de aviação sustentável; convida a Comissão a tomar medidas no futuro para garantir que os voos elétricos sirvam rotas regionais curtas para efeitos de obrigações de serviço público ao abrigo das regras da UE aplicáveis;</w:t>
      </w:r>
    </w:p>
    <w:p w:rsidR="00CE43FD" w:rsidRPr="001D570B" w:rsidRDefault="00CE43FD" w:rsidP="00CE43FD">
      <w:pPr>
        <w:pStyle w:val="NormalHanging12a"/>
        <w:rPr>
          <w:b/>
          <w:i/>
        </w:rPr>
      </w:pPr>
      <w:r w:rsidRPr="001D570B">
        <w:rPr>
          <w:b/>
          <w:i/>
        </w:rPr>
        <w:lastRenderedPageBreak/>
        <w:t>Investir no futuro</w:t>
      </w:r>
    </w:p>
    <w:p w:rsidR="00CE43FD" w:rsidRPr="001D570B" w:rsidRDefault="00CE43FD" w:rsidP="00CE43FD">
      <w:pPr>
        <w:pStyle w:val="NormalHanging12a"/>
      </w:pPr>
      <w:proofErr w:type="gramStart"/>
      <w:r w:rsidRPr="001D570B">
        <w:t>10.</w:t>
      </w:r>
      <w:r w:rsidRPr="001D570B">
        <w:tab/>
        <w:t>Considera</w:t>
      </w:r>
      <w:proofErr w:type="gramEnd"/>
      <w:r w:rsidRPr="001D570B">
        <w:t xml:space="preserve"> que, embora os voos de curta e média distância produzam uma fração das emissões, cada rota eletrificada representa uma redução da pegada climática e ambiental da aviação e é um investimento rentável; insiste em que a procura de sinergias entre os investimentos necessários deve começar imediatamente;</w:t>
      </w:r>
    </w:p>
    <w:p w:rsidR="00CE43FD" w:rsidRPr="001D570B" w:rsidRDefault="00CE43FD" w:rsidP="00CE43FD">
      <w:pPr>
        <w:pStyle w:val="NormalHanging12a"/>
      </w:pPr>
      <w:r w:rsidRPr="001D570B">
        <w:t>11.</w:t>
      </w:r>
      <w:r w:rsidRPr="001D570B">
        <w:tab/>
        <w:t>Considera que os objetivos de emissões baixas ou nulas também serão alcançados pela utilização de tecnologias híbridas elétricas desenvolvidas para voos regionais e internacionais de curto e médio curso, operados tanto para a aviação comercial como para a aviação de negócios, e insta a que sejam efetuados os investimentos necessários em termos de investigação e desenvolvimento para a conceção de aeronaves e sistemas de propulsão, baterias e outras soluções híbridas; observa que com a comercialização da aviação elétrica, os Estados-Membros devem ponderar a possibilidade de reverem a sua legislação que proíbe os voos de curto e médio curso;</w:t>
      </w:r>
    </w:p>
    <w:p w:rsidR="00CE43FD" w:rsidRPr="001D570B" w:rsidRDefault="00CE43FD" w:rsidP="00CE43FD">
      <w:pPr>
        <w:pStyle w:val="NormalHanging12a"/>
        <w:rPr>
          <w:szCs w:val="24"/>
        </w:rPr>
      </w:pPr>
      <w:proofErr w:type="gramStart"/>
      <w:r w:rsidRPr="001D570B">
        <w:t>12.</w:t>
      </w:r>
      <w:r w:rsidRPr="001D570B">
        <w:tab/>
        <w:t>Assinala</w:t>
      </w:r>
      <w:proofErr w:type="gramEnd"/>
      <w:r w:rsidRPr="001D570B">
        <w:t xml:space="preserve"> que as substanciais necessidades decorrentes da substituição da frota da aviação civil representam um desafio e requerem investimentos financeiros avultados, constituindo simultaneamente uma enorme oportunidade de mercado suscetível de conduzir à criação de novos empregos e competências em todo o setor dos transportes na Europa;</w:t>
      </w:r>
    </w:p>
    <w:p w:rsidR="00CE43FD" w:rsidRPr="001D570B" w:rsidRDefault="00CE43FD" w:rsidP="00CE43FD">
      <w:pPr>
        <w:pStyle w:val="NormalHanging12a"/>
        <w:rPr>
          <w:szCs w:val="24"/>
        </w:rPr>
      </w:pPr>
      <w:proofErr w:type="gramStart"/>
      <w:r w:rsidRPr="001D570B">
        <w:t>13.</w:t>
      </w:r>
      <w:r w:rsidRPr="001D570B">
        <w:tab/>
        <w:t>Reitera</w:t>
      </w:r>
      <w:proofErr w:type="gramEnd"/>
      <w:r w:rsidRPr="001D570B">
        <w:t xml:space="preserve"> que o desenvolvimento da aviação elétrica para utilização comercial requer um apoio financeiro e regulamentar eficaz, tanto a nível nacional como da UE; salienta os resultados muito positivos alcançados com a ajuda dos contratos públicos e considera-os um instrumento eficaz para eletrificar o setor sem perturbar o mercado;</w:t>
      </w:r>
    </w:p>
    <w:p w:rsidR="00CE43FD" w:rsidRPr="001D570B" w:rsidRDefault="00CE43FD" w:rsidP="00CE43FD">
      <w:pPr>
        <w:pStyle w:val="NormalHanging12a"/>
        <w:rPr>
          <w:szCs w:val="24"/>
        </w:rPr>
      </w:pPr>
      <w:proofErr w:type="gramStart"/>
      <w:r w:rsidRPr="001D570B">
        <w:t>14.</w:t>
      </w:r>
      <w:r w:rsidRPr="001D570B">
        <w:tab/>
        <w:t>Convida</w:t>
      </w:r>
      <w:proofErr w:type="gramEnd"/>
      <w:r w:rsidRPr="001D570B">
        <w:t xml:space="preserve"> os Estados-Membros a explorarem incentivos e benefícios de mercado para os fabricantes e operadores de aeronaves elétricas, assim como para as PME envolvidas, a fim de promover o desenvolvimento e a adoção desta tecnologia respeitadora do ambiente, considera que estes incentivos e benefícios para as componentes da aviação elétrica, a eletricidade e os créditos de emissões podem impulsionar o crescimento do mercado;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15.</w:t>
      </w:r>
      <w:r w:rsidRPr="001D570B">
        <w:tab/>
        <w:t>Observa que na Europa são operados muitos voos de curto e médio curso; insta a Comissão, em cooperação com a Eurocontrol e a AESA, a identificar as rotas de voo mais adequadas para a eletrificação total e que resultariam em reduções mais significativas das emissões de CO</w:t>
      </w:r>
      <w:r w:rsidRPr="001D570B">
        <w:rPr>
          <w:vertAlign w:val="subscript"/>
        </w:rPr>
        <w:t>2</w:t>
      </w:r>
      <w:r w:rsidRPr="001D570B">
        <w:t>, uma vez que tal ajudará os aeroportos em causa a iniciar as adaptações necessárias; frisa que o hidrogénio pode desempenhar um papel significativo na redução das emissões; salienta que as empresas estão a colocar as suas esperanças em aeronaves elétricas para soluções de menor escala e em aeronaves a hidrogénio para as soluções de maior escala;</w:t>
      </w:r>
    </w:p>
    <w:p w:rsidR="00CE43FD" w:rsidRPr="001D570B" w:rsidRDefault="00CE43FD" w:rsidP="00CE43FD">
      <w:pPr>
        <w:pStyle w:val="NormalHanging12a"/>
        <w:rPr>
          <w:szCs w:val="24"/>
        </w:rPr>
      </w:pPr>
      <w:proofErr w:type="gramStart"/>
      <w:r w:rsidRPr="001D570B">
        <w:t>16.</w:t>
      </w:r>
      <w:r w:rsidRPr="001D570B">
        <w:tab/>
        <w:t>Considera</w:t>
      </w:r>
      <w:proofErr w:type="gramEnd"/>
      <w:r w:rsidRPr="001D570B">
        <w:t xml:space="preserve"> que é necessário examinar a possibilidade de alterar as atuais regras da UE em matéria de auxílios estatais, com vista a permitir a criação de um quadro de investimento específico, baseado no financiamento público e privado, para apoiar o setor das eVTOL, um setor emergente e com utilização intensiva de recursos, a fim de reforçar a autonomia estratégica da Europa neste domínio, uma vez que as eVTOL deverão tornar-se uma parte estratégica do setor dos transportes;</w:t>
      </w:r>
    </w:p>
    <w:p w:rsidR="00CE43FD" w:rsidRPr="001D570B" w:rsidRDefault="00CE43FD" w:rsidP="00CE43FD">
      <w:pPr>
        <w:pStyle w:val="NormalHanging12a"/>
        <w:rPr>
          <w:szCs w:val="24"/>
        </w:rPr>
      </w:pPr>
      <w:proofErr w:type="gramStart"/>
      <w:r w:rsidRPr="001D570B">
        <w:t>17.</w:t>
      </w:r>
      <w:r w:rsidRPr="001D570B">
        <w:tab/>
        <w:t>Considera</w:t>
      </w:r>
      <w:proofErr w:type="gramEnd"/>
      <w:r w:rsidRPr="001D570B">
        <w:t xml:space="preserve"> que as empresas da UE ativas no domínio da eletrificação da aviação devem </w:t>
      </w:r>
      <w:r w:rsidRPr="001D570B">
        <w:lastRenderedPageBreak/>
        <w:t>trabalhar em mais estreita cooperação com as autoridades nacionais e da UE para desenvolver um roteiro técnico integrado e programas de investigação conjuntos; congratula-se com o trabalho realizado no âmbito da AZEA; salienta que esta cooperação é essencial para a UE manter a liderança e competitividade da sua indústria no quadro internacional;</w:t>
      </w:r>
    </w:p>
    <w:p w:rsidR="00CE43FD" w:rsidRPr="001D570B" w:rsidRDefault="00CE43FD" w:rsidP="00CE43FD">
      <w:pPr>
        <w:pStyle w:val="NormalHanging12a"/>
        <w:rPr>
          <w:szCs w:val="24"/>
        </w:rPr>
      </w:pPr>
      <w:proofErr w:type="gramStart"/>
      <w:r w:rsidRPr="001D570B">
        <w:t>18.</w:t>
      </w:r>
      <w:r w:rsidRPr="001D570B">
        <w:tab/>
        <w:t>Regista</w:t>
      </w:r>
      <w:proofErr w:type="gramEnd"/>
      <w:r w:rsidRPr="001D570B">
        <w:t xml:space="preserve"> que as aeronaves elétricas de menor envergadura podem operar a partir de pistas mais curtas e mais simples já existentes, o que poderá reduzir a necessidade de infraestruturas dispendiosas e de grandes dimensões no futuro;</w:t>
      </w:r>
    </w:p>
    <w:p w:rsidR="00CE43FD" w:rsidRPr="001D570B" w:rsidRDefault="00CE43FD" w:rsidP="00CE43FD">
      <w:pPr>
        <w:pStyle w:val="NormalHanging12a"/>
      </w:pPr>
      <w:r w:rsidRPr="001D570B">
        <w:t>19.</w:t>
      </w:r>
      <w:r w:rsidRPr="001D570B">
        <w:tab/>
        <w:t>Salienta que o planeamento e a preparação das infraestruturas energéticas são um elemento fundamental para determinar a aceitação da aviação elétrica e baseada no hidrogénio, uma vez que só depois de as infraestruturas terem sido preparadas e testadas será possível a utilização da aviação elétrica; observa que, após a transição para sistemas de propulsão alternativos, os grandes aeroportos existentes poderiam consumir 5 a 10 vezes mais eletricidade até 2050 do que atualmente</w:t>
      </w:r>
      <w:r w:rsidRPr="001D570B">
        <w:rPr>
          <w:rStyle w:val="FootnoteReference"/>
        </w:rPr>
        <w:footnoteReference w:id="18"/>
      </w:r>
      <w:r w:rsidRPr="001D570B">
        <w:t>, e observa que as infraestruturas para aeronaves elétricas e a eletrificação de locais como os aeroportos ainda não foram suficientemente desenvolvidas; assinala que, para satisfazer a procura prevista de energia, os primeiros elementos da infraestrutura aeroportuária devem ficar operacionais até 2025 e solicita que sejam assegurados os investimentos necessários; salienta, além disso, a este respeito, que, para assegurar uma implantação adequada das aeronaves elétricas, a Comissão e os Estados-Membros devem aplicar corretamente o regulamento relativo à criação de uma infraestrutura para combustíveis alternativos (AFIR)</w:t>
      </w:r>
      <w:r w:rsidRPr="001D570B">
        <w:rPr>
          <w:rStyle w:val="FootnoteReference"/>
        </w:rPr>
        <w:footnoteReference w:id="19"/>
      </w:r>
      <w:r w:rsidRPr="001D570B">
        <w:t xml:space="preserve"> tendo em vista uma maior promoção da eletrificação das instalações; realça a utilidade de projetos específicos de financiamento de infraestruturas a este respeito, como o Mecanismo Interligar a Europa para os transportes e a energia; recorda, a este respeito, que, nos termos do AFIR, a Comissão deve avaliar, no final de 2026 e a cada 5 anos, o estado atual e o desenvolvimento futuro do mercado da aviação a propulsão elétrica e a hidrogénio; insta a Comissão e os Estados-Membros a assegurarem que tal avaliação é realizada, incluindo mediante um estudo de viabilidade sobre a implantação das infraestruturas pertinentes para o abastecimento das aeronaves, seguido de um plano de implantação de infraestruturas para combustíveis alternativos nos aeroportos, em particular para os pontos de carregamento elétrico e de abastecimento de hidrogénio; incentiva as indústrias, a nível mundial, a chegarem a acordo, o mais rapidamente possível, sobre normas mundiais para as estações de carregamento em terra para aeronaves estacionadas;</w:t>
      </w:r>
    </w:p>
    <w:p w:rsidR="00CE43FD" w:rsidRPr="001D570B" w:rsidRDefault="00CE43FD" w:rsidP="00CE43FD">
      <w:pPr>
        <w:pStyle w:val="NormalHanging12a"/>
        <w:rPr>
          <w:b/>
          <w:i/>
        </w:rPr>
      </w:pPr>
      <w:r w:rsidRPr="001D570B">
        <w:rPr>
          <w:b/>
          <w:i/>
        </w:rPr>
        <w:t>Desafios e soluções tecnológicas</w:t>
      </w:r>
    </w:p>
    <w:p w:rsidR="00CE43FD" w:rsidRPr="001D570B" w:rsidRDefault="00CE43FD" w:rsidP="00CE43FD">
      <w:pPr>
        <w:pStyle w:val="NormalHanging12a"/>
      </w:pPr>
      <w:r w:rsidRPr="001D570B">
        <w:t>20.</w:t>
      </w:r>
      <w:r w:rsidRPr="001D570B">
        <w:tab/>
        <w:t>Tendo em conta que as tendências tecnológicas nos vários setores dos transportes estão a evoluir na mesma direção, acolhe favoravelmente as parcerias intersectoriais de investigação e desenvolvimento existentes</w:t>
      </w:r>
      <w:r w:rsidRPr="001D570B">
        <w:rPr>
          <w:rStyle w:val="FootnoteReference"/>
        </w:rPr>
        <w:footnoteReference w:id="20"/>
      </w:r>
      <w:r w:rsidRPr="001D570B">
        <w:t xml:space="preserve"> entre as indústrias aeronáutica e automóvel </w:t>
      </w:r>
      <w:r w:rsidRPr="001D570B">
        <w:lastRenderedPageBreak/>
        <w:t xml:space="preserve">(no que respeita ao desenvolvimento da próxima geração de baterias e pilhas de combustível), o transporte aéreo e marítimo (no que respeita à utilização de combustíveis alternativos) e o transporte aéreo e ferroviário (no que respeita aos sistemas de distribuição elétrica); </w:t>
      </w:r>
    </w:p>
    <w:p w:rsidR="00CE43FD" w:rsidRPr="001D570B" w:rsidRDefault="00CE43FD" w:rsidP="00CE43FD">
      <w:pPr>
        <w:pStyle w:val="NormalHanging12a"/>
      </w:pPr>
      <w:proofErr w:type="gramStart"/>
      <w:r w:rsidRPr="001D570B">
        <w:t>21.</w:t>
      </w:r>
      <w:r w:rsidRPr="001D570B">
        <w:tab/>
        <w:t>Realça</w:t>
      </w:r>
      <w:proofErr w:type="gramEnd"/>
      <w:r w:rsidRPr="001D570B">
        <w:t xml:space="preserve"> que, embora os aviões elétricos e híbridos elétricos constituam uma enorme promessa de um futuro mais sustentável na aviação, a atual geração de baterias apresenta desafios significativos, principalmente relacionados com o peso e a densidade energética; observa que estas limitações afetam a autonomia, a capacidade de carga útil e a eficiência global das aeronaves elétricas;</w:t>
      </w:r>
    </w:p>
    <w:p w:rsidR="00CE43FD" w:rsidRPr="001D570B" w:rsidRDefault="00CE43FD" w:rsidP="00CE43FD">
      <w:pPr>
        <w:pStyle w:val="NormalHanging12a"/>
      </w:pPr>
      <w:r w:rsidRPr="001D570B">
        <w:t>22.</w:t>
      </w:r>
      <w:r w:rsidRPr="001D570B">
        <w:tab/>
        <w:t xml:space="preserve">Recorda que as operações de aeronaves elétricas estão sujeitas a requisitos rigorosos em matéria de baterias, que dão prioridade à segurança, mas também exigem que estas sejam leves, compactas, rapidamente recarregáveis e que forneçam a elevada potência necessária para os segmentos de descolagem e ascensão; sublinha que tais baterias de elevado desempenho exigem matérias-primas essenciais, muitas vezes não disponíveis na Europa; exorta a indústria da aviação a participar nos esforços das indústrias para fornecer a cadeia de abastecimento de matérias-primas essenciais; </w:t>
      </w:r>
    </w:p>
    <w:p w:rsidR="00CE43FD" w:rsidRPr="001D570B" w:rsidRDefault="00CE43FD" w:rsidP="00CE43FD">
      <w:pPr>
        <w:pStyle w:val="NormalHanging12a"/>
      </w:pPr>
      <w:proofErr w:type="gramStart"/>
      <w:r w:rsidRPr="001D570B">
        <w:t>23.</w:t>
      </w:r>
      <w:r w:rsidRPr="001D570B">
        <w:tab/>
        <w:t>Recorda</w:t>
      </w:r>
      <w:proofErr w:type="gramEnd"/>
      <w:r w:rsidRPr="001D570B">
        <w:t xml:space="preserve"> que as condições de altitude, específicas ao transporte aéreo, impõem restrições técnicas específicas às baterias, em comparação com o que sucede com outros meios de transporte;</w:t>
      </w:r>
    </w:p>
    <w:p w:rsidR="00CE43FD" w:rsidRPr="001D570B" w:rsidRDefault="00CE43FD" w:rsidP="00CE43FD">
      <w:pPr>
        <w:pStyle w:val="NormalHanging12a"/>
      </w:pPr>
      <w:r w:rsidRPr="001D570B">
        <w:t>24.</w:t>
      </w:r>
      <w:r w:rsidRPr="001D570B">
        <w:tab/>
        <w:t>Destaca o potencial da aviação a hidrogénio baseada em pilhas de combustível, que é uma forma alternativa de aviação elétrica, nomeadamente em termos de autonomia; salienta que as contínuas melhorias nas tecnologias das baterias e das pilhas de combustíveis, aliadas à projeção de aeronaves energeticamente mais eficientes, são suscetíveis de permitir um melhor desempenho ambiental; reitera que entre alguns dos maiores desafios tecnológicos enfrentados atualmente pelo setor figuram o peso e a dimensão das baterias, a potência máxima de saída das pilhas de combustível, os sistemas de distribuição elétrica e térmica, a integração das fuselagens e a melhoria da aerodinâmica;</w:t>
      </w:r>
    </w:p>
    <w:p w:rsidR="00CE43FD" w:rsidRPr="001D570B" w:rsidRDefault="00CE43FD" w:rsidP="00CE43FD">
      <w:pPr>
        <w:pStyle w:val="NormalHanging12a"/>
      </w:pPr>
      <w:proofErr w:type="gramStart"/>
      <w:r w:rsidRPr="001D570B">
        <w:t>25.</w:t>
      </w:r>
      <w:r w:rsidRPr="001D570B">
        <w:tab/>
        <w:t>Salienta</w:t>
      </w:r>
      <w:proofErr w:type="gramEnd"/>
      <w:r w:rsidRPr="001D570B">
        <w:t xml:space="preserve"> que uma maior utilização de baterias na aeronáutica exigirá a criação imediata de uma indústria de reciclagem da UE compatível com as necessidades do setor, a fim de evitar a criação de novas dependências em relação a países terceiros;</w:t>
      </w:r>
    </w:p>
    <w:p w:rsidR="00CE43FD" w:rsidRPr="001D570B" w:rsidRDefault="00CE43FD" w:rsidP="00CE43FD">
      <w:pPr>
        <w:pStyle w:val="NormalHanging12a"/>
        <w:rPr>
          <w:b/>
          <w:i/>
          <w:szCs w:val="24"/>
        </w:rPr>
      </w:pPr>
      <w:r w:rsidRPr="001D570B">
        <w:rPr>
          <w:b/>
          <w:i/>
        </w:rPr>
        <w:t>Ação no quadro da UE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26.</w:t>
      </w:r>
      <w:r w:rsidRPr="001D570B">
        <w:tab/>
        <w:t>Recorda que a indústria aeronáutica é não só um importante facilitador da atividade económica mas também um dos setores de alta tecnologia mais bem-sucedidos da UE; solicita à Comissão que adote políticas proactivas para apoiar e desenvolver a indústria, em estreita cooperação com os fóruns existentes, como o Conselho Consultivo da Investigação em Aeronáutica na Europa (ACARE) e a AZEA; exorta a Comissão a assegurar-se de que os regulamentos da UE em vigor neste domínio não se anulam mutuamente nem impedem a indústria aeronáutica de desenvolver os seus projetos de descarbonização e eletrificação;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27.</w:t>
      </w:r>
      <w:r w:rsidRPr="001D570B">
        <w:tab/>
        <w:t xml:space="preserve">Considera que é necessário um maior alinhamento entre o ecossistema aeroespacial e de defesa e o ecossistema energético para reforçar a aviação elétrica; observa que a Comissão está a trabalhar em vias de transição separadas para ambos os ecossistemas; </w:t>
      </w:r>
      <w:r w:rsidRPr="001D570B">
        <w:lastRenderedPageBreak/>
        <w:t>reconhece a importância primordial das trajetórias de transição para que a indústria possa traduzir eficazmente as aspirações climáticas em ações climáticas tangíveis, preservando e criando valor para a nossa sociedade, o nosso planeta e as nossas empresas; manifesta a sua preocupação, não obstante, com as diferentes trajetórias de transição dos dois ecossistemas, em particular à luz do imperativo comum de estabelecer redes de eletricidade estáveis e assegurar a acessibilidade dos preços da eletricidade limpa, nomeadamente para a eletrificação das aeronaves; sublinha, tendo em conta o que precede, a importância de uma estratégia comum para as aeronaves elétricas e insta a Comissão a tomar medidas proactivas para formular essa estratégia; insta, além disso, a Comissão a iniciar um diálogo estrutural conjunto entre a Direção-Geral da Mobilidade e dos Transportes e a Direção-Geral da Energia, a este respeito, e a concluir o processo antes das eleições europeias de 2024, para que possa ser utilizado como referência para futuros regulamentos pela nova Comissão que entrará em funções em 2024;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28.</w:t>
      </w:r>
      <w:r w:rsidRPr="001D570B">
        <w:tab/>
        <w:t>Recorda que a AZEA foi criada por iniciativa da Comissão para reunir todos os parceiros públicos e privados em todo o ecossistema da aviação, a fim de preparar a entrada em serviço comercial de aeronaves a hidrogénio e elétricas; exorta a Comissão a cooperar e a apoiar a AZEA no desenvolvimento de conhecimentos sobre a aviação elétrica; observa que as academias do Regulamento Indústria de Impacto Zero podem ser utilizadas a este respeito e insta a Comissão e os Estados-Membros a promovê-las;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29.</w:t>
      </w:r>
      <w:r w:rsidRPr="001D570B">
        <w:tab/>
        <w:t>Sublinha a atual escassez de competências em matéria de engenharia elétrica e de engenharia de sistemas; recorda que o Concurso da UE para Jovens Cientistas pode ser utilizado como ponto de referência para o desenvolvimento de um concurso temático da UE para jovens talentos para todos os ecossistemas industriais, incluindo para a aviação elétrica; insta a Comissão e os Estados-Membros a aumentarem a sensibilização para as oportunidades nas carreiras ecológicas no setor da aviação e a incentivarem projetos nacionais e da UE a este respeito;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30.</w:t>
      </w:r>
      <w:r w:rsidRPr="001D570B">
        <w:tab/>
        <w:t>Congratula-se com a intenção da Comissão de criar serviços coordenados de convites à apresentação de propostas, no âmbito dos instrumentos da UE existentes e dos empréstimos do Banco Europeu de Investimento (BEI), para apoiar o novo projeto emblemático sobre tecnologias de drones; insta o BEI a introduzir e a utilizar instrumentos de financiamento específicos destinados a reforçar o sector emergente da aviação elétrica europeia e a apoiar as suas necessidades, reconhecendo a sua natureza de capital intensivo e os seus requisitos únicos, e reconhecendo que a implantação de eVTOL exigirá também investimentos em infraestruturas terrestres, incluindo vertiportos e infraestruturas de carregamento;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31.</w:t>
      </w:r>
      <w:r w:rsidRPr="001D570B">
        <w:tab/>
        <w:t xml:space="preserve">Manifesta a sua preocupação pelo facto de o orçamento previsto para a CAJU no âmbito do programa Horizonte Europa estar muito aquém da escala das suas ambições; recorda que o nível de inovação associado a cada projeto é muito elevado e que o apoio deve ser proporcional e contínuo no âmbito do novo quadro financeiro plurianual (QFP) a partir de 2027; considera que a CAJU deve também ser incentivada a ocupar-se da aviação elétrica e a dar prioridade ao financiamento de projetos inovadores no domínio da aviação sem emissões, como aeronaves movidas a eletricidade e a hidrogénio; salienta que é necessário um novo financiamento para passar além do Nível de Maturidade Tecnológica 6, com o objetivo de introduzir as tecnologias no mercado; congratula-se com o recente anúncio do estatuto de país associado ao programa Horizonte Europa conferido ao Reino Unido, o que impulsionará os nossos esforços comuns rumo a uma </w:t>
      </w:r>
      <w:r w:rsidRPr="001D570B">
        <w:lastRenderedPageBreak/>
        <w:t>aviação limpa;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32.</w:t>
      </w:r>
      <w:r w:rsidRPr="001D570B">
        <w:tab/>
        <w:t>Lamenta que, apesar dos esforços e compromissos substanciais exigidos ao setor da aviação na sua prossecução da descarbonização, não exista um fundo específico da UE para a aviação criado explicitamente para apoiar a aviação; insta a Comissão a lançar convites específicos para financiar projetos de apoio à eletrificação e ações destinadas a reduzir os impactos globais da aviação; recorda, no entanto, que o Fundo de Inovação no âmbito do Sistema de Comércio de Licenças de Emissão e a utilização de contrato por diferenças para o carbono são instrumentos importantes para a implementação e a introdução à escala industrial das tecnologias que poderiam abrir caminho à aviação elétrica e a hidrogénio; recorda a Diretiva (UE) 2023/959</w:t>
      </w:r>
      <w:r w:rsidRPr="001D570B">
        <w:rPr>
          <w:rStyle w:val="FootnoteReference"/>
          <w:szCs w:val="24"/>
        </w:rPr>
        <w:footnoteReference w:id="21"/>
      </w:r>
      <w:r w:rsidRPr="001D570B">
        <w:t>, que alterou a Diretiva 2003/87/CE e alargou o leque de projetos elegíveis para financiamento ao abrigo do Fundo de Inovação, de modo a abranger um leque mais vasto de produtos, processos e tecnologias com emissões nulas de carbono;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33.</w:t>
      </w:r>
      <w:r w:rsidRPr="001D570B">
        <w:tab/>
        <w:t>Salienta a necessidade de melhorar a gestão térmica das baterias e a gestão do carregamento e da substituição das baterias, bem como de acelerar o desenvolvimento do setor da reciclagem de baterias; exorta a Comissão a investir na investigação e desenvolvimento de baterias em estado sólido da próxima geração, que fornecem duas vezes mais energia do que as baterias de iões de lítio e têm um potencial de armazenamento cerca de três vezes superior; insta, por conseguinte, a Comissão a incentivar, através de instrumentos como o Regulamento Indústria de Impacto Zero e a Aliança Europeia para as Baterias, a diminuição das dependências na cadeia de abastecimento de baterias e a garantia de um aprovisionamento suficiente de matérias-primas críticas, reduzindo assim as nossas dependências externas no que respeita às baterias; incentiva a Comissão e os Estados-Membros a continuarem a desenvolver, em paralelo, parcerias estratégicas no domínio das matérias-primas para a aeronáutica com países terceiros que partilhem as mesmas ideias;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34.</w:t>
      </w:r>
      <w:r w:rsidRPr="001D570B">
        <w:tab/>
        <w:t>Insta a Comissão a assegurar a coerência entre o desenvolvimento do transporte elétrico e da mobilidade, as infraestruturas necessárias e a política da UE destinada a aumentar a capacidade europeia de produção de baterias, incluindo o fornecimento das matérias-primas e dos materiais avançados necessários para a produção de baterias; solicita, por conseguinte, à Comissão que reveja o Plano de Ação Estratégico para as Baterias, que associa os aspetos acima referidos e inclui especificamente a introdução de objetivos quantificados e calendarizados para a produção de baterias na UE; exorta os Estados-Membros e a Comissão, atendendo ao exposto, em cooperação com a indústria, a identificarem potenciais sinergias com o setor dos transportes rodoviários, a fim de maximizar o investimento público e privado, especialmente na produção e reciclagem de baterias e pilhas de combustível;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35.</w:t>
      </w:r>
      <w:r w:rsidRPr="001D570B">
        <w:tab/>
        <w:t xml:space="preserve">Insta a Comissão a criar um quadro político que apoie a adoção de tecnologias de aeronaves elétricas, tais como a canalização para a CAJU de uma parte das receitas provenientes do sistema de comércio de licenças de emissão da aviação ou de qualquer </w:t>
      </w:r>
      <w:r w:rsidRPr="001D570B">
        <w:lastRenderedPageBreak/>
        <w:t>tributação sobre a aviação, em conformidade com a proposta de Diretiva Tributação da Energia</w:t>
      </w:r>
      <w:r w:rsidRPr="001D570B">
        <w:rPr>
          <w:rStyle w:val="FootnoteReference"/>
          <w:szCs w:val="24"/>
        </w:rPr>
        <w:footnoteReference w:id="22"/>
      </w:r>
      <w:r w:rsidRPr="001D570B">
        <w:t>;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36.</w:t>
      </w:r>
      <w:r w:rsidRPr="001D570B">
        <w:tab/>
        <w:t>Exorta a Comissão a criar uma estratégia para assegurar que as infraestruturas necessárias para a aviação elétrica, incluindo a produção de energia, a ligação à rede e as infraestruturas de carregamento, sejam implantadas de forma proporcional à adoção da aviação elétrica; recorda que a escassez de hidrogénio verde e a inexistência de infraestruturas podem atrasar a entrada em funcionamento de aeronaves a hidrogénio; insta a Comissão a desenvolver uma estratégia específica para a produção e o armazenamento de hidrogénio;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37.</w:t>
      </w:r>
      <w:r w:rsidRPr="001D570B">
        <w:tab/>
        <w:t>Insta a AESA a continuar a trabalhar no sentido de estabelecer normas de certificação e vias para tornar os aviões elétricos e híbridos-elétricos viáveis e capazes de encurtar significativamente o tempo de colocação no mercado desses aviões; exorta a Comissão a disponibilizar os recursos necessários, nomeadamente em termos de pessoal, a este respeito;</w:t>
      </w:r>
    </w:p>
    <w:p w:rsidR="00CE43FD" w:rsidRPr="001D570B" w:rsidRDefault="00CE43FD" w:rsidP="00CE43FD">
      <w:pPr>
        <w:pStyle w:val="NormalHanging12a"/>
        <w:rPr>
          <w:szCs w:val="24"/>
        </w:rPr>
      </w:pPr>
      <w:r w:rsidRPr="001D570B">
        <w:t>38.</w:t>
      </w:r>
      <w:r w:rsidRPr="001D570B">
        <w:tab/>
        <w:t>Exorta a Comissão a apresentar uma estratégia europeia para uma abordagem coordenada do desenvolvimento, certificação e implantação da nova geração de aeronaves, incluindo as aeronaves eVTOL, a fim de aumentar a sensibilização dos cidadãos europeus para os seus benefícios e impulsionar o investimento privado e público, mas mantendo simultaneamente a base tecnológica e a liderança na Europa; considera que a aviação elétrica é promissora no que respeita a um futuro mais sustentável para as viagens aéreas e que é fundamental uma campanha de informação específica para sensibilizar o público para os seus potenciais benefícios e impacto;</w:t>
      </w:r>
    </w:p>
    <w:p w:rsidR="00CE43FD" w:rsidRPr="001D570B" w:rsidRDefault="00CE43FD" w:rsidP="00CE43FD">
      <w:pPr>
        <w:pStyle w:val="NormalHanging12a"/>
        <w:jc w:val="center"/>
        <w:rPr>
          <w:szCs w:val="24"/>
        </w:rPr>
      </w:pPr>
      <w:r w:rsidRPr="001D570B">
        <w:t>°</w:t>
      </w:r>
    </w:p>
    <w:p w:rsidR="00CE43FD" w:rsidRPr="001D570B" w:rsidRDefault="00CE43FD" w:rsidP="00CE43FD">
      <w:pPr>
        <w:pStyle w:val="NormalHanging12a"/>
        <w:jc w:val="center"/>
        <w:rPr>
          <w:szCs w:val="24"/>
        </w:rPr>
      </w:pPr>
      <w:r w:rsidRPr="001D570B">
        <w:t>°</w:t>
      </w:r>
      <w:r w:rsidRPr="001D570B">
        <w:tab/>
        <w:t>°</w:t>
      </w:r>
    </w:p>
    <w:p w:rsidR="00CE43FD" w:rsidRPr="001D570B" w:rsidRDefault="00CE43FD" w:rsidP="00CE43FD">
      <w:pPr>
        <w:pStyle w:val="NormalHanging12a"/>
      </w:pPr>
      <w:proofErr w:type="gramStart"/>
      <w:r w:rsidRPr="001D570B">
        <w:t>39.</w:t>
      </w:r>
      <w:r w:rsidRPr="001D570B">
        <w:tab/>
        <w:t>Encarrega</w:t>
      </w:r>
      <w:proofErr w:type="gramEnd"/>
      <w:r w:rsidRPr="001D570B">
        <w:t xml:space="preserve"> a sua Presidente de transmitir a presente resolução ao Conselho e à Comissão.</w:t>
      </w:r>
    </w:p>
    <w:p w:rsidR="00E365E1" w:rsidRPr="001D570B" w:rsidRDefault="00E365E1" w:rsidP="009646E8">
      <w:bookmarkStart w:id="9" w:name="TextBodyEnd"/>
      <w:bookmarkEnd w:id="9"/>
    </w:p>
    <w:sectPr w:rsidR="00E365E1" w:rsidRPr="001D570B" w:rsidSect="00993E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6E8" w:rsidRPr="00993ED2" w:rsidRDefault="009646E8">
      <w:r w:rsidRPr="00993ED2">
        <w:separator/>
      </w:r>
    </w:p>
  </w:endnote>
  <w:endnote w:type="continuationSeparator" w:id="0">
    <w:p w:rsidR="009646E8" w:rsidRPr="00993ED2" w:rsidRDefault="009646E8">
      <w:r w:rsidRPr="00993ED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3ED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3ED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3ED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6E8" w:rsidRPr="00993ED2" w:rsidRDefault="009646E8">
      <w:r w:rsidRPr="00993ED2">
        <w:separator/>
      </w:r>
    </w:p>
  </w:footnote>
  <w:footnote w:type="continuationSeparator" w:id="0">
    <w:p w:rsidR="009646E8" w:rsidRPr="00993ED2" w:rsidRDefault="009646E8">
      <w:r w:rsidRPr="00993ED2">
        <w:continuationSeparator/>
      </w:r>
    </w:p>
  </w:footnote>
  <w:footnote w:id="1">
    <w:p w:rsidR="00CE43FD" w:rsidRPr="001D570B" w:rsidRDefault="00CE43FD" w:rsidP="00993ED2">
      <w:pPr>
        <w:pStyle w:val="FootnoteText"/>
        <w:ind w:left="567" w:hanging="567"/>
        <w:rPr>
          <w:sz w:val="24"/>
          <w:lang w:val="da-DK"/>
        </w:rPr>
      </w:pPr>
      <w:r w:rsidRPr="00993ED2">
        <w:rPr>
          <w:rStyle w:val="FootnoteReference"/>
          <w:sz w:val="24"/>
          <w:lang w:val="pt-PT"/>
        </w:rPr>
        <w:footnoteRef/>
      </w:r>
      <w:r w:rsidR="00993ED2" w:rsidRPr="001D570B">
        <w:rPr>
          <w:sz w:val="24"/>
          <w:lang w:val="da-DK"/>
        </w:rPr>
        <w:t xml:space="preserve"> </w:t>
      </w:r>
      <w:r w:rsidR="00993ED2" w:rsidRPr="001D570B">
        <w:rPr>
          <w:sz w:val="24"/>
          <w:lang w:val="da-DK"/>
        </w:rPr>
        <w:tab/>
      </w:r>
      <w:r w:rsidRPr="001D570B">
        <w:rPr>
          <w:sz w:val="24"/>
          <w:lang w:val="da-DK"/>
        </w:rPr>
        <w:t>JO L 243 de 9.7.2021, p. 1.</w:t>
      </w:r>
    </w:p>
  </w:footnote>
  <w:footnote w:id="2">
    <w:p w:rsidR="00CE43FD" w:rsidRPr="001D570B" w:rsidRDefault="00CE43FD" w:rsidP="00993ED2">
      <w:pPr>
        <w:pStyle w:val="FootnoteText"/>
        <w:ind w:left="567" w:hanging="567"/>
        <w:rPr>
          <w:bCs/>
          <w:sz w:val="24"/>
          <w:lang w:val="da-DK"/>
        </w:rPr>
      </w:pPr>
      <w:r w:rsidRPr="00993ED2">
        <w:rPr>
          <w:rStyle w:val="FootnoteReference"/>
          <w:sz w:val="24"/>
          <w:lang w:val="pt-PT"/>
        </w:rPr>
        <w:footnoteRef/>
      </w:r>
      <w:r w:rsidR="00993ED2" w:rsidRPr="001D570B">
        <w:rPr>
          <w:sz w:val="24"/>
          <w:lang w:val="da-DK"/>
        </w:rPr>
        <w:t xml:space="preserve"> </w:t>
      </w:r>
      <w:r w:rsidR="00993ED2" w:rsidRPr="001D570B">
        <w:rPr>
          <w:sz w:val="24"/>
          <w:lang w:val="da-DK"/>
        </w:rPr>
        <w:tab/>
      </w:r>
      <w:r w:rsidRPr="001D570B">
        <w:rPr>
          <w:sz w:val="24"/>
          <w:lang w:val="da-DK"/>
        </w:rPr>
        <w:t>JO L 173 de 12.6.2014, p. 65.</w:t>
      </w:r>
    </w:p>
  </w:footnote>
  <w:footnote w:id="3">
    <w:p w:rsidR="00CE43FD" w:rsidRPr="00993ED2" w:rsidRDefault="00CE43FD" w:rsidP="00993ED2">
      <w:pPr>
        <w:pStyle w:val="FootnoteText"/>
        <w:ind w:left="567" w:hanging="567"/>
        <w:rPr>
          <w:sz w:val="24"/>
          <w:lang w:val="pt-PT"/>
        </w:rPr>
      </w:pPr>
      <w:r w:rsidRPr="00993ED2">
        <w:rPr>
          <w:rStyle w:val="FootnoteReference"/>
          <w:sz w:val="24"/>
          <w:lang w:val="pt-PT"/>
        </w:rPr>
        <w:footnoteRef/>
      </w:r>
      <w:r w:rsidR="00993ED2" w:rsidRPr="00993ED2">
        <w:rPr>
          <w:sz w:val="24"/>
          <w:lang w:val="pt-PT"/>
        </w:rPr>
        <w:t xml:space="preserve"> </w:t>
      </w:r>
      <w:r w:rsidR="00993ED2" w:rsidRPr="00993ED2">
        <w:rPr>
          <w:sz w:val="24"/>
          <w:lang w:val="pt-PT"/>
        </w:rPr>
        <w:tab/>
      </w:r>
      <w:r w:rsidRPr="00993ED2">
        <w:rPr>
          <w:sz w:val="24"/>
          <w:lang w:val="pt-PT"/>
        </w:rPr>
        <w:t>JO L 275 de 25.10.2003, p. 32.</w:t>
      </w:r>
    </w:p>
  </w:footnote>
  <w:footnote w:id="4">
    <w:p w:rsidR="00CE43FD" w:rsidRPr="00993ED2" w:rsidRDefault="00CE43FD" w:rsidP="00993ED2">
      <w:pPr>
        <w:pStyle w:val="FootnoteText"/>
        <w:ind w:left="567" w:hanging="567"/>
        <w:rPr>
          <w:sz w:val="24"/>
          <w:lang w:val="pt-PT"/>
        </w:rPr>
      </w:pPr>
      <w:r w:rsidRPr="00993ED2">
        <w:rPr>
          <w:rStyle w:val="FootnoteReference"/>
          <w:sz w:val="24"/>
          <w:lang w:val="pt-PT"/>
        </w:rPr>
        <w:footnoteRef/>
      </w:r>
      <w:r w:rsidR="00993ED2" w:rsidRPr="00993ED2">
        <w:rPr>
          <w:sz w:val="24"/>
          <w:lang w:val="pt-PT"/>
        </w:rPr>
        <w:t xml:space="preserve"> </w:t>
      </w:r>
      <w:r w:rsidR="00993ED2" w:rsidRPr="00993ED2">
        <w:rPr>
          <w:sz w:val="24"/>
          <w:lang w:val="pt-PT"/>
        </w:rPr>
        <w:tab/>
      </w:r>
      <w:r w:rsidRPr="00993ED2">
        <w:rPr>
          <w:sz w:val="24"/>
          <w:lang w:val="pt-PT"/>
        </w:rPr>
        <w:t xml:space="preserve">Textos </w:t>
      </w:r>
      <w:r w:rsidR="00FD60BD">
        <w:rPr>
          <w:sz w:val="24"/>
          <w:lang w:val="pt-PT"/>
        </w:rPr>
        <w:t>A</w:t>
      </w:r>
      <w:r w:rsidRPr="00993ED2">
        <w:rPr>
          <w:sz w:val="24"/>
          <w:lang w:val="pt-PT"/>
        </w:rPr>
        <w:t>provados, P9_</w:t>
      </w:r>
      <w:proofErr w:type="gramStart"/>
      <w:r w:rsidRPr="00993ED2">
        <w:rPr>
          <w:sz w:val="24"/>
          <w:lang w:val="pt-PT"/>
        </w:rPr>
        <w:t>TA(</w:t>
      </w:r>
      <w:proofErr w:type="gramEnd"/>
      <w:r w:rsidRPr="00993ED2">
        <w:rPr>
          <w:sz w:val="24"/>
          <w:lang w:val="pt-PT"/>
        </w:rPr>
        <w:t>2023)0130.</w:t>
      </w:r>
    </w:p>
  </w:footnote>
  <w:footnote w:id="5">
    <w:p w:rsidR="00CE43FD" w:rsidRPr="00993ED2" w:rsidRDefault="00CE43FD" w:rsidP="00993ED2">
      <w:pPr>
        <w:pStyle w:val="FootnoteText"/>
        <w:ind w:left="567" w:hanging="567"/>
        <w:rPr>
          <w:sz w:val="24"/>
          <w:lang w:val="pt-PT"/>
        </w:rPr>
      </w:pPr>
      <w:r w:rsidRPr="00993ED2">
        <w:rPr>
          <w:rStyle w:val="FootnoteReference"/>
          <w:sz w:val="24"/>
          <w:lang w:val="pt-PT"/>
        </w:rPr>
        <w:footnoteRef/>
      </w:r>
      <w:r w:rsidR="00993ED2" w:rsidRPr="00993ED2">
        <w:rPr>
          <w:sz w:val="24"/>
          <w:lang w:val="pt-PT"/>
        </w:rPr>
        <w:t xml:space="preserve"> </w:t>
      </w:r>
      <w:r w:rsidR="00993ED2" w:rsidRPr="00993ED2">
        <w:rPr>
          <w:sz w:val="24"/>
          <w:lang w:val="pt-PT"/>
        </w:rPr>
        <w:tab/>
      </w:r>
      <w:r w:rsidRPr="00993ED2">
        <w:rPr>
          <w:sz w:val="24"/>
          <w:lang w:val="pt-PT"/>
        </w:rPr>
        <w:t>JO C 366 de 27.10.2017, p. 2.</w:t>
      </w:r>
    </w:p>
  </w:footnote>
  <w:footnote w:id="6">
    <w:p w:rsidR="00CE43FD" w:rsidRPr="00993ED2" w:rsidRDefault="00CE43FD" w:rsidP="00993ED2">
      <w:pPr>
        <w:pStyle w:val="FootnoteText"/>
        <w:ind w:left="567" w:hanging="567"/>
        <w:rPr>
          <w:sz w:val="24"/>
          <w:lang w:val="pt-PT"/>
        </w:rPr>
      </w:pPr>
      <w:r w:rsidRPr="00993ED2">
        <w:rPr>
          <w:rStyle w:val="FootnoteReference"/>
          <w:sz w:val="24"/>
          <w:lang w:val="pt-PT"/>
        </w:rPr>
        <w:footnoteRef/>
      </w:r>
      <w:r w:rsidR="00993ED2" w:rsidRPr="00993ED2">
        <w:rPr>
          <w:sz w:val="24"/>
          <w:lang w:val="pt-PT"/>
        </w:rPr>
        <w:t xml:space="preserve"> </w:t>
      </w:r>
      <w:r w:rsidR="00993ED2" w:rsidRPr="00993ED2">
        <w:rPr>
          <w:sz w:val="24"/>
          <w:lang w:val="pt-PT"/>
        </w:rPr>
        <w:tab/>
      </w:r>
      <w:r w:rsidRPr="00993ED2">
        <w:rPr>
          <w:sz w:val="24"/>
          <w:lang w:val="pt-PT"/>
        </w:rPr>
        <w:t>JO C 261 E de 10.9.2013, p. 1.</w:t>
      </w:r>
    </w:p>
  </w:footnote>
  <w:footnote w:id="7">
    <w:p w:rsidR="00CE43FD" w:rsidRPr="00993ED2" w:rsidRDefault="00CE43FD" w:rsidP="00993ED2">
      <w:pPr>
        <w:pStyle w:val="FootnoteText"/>
        <w:ind w:left="567" w:hanging="567"/>
        <w:rPr>
          <w:sz w:val="24"/>
          <w:lang w:val="pt-PT"/>
        </w:rPr>
      </w:pPr>
      <w:r w:rsidRPr="00993ED2">
        <w:rPr>
          <w:rStyle w:val="FootnoteReference"/>
          <w:sz w:val="24"/>
          <w:lang w:val="pt-PT"/>
        </w:rPr>
        <w:footnoteRef/>
      </w:r>
      <w:r w:rsidR="00993ED2" w:rsidRPr="00993ED2">
        <w:rPr>
          <w:sz w:val="24"/>
          <w:lang w:val="pt-PT"/>
        </w:rPr>
        <w:t xml:space="preserve"> </w:t>
      </w:r>
      <w:r w:rsidR="00993ED2" w:rsidRPr="00993ED2">
        <w:rPr>
          <w:sz w:val="24"/>
          <w:lang w:val="pt-PT"/>
        </w:rPr>
        <w:tab/>
      </w:r>
      <w:r w:rsidRPr="00993ED2">
        <w:rPr>
          <w:sz w:val="24"/>
          <w:lang w:val="pt-PT"/>
        </w:rPr>
        <w:t>JO C 252 de 18.7.2018, p. 284.</w:t>
      </w:r>
    </w:p>
  </w:footnote>
  <w:footnote w:id="8">
    <w:p w:rsidR="00CE43FD" w:rsidRPr="00993ED2" w:rsidRDefault="00CE43FD" w:rsidP="00993ED2">
      <w:pPr>
        <w:pStyle w:val="FootnoteText"/>
        <w:ind w:left="567" w:hanging="567"/>
        <w:rPr>
          <w:sz w:val="24"/>
          <w:lang w:val="pt-PT"/>
        </w:rPr>
      </w:pPr>
      <w:r w:rsidRPr="00993ED2">
        <w:rPr>
          <w:rStyle w:val="FootnoteReference"/>
          <w:sz w:val="24"/>
          <w:lang w:val="pt-PT"/>
        </w:rPr>
        <w:footnoteRef/>
      </w:r>
      <w:r w:rsidR="00993ED2" w:rsidRPr="00993ED2">
        <w:rPr>
          <w:sz w:val="24"/>
          <w:lang w:val="pt-PT"/>
        </w:rPr>
        <w:t xml:space="preserve"> </w:t>
      </w:r>
      <w:r w:rsidR="00993ED2" w:rsidRPr="00993ED2">
        <w:rPr>
          <w:sz w:val="24"/>
          <w:lang w:val="pt-PT"/>
        </w:rPr>
        <w:tab/>
      </w:r>
      <w:r w:rsidRPr="00993ED2">
        <w:rPr>
          <w:sz w:val="24"/>
          <w:lang w:val="pt-PT"/>
        </w:rPr>
        <w:t xml:space="preserve">Parlamento Europeu, </w:t>
      </w:r>
      <w:hyperlink r:id="rId1" w:history="1">
        <w:r w:rsidRPr="00993ED2">
          <w:rPr>
            <w:rStyle w:val="Hyperlink"/>
            <w:sz w:val="24"/>
            <w:lang w:val="pt-PT"/>
          </w:rPr>
          <w:t>Os números das emissões do tráfego aéreo e do transporte marítimo de mercadorias</w:t>
        </w:r>
      </w:hyperlink>
      <w:hyperlink r:id="rId2" w:history="1">
        <w:r w:rsidRPr="00993ED2">
          <w:rPr>
            <w:rStyle w:val="Hyperlink"/>
            <w:sz w:val="24"/>
            <w:lang w:val="pt-PT"/>
          </w:rPr>
          <w:t xml:space="preserve"> factos e números (infografia)</w:t>
        </w:r>
      </w:hyperlink>
      <w:r w:rsidRPr="00993ED2">
        <w:rPr>
          <w:sz w:val="24"/>
          <w:lang w:val="pt-PT"/>
        </w:rPr>
        <w:t>, atualizados em 15 de junho de 2023.</w:t>
      </w:r>
    </w:p>
  </w:footnote>
  <w:footnote w:id="9">
    <w:p w:rsidR="00CE43FD" w:rsidRPr="00993ED2" w:rsidRDefault="00CE43FD" w:rsidP="00993ED2">
      <w:pPr>
        <w:pStyle w:val="FootnoteText"/>
        <w:ind w:left="567" w:hanging="567"/>
        <w:rPr>
          <w:sz w:val="24"/>
          <w:lang w:val="pt-PT"/>
        </w:rPr>
      </w:pPr>
      <w:r w:rsidRPr="00993ED2">
        <w:rPr>
          <w:rStyle w:val="FootnoteReference"/>
          <w:sz w:val="24"/>
          <w:lang w:val="pt-PT"/>
        </w:rPr>
        <w:footnoteRef/>
      </w:r>
      <w:r w:rsidR="00993ED2" w:rsidRPr="00993ED2">
        <w:rPr>
          <w:sz w:val="24"/>
          <w:lang w:val="pt-PT"/>
        </w:rPr>
        <w:t xml:space="preserve"> </w:t>
      </w:r>
      <w:r w:rsidR="00993ED2" w:rsidRPr="00993ED2">
        <w:rPr>
          <w:sz w:val="24"/>
          <w:lang w:val="pt-PT"/>
        </w:rPr>
        <w:tab/>
      </w:r>
      <w:hyperlink r:id="rId3" w:history="1">
        <w:r w:rsidRPr="00993ED2">
          <w:rPr>
            <w:rStyle w:val="Hyperlink"/>
            <w:sz w:val="24"/>
            <w:lang w:val="pt-PT"/>
          </w:rPr>
          <w:t>Waypoint 2050</w:t>
        </w:r>
      </w:hyperlink>
      <w:r w:rsidRPr="00993ED2">
        <w:rPr>
          <w:sz w:val="24"/>
          <w:lang w:val="pt-PT"/>
        </w:rPr>
        <w:t>, «Aviation: Benefits Beyond Borders [Aviação: benefícios sem fronteiras]», Figura 2.</w:t>
      </w:r>
    </w:p>
  </w:footnote>
  <w:footnote w:id="10">
    <w:p w:rsidR="00CE43FD" w:rsidRPr="00993ED2" w:rsidRDefault="00CE43FD" w:rsidP="00993ED2">
      <w:pPr>
        <w:pStyle w:val="FootnoteText"/>
        <w:ind w:left="567" w:hanging="567"/>
        <w:rPr>
          <w:sz w:val="24"/>
          <w:lang w:val="pt-PT"/>
        </w:rPr>
      </w:pPr>
      <w:r w:rsidRPr="00993ED2">
        <w:rPr>
          <w:rStyle w:val="FootnoteReference"/>
          <w:sz w:val="24"/>
          <w:lang w:val="pt-PT"/>
        </w:rPr>
        <w:footnoteRef/>
      </w:r>
      <w:r w:rsidR="00993ED2" w:rsidRPr="00993ED2">
        <w:rPr>
          <w:sz w:val="24"/>
          <w:lang w:val="pt-PT"/>
        </w:rPr>
        <w:t xml:space="preserve"> </w:t>
      </w:r>
      <w:r w:rsidR="00993ED2" w:rsidRPr="00993ED2">
        <w:rPr>
          <w:sz w:val="24"/>
          <w:lang w:val="pt-PT"/>
        </w:rPr>
        <w:tab/>
      </w:r>
      <w:r w:rsidRPr="00993ED2">
        <w:rPr>
          <w:sz w:val="24"/>
          <w:lang w:val="pt-PT"/>
        </w:rPr>
        <w:t xml:space="preserve">ATR, Avinor, Deutsche Aircraft (em cooperação com a Private Wings), Heart Aerospace (em cooperação com a </w:t>
      </w:r>
      <w:hyperlink r:id="rId4" w:history="1">
        <w:r w:rsidRPr="00993ED2">
          <w:rPr>
            <w:rStyle w:val="Hyperlink"/>
            <w:sz w:val="24"/>
            <w:lang w:val="pt-PT"/>
          </w:rPr>
          <w:t>Finnair</w:t>
        </w:r>
      </w:hyperlink>
      <w:r w:rsidRPr="00993ED2">
        <w:rPr>
          <w:sz w:val="24"/>
          <w:lang w:val="pt-PT"/>
        </w:rPr>
        <w:t xml:space="preserve"> e </w:t>
      </w:r>
      <w:hyperlink r:id="rId5" w:history="1">
        <w:r w:rsidRPr="00993ED2">
          <w:rPr>
            <w:rStyle w:val="Hyperlink"/>
            <w:sz w:val="24"/>
            <w:lang w:val="pt-PT"/>
          </w:rPr>
          <w:t>Icelandair</w:t>
        </w:r>
      </w:hyperlink>
      <w:r w:rsidRPr="00993ED2">
        <w:rPr>
          <w:sz w:val="24"/>
          <w:lang w:val="pt-PT"/>
        </w:rPr>
        <w:t xml:space="preserve">), Pipistrel, </w:t>
      </w:r>
      <w:hyperlink r:id="rId6" w:history="1">
        <w:r w:rsidRPr="00993ED2">
          <w:rPr>
            <w:rStyle w:val="Hyperlink"/>
            <w:sz w:val="24"/>
            <w:lang w:val="pt-PT"/>
          </w:rPr>
          <w:t>SAS (em cooperação com a Airbus)</w:t>
        </w:r>
      </w:hyperlink>
      <w:r w:rsidRPr="00993ED2">
        <w:rPr>
          <w:sz w:val="24"/>
          <w:lang w:val="pt-PT"/>
        </w:rPr>
        <w:t>, Tecnam, etc.</w:t>
      </w:r>
    </w:p>
  </w:footnote>
  <w:footnote w:id="11">
    <w:p w:rsidR="00CE43FD" w:rsidRPr="00993ED2" w:rsidRDefault="00CE43FD" w:rsidP="00993ED2">
      <w:pPr>
        <w:pStyle w:val="FootnoteText"/>
        <w:ind w:left="567" w:hanging="567"/>
        <w:rPr>
          <w:sz w:val="24"/>
          <w:lang w:val="pt-PT"/>
        </w:rPr>
      </w:pPr>
      <w:r w:rsidRPr="00993ED2">
        <w:rPr>
          <w:rStyle w:val="FootnoteReference"/>
          <w:sz w:val="24"/>
          <w:lang w:val="pt-PT"/>
        </w:rPr>
        <w:footnoteRef/>
      </w:r>
      <w:r w:rsidR="00993ED2" w:rsidRPr="00993ED2">
        <w:rPr>
          <w:sz w:val="24"/>
          <w:lang w:val="pt-PT"/>
        </w:rPr>
        <w:t xml:space="preserve"> </w:t>
      </w:r>
      <w:r w:rsidR="00993ED2" w:rsidRPr="00993ED2">
        <w:rPr>
          <w:sz w:val="24"/>
          <w:lang w:val="pt-PT"/>
        </w:rPr>
        <w:tab/>
      </w:r>
      <w:r w:rsidRPr="00993ED2">
        <w:rPr>
          <w:sz w:val="24"/>
          <w:lang w:val="pt-PT"/>
        </w:rPr>
        <w:t>Ficha temática, «</w:t>
      </w:r>
      <w:hyperlink r:id="rId7" w:history="1">
        <w:r w:rsidRPr="00993ED2">
          <w:rPr>
            <w:rStyle w:val="Hyperlink"/>
            <w:sz w:val="24"/>
            <w:lang w:val="pt-PT"/>
          </w:rPr>
          <w:t>Net zero 2050:</w:t>
        </w:r>
      </w:hyperlink>
      <w:hyperlink r:id="rId8" w:history="1">
        <w:r w:rsidRPr="00993ED2">
          <w:rPr>
            <w:rStyle w:val="Hyperlink"/>
            <w:sz w:val="24"/>
            <w:lang w:val="pt-PT"/>
          </w:rPr>
          <w:t xml:space="preserve"> new aircraft technology</w:t>
        </w:r>
      </w:hyperlink>
      <w:r w:rsidRPr="00993ED2">
        <w:rPr>
          <w:rStyle w:val="Hyperlink"/>
          <w:sz w:val="24"/>
          <w:lang w:val="pt-PT"/>
        </w:rPr>
        <w:t>»,</w:t>
      </w:r>
      <w:r w:rsidRPr="00993ED2">
        <w:rPr>
          <w:sz w:val="24"/>
          <w:lang w:val="pt-PT"/>
        </w:rPr>
        <w:t xml:space="preserve"> [Neutralidade carbónica 2050: nova tecnologia aeronáutica], IATA, junho de 2023.</w:t>
      </w:r>
    </w:p>
  </w:footnote>
  <w:footnote w:id="12">
    <w:p w:rsidR="00CE43FD" w:rsidRPr="00993ED2" w:rsidRDefault="00CE43FD" w:rsidP="00993ED2">
      <w:pPr>
        <w:pStyle w:val="FootnoteText"/>
        <w:ind w:left="567" w:hanging="567"/>
        <w:rPr>
          <w:sz w:val="24"/>
          <w:lang w:val="pt-PT"/>
        </w:rPr>
      </w:pPr>
      <w:r w:rsidRPr="00993ED2">
        <w:rPr>
          <w:rStyle w:val="FootnoteReference"/>
          <w:sz w:val="24"/>
          <w:lang w:val="pt-PT"/>
        </w:rPr>
        <w:footnoteRef/>
      </w:r>
      <w:r w:rsidR="00993ED2" w:rsidRPr="00993ED2">
        <w:rPr>
          <w:sz w:val="24"/>
          <w:lang w:val="pt-PT"/>
        </w:rPr>
        <w:t xml:space="preserve"> </w:t>
      </w:r>
      <w:r w:rsidR="00993ED2" w:rsidRPr="00993ED2">
        <w:rPr>
          <w:sz w:val="24"/>
          <w:lang w:val="pt-PT"/>
        </w:rPr>
        <w:tab/>
      </w:r>
      <w:hyperlink r:id="rId9" w:history="1">
        <w:r w:rsidRPr="00993ED2">
          <w:rPr>
            <w:rStyle w:val="Hyperlink"/>
            <w:sz w:val="24"/>
            <w:lang w:val="pt-PT"/>
          </w:rPr>
          <w:t>Pipistrel Velis Electro</w:t>
        </w:r>
      </w:hyperlink>
      <w:r w:rsidRPr="00993ED2">
        <w:rPr>
          <w:sz w:val="24"/>
          <w:lang w:val="pt-PT"/>
        </w:rPr>
        <w:t>.</w:t>
      </w:r>
    </w:p>
  </w:footnote>
  <w:footnote w:id="13">
    <w:p w:rsidR="00CE43FD" w:rsidRPr="00993ED2" w:rsidRDefault="00CE43FD" w:rsidP="00993ED2">
      <w:pPr>
        <w:pStyle w:val="FootnoteText"/>
        <w:ind w:left="567" w:hanging="567"/>
        <w:rPr>
          <w:sz w:val="24"/>
          <w:lang w:val="pt-PT"/>
        </w:rPr>
      </w:pPr>
      <w:r w:rsidRPr="00993ED2">
        <w:rPr>
          <w:rStyle w:val="FootnoteReference"/>
          <w:sz w:val="24"/>
          <w:lang w:val="pt-PT"/>
        </w:rPr>
        <w:footnoteRef/>
      </w:r>
      <w:r w:rsidR="00993ED2" w:rsidRPr="00993ED2">
        <w:rPr>
          <w:sz w:val="24"/>
          <w:lang w:val="pt-PT"/>
        </w:rPr>
        <w:t xml:space="preserve"> </w:t>
      </w:r>
      <w:r w:rsidR="00993ED2" w:rsidRPr="00993ED2">
        <w:rPr>
          <w:sz w:val="24"/>
          <w:lang w:val="pt-PT"/>
        </w:rPr>
        <w:tab/>
      </w:r>
      <w:r w:rsidRPr="00993ED2">
        <w:rPr>
          <w:sz w:val="24"/>
          <w:lang w:val="pt-PT"/>
        </w:rPr>
        <w:t>JO L 234 de 22.9.2023, p. 1.</w:t>
      </w:r>
    </w:p>
  </w:footnote>
  <w:footnote w:id="14">
    <w:p w:rsidR="00CE43FD" w:rsidRPr="00993ED2" w:rsidRDefault="00CE43FD" w:rsidP="00993ED2">
      <w:pPr>
        <w:pStyle w:val="FootnoteText"/>
        <w:ind w:left="567" w:hanging="567"/>
        <w:rPr>
          <w:sz w:val="24"/>
          <w:lang w:val="pt-PT"/>
        </w:rPr>
      </w:pPr>
      <w:r w:rsidRPr="00993ED2">
        <w:rPr>
          <w:rStyle w:val="FootnoteReference"/>
          <w:sz w:val="24"/>
          <w:lang w:val="pt-PT"/>
        </w:rPr>
        <w:footnoteRef/>
      </w:r>
      <w:r w:rsidR="00993ED2" w:rsidRPr="001D570B">
        <w:rPr>
          <w:sz w:val="24"/>
          <w:lang w:val="en-GB"/>
        </w:rPr>
        <w:t xml:space="preserve"> </w:t>
      </w:r>
      <w:r w:rsidR="00993ED2" w:rsidRPr="001D570B">
        <w:rPr>
          <w:sz w:val="24"/>
          <w:lang w:val="en-GB"/>
        </w:rPr>
        <w:tab/>
      </w:r>
      <w:hyperlink r:id="rId10" w:history="1">
        <w:r w:rsidRPr="001D570B">
          <w:rPr>
            <w:rStyle w:val="Hyperlink"/>
            <w:sz w:val="24"/>
            <w:lang w:val="en-GB"/>
          </w:rPr>
          <w:t>Accessibility study for electric aviation.</w:t>
        </w:r>
      </w:hyperlink>
      <w:hyperlink r:id="rId11" w:history="1">
        <w:r w:rsidRPr="001D570B">
          <w:rPr>
            <w:rStyle w:val="Hyperlink"/>
            <w:sz w:val="24"/>
            <w:lang w:val="en-GB"/>
          </w:rPr>
          <w:t xml:space="preserve"> Part of the project Electric Aviation and the Effect on Nordic Regions</w:t>
        </w:r>
      </w:hyperlink>
      <w:r w:rsidR="009F4F70" w:rsidRPr="001D570B">
        <w:rPr>
          <w:rStyle w:val="Hyperlink"/>
          <w:sz w:val="24"/>
          <w:lang w:val="en-GB"/>
        </w:rPr>
        <w:t xml:space="preserve"> </w:t>
      </w:r>
      <w:r w:rsidRPr="001D570B">
        <w:rPr>
          <w:sz w:val="24"/>
          <w:lang w:val="en-GB"/>
        </w:rPr>
        <w:t xml:space="preserve">[Estudo de acessibilidade para </w:t>
      </w:r>
      <w:proofErr w:type="gramStart"/>
      <w:r w:rsidRPr="001D570B">
        <w:rPr>
          <w:sz w:val="24"/>
          <w:lang w:val="en-GB"/>
        </w:rPr>
        <w:t>a</w:t>
      </w:r>
      <w:proofErr w:type="gramEnd"/>
      <w:r w:rsidRPr="001D570B">
        <w:rPr>
          <w:sz w:val="24"/>
          <w:lang w:val="en-GB"/>
        </w:rPr>
        <w:t xml:space="preserve"> aviação elétrica. </w:t>
      </w:r>
      <w:r w:rsidRPr="00993ED2">
        <w:rPr>
          <w:sz w:val="24"/>
          <w:lang w:val="pt-PT"/>
        </w:rPr>
        <w:t>Parte do projeto para a aviação elétrica e seus efeitos nas regiões nórdicas].</w:t>
      </w:r>
    </w:p>
  </w:footnote>
  <w:footnote w:id="15">
    <w:p w:rsidR="00CE43FD" w:rsidRPr="00993ED2" w:rsidRDefault="00CE43FD" w:rsidP="00993ED2">
      <w:pPr>
        <w:pStyle w:val="FootnoteText"/>
        <w:ind w:left="567" w:hanging="567"/>
        <w:rPr>
          <w:sz w:val="24"/>
          <w:lang w:val="pt-PT"/>
        </w:rPr>
      </w:pPr>
      <w:r w:rsidRPr="00993ED2">
        <w:rPr>
          <w:rStyle w:val="FootnoteReference"/>
          <w:sz w:val="24"/>
          <w:lang w:val="pt-PT"/>
        </w:rPr>
        <w:footnoteRef/>
      </w:r>
      <w:r w:rsidR="00993ED2" w:rsidRPr="00993ED2">
        <w:rPr>
          <w:sz w:val="24"/>
          <w:lang w:val="pt-PT"/>
        </w:rPr>
        <w:t xml:space="preserve"> </w:t>
      </w:r>
      <w:r w:rsidR="00993ED2" w:rsidRPr="00993ED2">
        <w:rPr>
          <w:sz w:val="24"/>
          <w:lang w:val="pt-PT"/>
        </w:rPr>
        <w:tab/>
      </w:r>
      <w:r w:rsidRPr="00993ED2">
        <w:rPr>
          <w:sz w:val="24"/>
          <w:lang w:val="pt-PT"/>
        </w:rPr>
        <w:t>Idem.</w:t>
      </w:r>
    </w:p>
  </w:footnote>
  <w:footnote w:id="16">
    <w:p w:rsidR="00CE43FD" w:rsidRPr="00993ED2" w:rsidRDefault="00CE43FD" w:rsidP="00993ED2">
      <w:pPr>
        <w:pStyle w:val="FootnoteText"/>
        <w:ind w:left="567" w:hanging="567"/>
        <w:rPr>
          <w:sz w:val="24"/>
          <w:lang w:val="pt-PT"/>
        </w:rPr>
      </w:pPr>
      <w:r w:rsidRPr="00993ED2">
        <w:rPr>
          <w:rStyle w:val="FootnoteReference"/>
          <w:sz w:val="24"/>
          <w:lang w:val="pt-PT"/>
        </w:rPr>
        <w:footnoteRef/>
      </w:r>
      <w:r w:rsidR="00993ED2" w:rsidRPr="00993ED2">
        <w:rPr>
          <w:sz w:val="24"/>
          <w:lang w:val="pt-PT"/>
        </w:rPr>
        <w:t xml:space="preserve"> </w:t>
      </w:r>
      <w:r w:rsidR="00993ED2" w:rsidRPr="00993ED2">
        <w:rPr>
          <w:sz w:val="24"/>
          <w:lang w:val="pt-PT"/>
        </w:rPr>
        <w:tab/>
      </w:r>
      <w:r w:rsidRPr="00993ED2">
        <w:rPr>
          <w:sz w:val="24"/>
          <w:lang w:val="pt-PT"/>
        </w:rPr>
        <w:t>https://www.easa.europa.eu/en/newsroom-and-events/press-releases/easa-publishes-worlds-first-proposal-assessment-and-limitation</w:t>
      </w:r>
    </w:p>
  </w:footnote>
  <w:footnote w:id="17">
    <w:p w:rsidR="00CE43FD" w:rsidRPr="00993ED2" w:rsidRDefault="00CE43FD" w:rsidP="00993ED2">
      <w:pPr>
        <w:pStyle w:val="FootnoteText"/>
        <w:ind w:left="567" w:hanging="567"/>
        <w:rPr>
          <w:sz w:val="24"/>
          <w:lang w:val="pt-PT"/>
        </w:rPr>
      </w:pPr>
      <w:r w:rsidRPr="00993ED2">
        <w:rPr>
          <w:rStyle w:val="FootnoteReference"/>
          <w:sz w:val="24"/>
          <w:lang w:val="pt-PT"/>
        </w:rPr>
        <w:footnoteRef/>
      </w:r>
      <w:r w:rsidR="00993ED2" w:rsidRPr="00993ED2">
        <w:rPr>
          <w:sz w:val="24"/>
          <w:lang w:val="pt-PT"/>
        </w:rPr>
        <w:t xml:space="preserve"> </w:t>
      </w:r>
      <w:r w:rsidR="00993ED2" w:rsidRPr="00993ED2">
        <w:rPr>
          <w:sz w:val="24"/>
          <w:lang w:val="pt-PT"/>
        </w:rPr>
        <w:tab/>
      </w:r>
      <w:r w:rsidRPr="00993ED2">
        <w:rPr>
          <w:sz w:val="24"/>
          <w:lang w:val="pt-PT"/>
        </w:rPr>
        <w:t>AESA, «Vertiports. Prototype Technical Specifications for the Design of VFR Vertiports for Operation of with Manned VTOL-Capable Aircraft Certified in the Enhanced Category (PTS-VPT-DSN) [Especificações técnicas para protótipos destinados à conceção de vertiportos para operações VFR com aeronaves tripuladas e certificação VTOL na categoria aperfeiçoada (PTS-VPT-DSN)], março de 2022.</w:t>
      </w:r>
    </w:p>
  </w:footnote>
  <w:footnote w:id="18">
    <w:p w:rsidR="00CE43FD" w:rsidRPr="00993ED2" w:rsidRDefault="00CE43FD" w:rsidP="00993ED2">
      <w:pPr>
        <w:pStyle w:val="FootnoteText"/>
        <w:ind w:left="567" w:hanging="567"/>
        <w:rPr>
          <w:sz w:val="24"/>
          <w:lang w:val="pt-PT"/>
        </w:rPr>
      </w:pPr>
      <w:r w:rsidRPr="00993ED2">
        <w:rPr>
          <w:rStyle w:val="FootnoteReference"/>
          <w:sz w:val="24"/>
          <w:lang w:val="pt-PT"/>
        </w:rPr>
        <w:footnoteRef/>
      </w:r>
      <w:r w:rsidR="00993ED2" w:rsidRPr="00993ED2">
        <w:rPr>
          <w:sz w:val="24"/>
          <w:lang w:val="pt-PT"/>
        </w:rPr>
        <w:t xml:space="preserve"> </w:t>
      </w:r>
      <w:r w:rsidR="00993ED2" w:rsidRPr="00993ED2">
        <w:rPr>
          <w:sz w:val="24"/>
          <w:lang w:val="pt-PT"/>
        </w:rPr>
        <w:tab/>
      </w:r>
      <w:hyperlink r:id="rId12" w:history="1">
        <w:r w:rsidRPr="00993ED2">
          <w:rPr>
            <w:rStyle w:val="Hyperlink"/>
            <w:i/>
            <w:sz w:val="24"/>
            <w:lang w:val="pt-PT"/>
          </w:rPr>
          <w:t>Target True Zero:</w:t>
        </w:r>
      </w:hyperlink>
      <w:hyperlink r:id="rId13" w:history="1">
        <w:r w:rsidRPr="00993ED2">
          <w:rPr>
            <w:rStyle w:val="Hyperlink"/>
            <w:i/>
            <w:sz w:val="24"/>
            <w:lang w:val="pt-PT"/>
          </w:rPr>
          <w:t xml:space="preserve"> Delivering the Infrastructure for Battery and Hydrogen-Powered Flight</w:t>
        </w:r>
      </w:hyperlink>
      <w:r w:rsidR="004918F2">
        <w:rPr>
          <w:sz w:val="24"/>
          <w:lang w:val="pt-PT"/>
        </w:rPr>
        <w:t xml:space="preserve"> [O</w:t>
      </w:r>
      <w:r w:rsidRPr="00993ED2">
        <w:rPr>
          <w:sz w:val="24"/>
          <w:lang w:val="pt-PT"/>
        </w:rPr>
        <w:t>bjetivo zero emissões: Realização da infraestrutura para o voo de aeronaves movidas a baterias e hidrogénio], Fórum Económico Mundial, abril de 2023, pp. 10-15.</w:t>
      </w:r>
    </w:p>
  </w:footnote>
  <w:footnote w:id="19">
    <w:p w:rsidR="00CE43FD" w:rsidRPr="00993ED2" w:rsidRDefault="00CE43FD" w:rsidP="00993ED2">
      <w:pPr>
        <w:pStyle w:val="FootnoteText"/>
        <w:ind w:left="567" w:hanging="567"/>
        <w:rPr>
          <w:sz w:val="24"/>
          <w:lang w:val="pt-PT"/>
        </w:rPr>
      </w:pPr>
      <w:r w:rsidRPr="00993ED2">
        <w:rPr>
          <w:rStyle w:val="FootnoteReference"/>
          <w:sz w:val="24"/>
          <w:lang w:val="pt-PT"/>
        </w:rPr>
        <w:footnoteRef/>
      </w:r>
      <w:r w:rsidR="00993ED2" w:rsidRPr="00993ED2">
        <w:rPr>
          <w:sz w:val="24"/>
          <w:lang w:val="pt-PT"/>
        </w:rPr>
        <w:t xml:space="preserve"> </w:t>
      </w:r>
      <w:r w:rsidR="00993ED2" w:rsidRPr="00993ED2">
        <w:rPr>
          <w:sz w:val="24"/>
          <w:lang w:val="pt-PT"/>
        </w:rPr>
        <w:tab/>
      </w:r>
      <w:r w:rsidRPr="00993ED2">
        <w:rPr>
          <w:sz w:val="24"/>
          <w:lang w:val="pt-PT"/>
        </w:rPr>
        <w:t xml:space="preserve">Regulamento (UE) 2023/1804 do Parlamento Europeu e do Conselho, de 13 de setembro de 2023, relativo à criação de uma infraestrutura para combustíveis alternativos e que revoga a Diretiva 2014/94/UE </w:t>
      </w:r>
      <w:r w:rsidR="00864551">
        <w:rPr>
          <w:sz w:val="24"/>
          <w:lang w:val="pt-PT"/>
        </w:rPr>
        <w:t>(</w:t>
      </w:r>
      <w:r w:rsidRPr="00993ED2">
        <w:rPr>
          <w:sz w:val="24"/>
          <w:lang w:val="pt-PT"/>
        </w:rPr>
        <w:t>JO L 234 de 22.9.2023, p. 1</w:t>
      </w:r>
      <w:r w:rsidR="00864551">
        <w:rPr>
          <w:sz w:val="24"/>
          <w:lang w:val="pt-PT"/>
        </w:rPr>
        <w:t>)</w:t>
      </w:r>
      <w:r w:rsidRPr="00993ED2">
        <w:rPr>
          <w:sz w:val="24"/>
          <w:lang w:val="pt-PT"/>
        </w:rPr>
        <w:t>.</w:t>
      </w:r>
    </w:p>
  </w:footnote>
  <w:footnote w:id="20">
    <w:p w:rsidR="00CE43FD" w:rsidRPr="00993ED2" w:rsidRDefault="00CE43FD" w:rsidP="00993ED2">
      <w:pPr>
        <w:pStyle w:val="FootnoteText"/>
        <w:ind w:left="567" w:hanging="567"/>
        <w:rPr>
          <w:sz w:val="24"/>
          <w:lang w:val="pt-PT"/>
        </w:rPr>
      </w:pPr>
      <w:r w:rsidRPr="00993ED2">
        <w:rPr>
          <w:rStyle w:val="FootnoteReference"/>
          <w:sz w:val="24"/>
          <w:lang w:val="pt-PT"/>
        </w:rPr>
        <w:footnoteRef/>
      </w:r>
      <w:r w:rsidR="00993ED2" w:rsidRPr="00993ED2">
        <w:rPr>
          <w:sz w:val="24"/>
          <w:lang w:val="pt-PT"/>
        </w:rPr>
        <w:t xml:space="preserve"> </w:t>
      </w:r>
      <w:r w:rsidR="00993ED2" w:rsidRPr="00993ED2">
        <w:rPr>
          <w:sz w:val="24"/>
          <w:lang w:val="pt-PT"/>
        </w:rPr>
        <w:tab/>
      </w:r>
      <w:hyperlink r:id="rId14" w:history="1">
        <w:r w:rsidRPr="00993ED2">
          <w:rPr>
            <w:rStyle w:val="Hyperlink"/>
            <w:sz w:val="24"/>
            <w:lang w:val="pt-PT"/>
          </w:rPr>
          <w:t>Airbus and Renault Group to advance research on electrification</w:t>
        </w:r>
      </w:hyperlink>
      <w:r w:rsidR="00334291">
        <w:rPr>
          <w:sz w:val="24"/>
          <w:lang w:val="pt-PT"/>
        </w:rPr>
        <w:t xml:space="preserve"> [</w:t>
      </w:r>
      <w:r w:rsidRPr="00993ED2">
        <w:rPr>
          <w:sz w:val="24"/>
          <w:lang w:val="pt-PT"/>
        </w:rPr>
        <w:t>A Airbus e o Grupo Renault pretendem fazer progredir a investigação sobre eletrificação].</w:t>
      </w:r>
    </w:p>
  </w:footnote>
  <w:footnote w:id="21">
    <w:p w:rsidR="00CE43FD" w:rsidRPr="00993ED2" w:rsidRDefault="00CE43FD" w:rsidP="00993ED2">
      <w:pPr>
        <w:pStyle w:val="FootnoteText"/>
        <w:ind w:left="567" w:hanging="567"/>
        <w:rPr>
          <w:sz w:val="24"/>
          <w:lang w:val="pt-PT"/>
        </w:rPr>
      </w:pPr>
      <w:r w:rsidRPr="00993ED2">
        <w:rPr>
          <w:rStyle w:val="FootnoteReference"/>
          <w:sz w:val="24"/>
          <w:lang w:val="pt-PT"/>
        </w:rPr>
        <w:footnoteRef/>
      </w:r>
      <w:r w:rsidR="00993ED2" w:rsidRPr="00993ED2">
        <w:rPr>
          <w:sz w:val="24"/>
          <w:lang w:val="pt-PT"/>
        </w:rPr>
        <w:t xml:space="preserve"> </w:t>
      </w:r>
      <w:r w:rsidR="00993ED2" w:rsidRPr="00993ED2">
        <w:rPr>
          <w:sz w:val="24"/>
          <w:lang w:val="pt-PT"/>
        </w:rPr>
        <w:tab/>
      </w:r>
      <w:r w:rsidRPr="00993ED2">
        <w:rPr>
          <w:sz w:val="24"/>
          <w:lang w:val="pt-PT"/>
        </w:rPr>
        <w:t xml:space="preserve">Diretiva (UE) 2023/959 do Parlamento Europeu e do Conselho, de 10 de maio de 2023, que altera a Diretiva 2003/87/CE, relativa à criação de um sistema de comércio de licenças de emissão de gases com efeito de estufa na União, e a Decisão (UE) 2015/1814, relativa à criação e ao funcionamento de uma reserva de estabilização do mercado para o sistema de comércio de licenças de emissão de gases com efeito de estufa da União </w:t>
      </w:r>
      <w:r w:rsidR="001D30B4">
        <w:rPr>
          <w:sz w:val="24"/>
          <w:lang w:val="pt-PT"/>
        </w:rPr>
        <w:t>(</w:t>
      </w:r>
      <w:r w:rsidRPr="00993ED2">
        <w:rPr>
          <w:sz w:val="24"/>
          <w:lang w:val="pt-PT"/>
        </w:rPr>
        <w:t>JO L 130 de 16.5.2023, p. 134</w:t>
      </w:r>
      <w:r w:rsidR="001D30B4">
        <w:rPr>
          <w:sz w:val="24"/>
          <w:lang w:val="pt-PT"/>
        </w:rPr>
        <w:t>)</w:t>
      </w:r>
      <w:r w:rsidRPr="00993ED2">
        <w:rPr>
          <w:sz w:val="24"/>
          <w:lang w:val="pt-PT"/>
        </w:rPr>
        <w:t xml:space="preserve">. </w:t>
      </w:r>
    </w:p>
  </w:footnote>
  <w:footnote w:id="22">
    <w:p w:rsidR="00CE43FD" w:rsidRPr="00993ED2" w:rsidRDefault="00CE43FD" w:rsidP="00993ED2">
      <w:pPr>
        <w:pStyle w:val="FootnoteText"/>
        <w:ind w:left="567" w:hanging="567"/>
        <w:rPr>
          <w:sz w:val="24"/>
          <w:lang w:val="pt-PT"/>
        </w:rPr>
      </w:pPr>
      <w:r w:rsidRPr="00993ED2">
        <w:rPr>
          <w:rStyle w:val="FootnoteReference"/>
          <w:sz w:val="24"/>
          <w:lang w:val="pt-PT"/>
        </w:rPr>
        <w:footnoteRef/>
      </w:r>
      <w:r w:rsidR="00993ED2" w:rsidRPr="00993ED2">
        <w:rPr>
          <w:sz w:val="24"/>
          <w:lang w:val="pt-PT"/>
        </w:rPr>
        <w:t xml:space="preserve"> </w:t>
      </w:r>
      <w:r w:rsidR="00993ED2" w:rsidRPr="00993ED2">
        <w:rPr>
          <w:sz w:val="24"/>
          <w:lang w:val="pt-PT"/>
        </w:rPr>
        <w:tab/>
      </w:r>
      <w:r w:rsidRPr="00993ED2">
        <w:rPr>
          <w:sz w:val="24"/>
          <w:lang w:val="pt-PT"/>
        </w:rPr>
        <w:t xml:space="preserve">Diretiva 2003/96/CE do Conselho, de 27 de outubro de 2003, que reestrutura o quadro comunitário de tributação dos produtos energéticos e da eletricidade </w:t>
      </w:r>
      <w:r w:rsidR="0054295D">
        <w:rPr>
          <w:sz w:val="24"/>
          <w:lang w:val="pt-PT"/>
        </w:rPr>
        <w:t>(</w:t>
      </w:r>
      <w:r w:rsidRPr="00993ED2">
        <w:rPr>
          <w:sz w:val="24"/>
          <w:lang w:val="pt-PT"/>
        </w:rPr>
        <w:t>JO L 283 de 31.10.2003, p. 51</w:t>
      </w:r>
      <w:r w:rsidR="0054295D">
        <w:rPr>
          <w:sz w:val="24"/>
          <w:lang w:val="pt-PT"/>
        </w:rPr>
        <w:t>)</w:t>
      </w:r>
      <w:r w:rsidRPr="00993ED2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3ED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3ED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3ED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8/2023"/>
    <w:docVar w:name="dvlangue" w:val="PT"/>
    <w:docVar w:name="dvnumam" w:val="0"/>
    <w:docVar w:name="dvpe" w:val="751.901"/>
    <w:docVar w:name="dvrapporteur" w:val="Relator: "/>
    <w:docVar w:name="dvtitre" w:val="Resolução do Parlamento Europeu, de ... de ... de 2024,_x000d__x000a_ sobre os aviões elétricos – uma solução para voos de curta e média distância(2023/2060(INI))"/>
  </w:docVars>
  <w:rsids>
    <w:rsidRoot w:val="009646E8"/>
    <w:rsid w:val="00002272"/>
    <w:rsid w:val="00030447"/>
    <w:rsid w:val="00064002"/>
    <w:rsid w:val="000677B9"/>
    <w:rsid w:val="000831BA"/>
    <w:rsid w:val="000A42CC"/>
    <w:rsid w:val="000E7DD9"/>
    <w:rsid w:val="0010095E"/>
    <w:rsid w:val="00125B37"/>
    <w:rsid w:val="00187494"/>
    <w:rsid w:val="001D30B4"/>
    <w:rsid w:val="001D570B"/>
    <w:rsid w:val="001F32AE"/>
    <w:rsid w:val="002767FF"/>
    <w:rsid w:val="002B18FE"/>
    <w:rsid w:val="002B5493"/>
    <w:rsid w:val="0033429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18F2"/>
    <w:rsid w:val="00494A28"/>
    <w:rsid w:val="004C0004"/>
    <w:rsid w:val="004C5D52"/>
    <w:rsid w:val="0050519A"/>
    <w:rsid w:val="005072A1"/>
    <w:rsid w:val="00514517"/>
    <w:rsid w:val="0054295D"/>
    <w:rsid w:val="00545827"/>
    <w:rsid w:val="00560270"/>
    <w:rsid w:val="005C2568"/>
    <w:rsid w:val="005C277A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6C33"/>
    <w:rsid w:val="00786EC0"/>
    <w:rsid w:val="007D1690"/>
    <w:rsid w:val="007E22AD"/>
    <w:rsid w:val="00817416"/>
    <w:rsid w:val="00842779"/>
    <w:rsid w:val="00864551"/>
    <w:rsid w:val="00865F67"/>
    <w:rsid w:val="008819C3"/>
    <w:rsid w:val="00881A7B"/>
    <w:rsid w:val="008840E5"/>
    <w:rsid w:val="00887B3E"/>
    <w:rsid w:val="008C2AC6"/>
    <w:rsid w:val="00930C23"/>
    <w:rsid w:val="0093193B"/>
    <w:rsid w:val="009509D8"/>
    <w:rsid w:val="00950B64"/>
    <w:rsid w:val="009646E8"/>
    <w:rsid w:val="00970130"/>
    <w:rsid w:val="00981893"/>
    <w:rsid w:val="00993ED2"/>
    <w:rsid w:val="009F4F7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3E6C"/>
    <w:rsid w:val="00BD48FE"/>
    <w:rsid w:val="00BD7BD8"/>
    <w:rsid w:val="00BE6ADC"/>
    <w:rsid w:val="00C05BFE"/>
    <w:rsid w:val="00C23CD4"/>
    <w:rsid w:val="00C61C0C"/>
    <w:rsid w:val="00C941CB"/>
    <w:rsid w:val="00CC2357"/>
    <w:rsid w:val="00CE43FD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768F"/>
    <w:rsid w:val="00FB4360"/>
    <w:rsid w:val="00FD0C70"/>
    <w:rsid w:val="00FD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2AABAD"/>
  <w15:chartTrackingRefBased/>
  <w15:docId w15:val="{6B53BDC2-3F66-4EEE-A0D2-F8AF23CBB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E43FD"/>
    <w:pPr>
      <w:spacing w:after="240"/>
      <w:ind w:left="567" w:hanging="567"/>
    </w:pPr>
  </w:style>
  <w:style w:type="paragraph" w:customStyle="1" w:styleId="EPComma">
    <w:name w:val="EPComma"/>
    <w:basedOn w:val="Normal"/>
    <w:rsid w:val="00CE43FD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CE43FD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CE43FD"/>
    <w:rPr>
      <w:sz w:val="24"/>
      <w:lang w:val="pt-PT"/>
    </w:rPr>
  </w:style>
  <w:style w:type="paragraph" w:styleId="BalloonText">
    <w:name w:val="Balloon Text"/>
    <w:basedOn w:val="Normal"/>
    <w:link w:val="BalloonTextChar"/>
    <w:rsid w:val="008819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819C3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ata.org/en/iata-repository/pressroom/fact-sheets/fact-sheet-new-aircraft-technology/" TargetMode="External"/><Relationship Id="rId13" Type="http://schemas.openxmlformats.org/officeDocument/2006/relationships/hyperlink" Target="https://www3.weforum.org/docs/WEF_Target_True_Zero_2023.pdf" TargetMode="External"/><Relationship Id="rId3" Type="http://schemas.openxmlformats.org/officeDocument/2006/relationships/hyperlink" Target="https://aviationbenefits.org/environmental-efficiency/climate-action/waypoint-2050/" TargetMode="External"/><Relationship Id="rId7" Type="http://schemas.openxmlformats.org/officeDocument/2006/relationships/hyperlink" Target="https://www.iata.org/en/iata-repository/pressroom/fact-sheets/fact-sheet-new-aircraft-technology/" TargetMode="External"/><Relationship Id="rId12" Type="http://schemas.openxmlformats.org/officeDocument/2006/relationships/hyperlink" Target="https://www3.weforum.org/docs/WEF_Target_True_Zero_2023.pdf" TargetMode="External"/><Relationship Id="rId2" Type="http://schemas.openxmlformats.org/officeDocument/2006/relationships/hyperlink" Target="https://www.europarl.europa.eu/news/pt/headlines/society/20191129STO67756/os-numeros-das-emissoes-do-trafego-aereo-e-do-transporte-maritimo-de-mercadorias" TargetMode="External"/><Relationship Id="rId1" Type="http://schemas.openxmlformats.org/officeDocument/2006/relationships/hyperlink" Target="https://www.europarl.europa.eu/news/pt/headlines/society/20191129STO67756/os-numeros-das-emissoes-do-trafego-aereo-e-do-transporte-maritimo-de-mercadorias" TargetMode="External"/><Relationship Id="rId6" Type="http://schemas.openxmlformats.org/officeDocument/2006/relationships/hyperlink" Target="https://www.airbus.com/en/newsroom/press-releases/2019-05-airbus-and-sas-scandinavian-airlines-sign-hybrid-and-electric" TargetMode="External"/><Relationship Id="rId11" Type="http://schemas.openxmlformats.org/officeDocument/2006/relationships/hyperlink" Target="https://storymaps.arcgis.com/stories/3b35687163744e69a6966b5b9fad976e" TargetMode="External"/><Relationship Id="rId5" Type="http://schemas.openxmlformats.org/officeDocument/2006/relationships/hyperlink" Target="https://www.icelandairgroup.com/newsroom/news/icelandair-signs-a-new-loi-with-heart-aerospace" TargetMode="External"/><Relationship Id="rId10" Type="http://schemas.openxmlformats.org/officeDocument/2006/relationships/hyperlink" Target="https://storymaps.arcgis.com/stories/3b35687163744e69a6966b5b9fad976e" TargetMode="External"/><Relationship Id="rId4" Type="http://schemas.openxmlformats.org/officeDocument/2006/relationships/hyperlink" Target="https://www.greenairnews.com/?p=824" TargetMode="External"/><Relationship Id="rId9" Type="http://schemas.openxmlformats.org/officeDocument/2006/relationships/hyperlink" Target="https://www.pipistrel-aircraft.com/products/velis-electro/" TargetMode="External"/><Relationship Id="rId14" Type="http://schemas.openxmlformats.org/officeDocument/2006/relationships/hyperlink" Target="https://www.airbus.com/en/newsroom/press-releases/2022-11-airbus-and-renault-group-to-advance-research-on-electrific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B0179-004B-4367-95E7-51465D660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5229</Words>
  <Characters>29055</Characters>
  <Application>Microsoft Office Word</Application>
  <DocSecurity>0</DocSecurity>
  <Lines>1263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SILVA Carla Marina</cp:lastModifiedBy>
  <cp:revision>2</cp:revision>
  <cp:lastPrinted>2004-11-19T15:42:00Z</cp:lastPrinted>
  <dcterms:created xsi:type="dcterms:W3CDTF">2024-02-26T10:45:00Z</dcterms:created>
  <dcterms:modified xsi:type="dcterms:W3CDTF">2024-02-26T10:45:00Z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A9-0438/2023</vt:lpwstr>
  </property>
  <property fmtid="{D5CDD505-2E9C-101B-9397-08002B2CF9AE}" pid="4" name="&lt;Type&gt;">
    <vt:lpwstr>RR</vt:lpwstr>
  </property>
</Properties>
</file>