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E026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E0263" w:rsidRDefault="008D6826">
            <w:pPr>
              <w:pStyle w:val="EPName"/>
            </w:pPr>
            <w:r>
              <w:t>Európsky parlament</w:t>
            </w:r>
          </w:p>
          <w:p w:rsidR="009E0263" w:rsidRDefault="008D682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9E0263" w:rsidRDefault="008D6826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0263" w:rsidRDefault="009E0263">
      <w:pPr>
        <w:pStyle w:val="LineTop"/>
      </w:pPr>
    </w:p>
    <w:p w:rsidR="009E0263" w:rsidRDefault="008D6826">
      <w:pPr>
        <w:pStyle w:val="EPBodyTA1"/>
      </w:pPr>
      <w:r>
        <w:t>PRIJATÉ TEXTY</w:t>
      </w:r>
    </w:p>
    <w:p w:rsidR="009E0263" w:rsidRDefault="009E0263">
      <w:pPr>
        <w:pStyle w:val="LineBottom"/>
      </w:pPr>
    </w:p>
    <w:p w:rsidR="009E0263" w:rsidRDefault="008D6826">
      <w:pPr>
        <w:pStyle w:val="ATHeading1"/>
      </w:pPr>
      <w:bookmarkStart w:id="0" w:name="TANumber"/>
      <w:r>
        <w:t>P9_TA(2024)0</w:t>
      </w:r>
      <w:bookmarkEnd w:id="0"/>
      <w:r>
        <w:t>014</w:t>
      </w:r>
    </w:p>
    <w:p w:rsidR="009E0263" w:rsidRDefault="008D6826">
      <w:pPr>
        <w:pStyle w:val="ATHeading2"/>
      </w:pPr>
      <w:bookmarkStart w:id="1" w:name="title"/>
      <w:r>
        <w:t>Elektrické letectvo – riešenie pre lety na krátke a stredné vzdialenosti</w:t>
      </w:r>
      <w:bookmarkEnd w:id="1"/>
    </w:p>
    <w:p w:rsidR="009E0263" w:rsidRDefault="008D6826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A9-0438/2023</w:instrText>
      </w:r>
      <w:bookmarkEnd w:id="2"/>
      <w:r>
        <w:rPr>
          <w:i/>
        </w:rPr>
        <w:instrText xml:space="preserve"> - Spravodajca: Erik Bergkvist)"\l3 \n&gt; \* MERGEFORMAT </w:instrText>
      </w:r>
      <w:r>
        <w:rPr>
          <w:i/>
        </w:rPr>
        <w:fldChar w:fldCharType="end"/>
      </w:r>
    </w:p>
    <w:p w:rsidR="009E0263" w:rsidRDefault="008D6826">
      <w:pPr>
        <w:rPr>
          <w:vanish/>
        </w:rPr>
      </w:pPr>
      <w:bookmarkStart w:id="3" w:name="Commission"/>
      <w:r>
        <w:rPr>
          <w:vanish/>
        </w:rPr>
        <w:t>Výbor pre dopravu a cestovný ruch</w:t>
      </w:r>
      <w:bookmarkEnd w:id="3"/>
    </w:p>
    <w:p w:rsidR="009E0263" w:rsidRDefault="008D6826">
      <w:pPr>
        <w:rPr>
          <w:vanish/>
        </w:rPr>
      </w:pPr>
      <w:bookmarkStart w:id="4" w:name="PE"/>
      <w:r>
        <w:rPr>
          <w:vanish/>
        </w:rPr>
        <w:t>PE751.901</w:t>
      </w:r>
      <w:bookmarkEnd w:id="4"/>
    </w:p>
    <w:p w:rsidR="009E0263" w:rsidRDefault="008D6826">
      <w:pPr>
        <w:pStyle w:val="ATHeading3"/>
      </w:pPr>
      <w:bookmarkStart w:id="5" w:name="Sujet"/>
      <w:r>
        <w:t>Uznesenie Európskeho parlamentu zo 16. januára 2024 o elektrickom letectve – riešenie pre lety na krátke a stredné vzdialenosti</w:t>
      </w:r>
      <w:bookmarkEnd w:id="5"/>
      <w:r>
        <w:t xml:space="preserve"> </w:t>
      </w:r>
      <w:bookmarkStart w:id="6" w:name="References"/>
      <w:r>
        <w:t>(2023/2060(INI))</w:t>
      </w:r>
      <w:bookmarkEnd w:id="6"/>
    </w:p>
    <w:p w:rsidR="009E0263" w:rsidRDefault="008D6826">
      <w:pPr>
        <w:pStyle w:val="EPComma"/>
      </w:pPr>
      <w:bookmarkStart w:id="7" w:name="TextBodyBegin"/>
      <w:bookmarkEnd w:id="7"/>
      <w:r>
        <w:rPr>
          <w:i/>
          <w:iCs/>
        </w:rPr>
        <w:t>Európsky parlament,</w:t>
      </w:r>
    </w:p>
    <w:p w:rsidR="009E0263" w:rsidRDefault="008D6826">
      <w:pPr>
        <w:pStyle w:val="NormalHanging12a"/>
        <w:rPr>
          <w:i/>
        </w:rPr>
      </w:pPr>
      <w:r>
        <w:t>–</w:t>
      </w:r>
      <w:r>
        <w:tab/>
        <w:t>so zreteľom na Zmluvu o fungovaní Európskej únie, najmä na jej článok 90,</w:t>
      </w:r>
    </w:p>
    <w:p w:rsidR="009E0263" w:rsidRDefault="008D6826">
      <w:pPr>
        <w:pStyle w:val="NormalHanging12a"/>
      </w:pPr>
      <w:r>
        <w:t>–</w:t>
      </w:r>
      <w:r>
        <w:tab/>
        <w:t xml:space="preserve">so zreteľom </w:t>
      </w:r>
      <w:r>
        <w:t>na Zmluvu o Európskej únii, najmä na jej článok 3 ods. 3,</w:t>
      </w:r>
    </w:p>
    <w:p w:rsidR="009E0263" w:rsidRDefault="008D6826">
      <w:pPr>
        <w:pStyle w:val="NormalHanging12a"/>
      </w:pPr>
      <w:r>
        <w:t>–</w:t>
      </w:r>
      <w:r>
        <w:tab/>
        <w:t xml:space="preserve">so zreteľom na návrh Komisie zo 16. marca 2023 na prijatie nariadenia Európskeho parlamentu a Rady o zriadení rámca opatrení na posilnenie európskeho ekosystému výroby výrobkov emisne neutrálnych </w:t>
      </w:r>
      <w:r>
        <w:t>technológií (akt o emisne neutrálnom priemysle) (COM(2023)0161),</w:t>
      </w:r>
    </w:p>
    <w:p w:rsidR="009E0263" w:rsidRDefault="008D6826">
      <w:pPr>
        <w:pStyle w:val="NormalHanging12a"/>
      </w:pPr>
      <w:r>
        <w:t>–</w:t>
      </w:r>
      <w:r>
        <w:tab/>
      </w:r>
      <w:r>
        <w:t xml:space="preserve">so zreteľom na návrh Komisie zo 14. júla 2021 na prijatie nariadenia Európskeho parlamentu a Rady o zavádzaní infraštruktúry pre alternatívne palivá a o zrušení smernice Európskeho parlamentu a Rady 2014/94/EÚ </w:t>
      </w:r>
      <w:r>
        <w:rPr>
          <w:shd w:val="clear" w:color="auto" w:fill="FFFFFF"/>
        </w:rPr>
        <w:t>(COM(2021)0559)</w:t>
      </w:r>
      <w:r>
        <w:t>.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návrh Komisi</w:t>
      </w:r>
      <w:r>
        <w:t xml:space="preserve">e zo 14. decembra 2021 na nariadenie Európskeho parlamentu a Rady o usmerneniach Únie pre rozvoj </w:t>
      </w:r>
      <w:proofErr w:type="spellStart"/>
      <w:r>
        <w:t>transeurópskej</w:t>
      </w:r>
      <w:proofErr w:type="spellEnd"/>
      <w:r>
        <w:t xml:space="preserve"> dopravnej siete, ktorým sa mení nariadenie (EÚ) 2021/1153 a nariadenie (EÚ) č. 913/2010 a zrušuje nariadenie (EÚ) č.</w:t>
      </w:r>
      <w:bookmarkStart w:id="8" w:name="_GoBack"/>
      <w:bookmarkEnd w:id="8"/>
      <w:r>
        <w:t xml:space="preserve"> 1315/2013 (COM(2021)0812), naj</w:t>
      </w:r>
      <w:r>
        <w:t>mä na jeho oddiel 5 o infraštruktúre leteckej dopravy,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návrh Komisie zo 7. júna 2018 na nariadenie Európskeho parlamentu a Rady, ktorým sa zriaďuje Horizont Európa – rámcový program pre výskum a inovácie, stanovujú jeho pravidlá účasti a š</w:t>
      </w:r>
      <w:r>
        <w:t xml:space="preserve">írenia </w:t>
      </w:r>
      <w:r>
        <w:rPr>
          <w:shd w:val="clear" w:color="auto" w:fill="FFFFFF"/>
        </w:rPr>
        <w:t>(COM(2018)0435)</w:t>
      </w:r>
      <w:r>
        <w:t>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návrh Komisie z 11. júna 2013 na nariadenie Európskeho parlamentu a Rady o implementácii jednotného európskeho neba (COM(2013)0410),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oznámenie Komisie z 29. novembra 2022 s názvom Stratégia v oblast</w:t>
      </w:r>
      <w:r>
        <w:t xml:space="preserve">i </w:t>
      </w:r>
      <w:proofErr w:type="spellStart"/>
      <w:r>
        <w:t>dronov</w:t>
      </w:r>
      <w:proofErr w:type="spellEnd"/>
      <w:r>
        <w:t xml:space="preserve"> 2.0 pre inteligentný a udržateľný ekosystém bezpilotných vzdušných prostriedkov v Európe (COM(2022)0652),</w:t>
      </w:r>
    </w:p>
    <w:p w:rsidR="009E0263" w:rsidRDefault="008D6826">
      <w:pPr>
        <w:pStyle w:val="NormalHanging12a"/>
        <w:rPr>
          <w:szCs w:val="24"/>
        </w:rPr>
      </w:pPr>
      <w:r>
        <w:lastRenderedPageBreak/>
        <w:t>–</w:t>
      </w:r>
      <w:r>
        <w:tab/>
        <w:t>so zreteľom na oznámenie Komisie z 9. decembra 2020 s názvom Stratégia pre udržateľnú a inteligentnú mobilitu – nasmerovanie európskej dopr</w:t>
      </w:r>
      <w:r>
        <w:t>avy do budúcnosti (COM(2020)0789),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nariadenie Európskeho parlamentu a Rady (EÚ) 2021/1119 z 30. júna 2021, ktorým sa stanovuje rámec na dosiahnutie klimatickej neutrality a menia nariadenia (ES) č. 401/2009 a (EÚ) 2018/1999 (európsky právn</w:t>
      </w:r>
      <w:r>
        <w:t>y predpis v oblasti klímy)</w:t>
      </w:r>
      <w:r>
        <w:rPr>
          <w:rStyle w:val="FootnoteReference"/>
          <w:szCs w:val="24"/>
        </w:rPr>
        <w:footnoteReference w:id="1"/>
      </w:r>
      <w:r>
        <w:t>, prostredníctvom ktorého sa ciele Európskej zelenej dohody menia na právne predpisy,</w:t>
      </w:r>
    </w:p>
    <w:p w:rsidR="009E0263" w:rsidRDefault="008D6826">
      <w:pPr>
        <w:pStyle w:val="NormalHanging12a"/>
        <w:rPr>
          <w:bCs/>
          <w:szCs w:val="24"/>
        </w:rPr>
      </w:pPr>
      <w:r>
        <w:t>–</w:t>
      </w:r>
      <w:r>
        <w:tab/>
        <w:t xml:space="preserve">so zreteľom na nariadenie Európskeho parlamentu a Rady (EÚ) č. 598/2014 zo 16. apríla 2014 o pravidlách a postupoch zavádzania prevádzkových </w:t>
      </w:r>
      <w:r>
        <w:t>obmedzení súvisiacich s hlukom na letiskách Únie v rámci vyváženého prístupu, ktorým sa zrušuje smernica 2002/30/ES</w:t>
      </w:r>
      <w:r>
        <w:rPr>
          <w:rStyle w:val="FootnoteReference"/>
          <w:bCs/>
          <w:szCs w:val="24"/>
        </w:rPr>
        <w:footnoteReference w:id="2"/>
      </w:r>
      <w:r>
        <w:t>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smernicu Európskeho parlamentu a Rady 2003/87/ES z 13. októbra 2003 o vytvorení systému obchodovania s emisnými kvótami s</w:t>
      </w:r>
      <w:r>
        <w:t>kleníkových plynov v Únii, ktorou sa mení smernica Rady 96/61/ES</w:t>
      </w:r>
      <w:r>
        <w:rPr>
          <w:rStyle w:val="FootnoteReference"/>
          <w:szCs w:val="24"/>
        </w:rPr>
        <w:footnoteReference w:id="3"/>
      </w:r>
      <w:r>
        <w:t>, a najmä na zriadenie inovačného fondu,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Európsku zelenú dohodu, ktorej cieľom je nasmerovať EÚ na cestu k zelenej transformácii s konečným cieľom dosiahnuť klimatickú neutra</w:t>
      </w:r>
      <w:r>
        <w:t>litu do roku 2050,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 xml:space="preserve">so zreteľom na prijatie balíka „Fit </w:t>
      </w:r>
      <w:proofErr w:type="spellStart"/>
      <w:r>
        <w:t>for</w:t>
      </w:r>
      <w:proofErr w:type="spellEnd"/>
      <w:r>
        <w:t xml:space="preserve"> 55“ a návrhy v ňom zahrnuté, najmä návrh na zvýšenie výroby a využívania udržateľných leteckých palív, známy aj ako iniciatíva </w:t>
      </w:r>
      <w:proofErr w:type="spellStart"/>
      <w:r>
        <w:t>ReFuelEU</w:t>
      </w:r>
      <w:proofErr w:type="spellEnd"/>
      <w:r>
        <w:t xml:space="preserve"> </w:t>
      </w:r>
      <w:proofErr w:type="spellStart"/>
      <w:r>
        <w:t>Aviation</w:t>
      </w:r>
      <w:proofErr w:type="spellEnd"/>
      <w:r>
        <w:t>, a návrh na revíziu systémov obchodovania s emisia</w:t>
      </w:r>
      <w:r>
        <w:t>mi (ďalej len „ETS“) v EÚ, pokiaľ ide o emisie CO</w:t>
      </w:r>
      <w:r>
        <w:rPr>
          <w:vertAlign w:val="subscript"/>
        </w:rPr>
        <w:t>2</w:t>
      </w:r>
      <w:r>
        <w:t xml:space="preserve"> z leteckej dopravy,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svoje uznesenie z 9. mája 2023 o novom rámci EÚ pre mestskú mobilitu</w:t>
      </w:r>
      <w:r>
        <w:rPr>
          <w:rStyle w:val="FootnoteReference"/>
          <w:szCs w:val="24"/>
        </w:rPr>
        <w:footnoteReference w:id="4"/>
      </w:r>
      <w:r>
        <w:t>,</w:t>
      </w:r>
    </w:p>
    <w:p w:rsidR="009E0263" w:rsidRDefault="008D6826">
      <w:pPr>
        <w:pStyle w:val="NormalHanging12a"/>
        <w:rPr>
          <w:szCs w:val="24"/>
        </w:rPr>
      </w:pPr>
      <w:r>
        <w:t>–</w:t>
      </w:r>
      <w:r>
        <w:tab/>
        <w:t>so zreteľom na svoje uznesenie z 11. novembra 2015 o letectve</w:t>
      </w:r>
      <w:r>
        <w:rPr>
          <w:rStyle w:val="FootnoteReference"/>
          <w:szCs w:val="24"/>
        </w:rPr>
        <w:footnoteReference w:id="5"/>
      </w:r>
      <w:r>
        <w:t>,</w:t>
      </w:r>
    </w:p>
    <w:p w:rsidR="009E0263" w:rsidRDefault="008D6826">
      <w:pPr>
        <w:pStyle w:val="NormalHanging12a"/>
        <w:rPr>
          <w:bCs/>
          <w:szCs w:val="24"/>
        </w:rPr>
      </w:pPr>
      <w:r>
        <w:t>–</w:t>
      </w:r>
      <w:r>
        <w:rPr>
          <w:b/>
        </w:rPr>
        <w:tab/>
      </w:r>
      <w:r>
        <w:t xml:space="preserve">so zreteľom na svoje </w:t>
      </w:r>
      <w:r>
        <w:t>uznesenie z 10. mája 2012 o budúcnosti regionálnych letísk a leteckých služieb v EÚ</w:t>
      </w:r>
      <w:r>
        <w:rPr>
          <w:rStyle w:val="FootnoteReference"/>
          <w:bCs/>
          <w:szCs w:val="24"/>
        </w:rPr>
        <w:footnoteReference w:id="6"/>
      </w:r>
      <w:r>
        <w:t xml:space="preserve"> a na svoje uznesenie zo 16. februára 2017 o stratégii v oblasti letectva pre Európu</w:t>
      </w:r>
      <w:r>
        <w:rPr>
          <w:rStyle w:val="FootnoteReference"/>
          <w:bCs/>
          <w:szCs w:val="24"/>
        </w:rPr>
        <w:footnoteReference w:id="7"/>
      </w:r>
      <w:r>
        <w:t>,</w:t>
      </w:r>
    </w:p>
    <w:p w:rsidR="009E0263" w:rsidRDefault="008D6826">
      <w:pPr>
        <w:pStyle w:val="NormalHanging12a"/>
        <w:rPr>
          <w:bCs/>
          <w:szCs w:val="24"/>
        </w:rPr>
      </w:pPr>
      <w:r>
        <w:t>–</w:t>
      </w:r>
      <w:r>
        <w:tab/>
        <w:t>so zreteľom na osobitné podmienky osvedčovania Agentúry Európskej únie pre bezpečno</w:t>
      </w:r>
      <w:r>
        <w:t>sť letectva (EASA) SC E-19 pre elektrické/hybridné pohonné systémy,</w:t>
      </w:r>
    </w:p>
    <w:p w:rsidR="009E0263" w:rsidRDefault="008D6826">
      <w:pPr>
        <w:pStyle w:val="NormalHanging12a"/>
      </w:pPr>
      <w:r>
        <w:t>–</w:t>
      </w:r>
      <w:r>
        <w:rPr>
          <w:b/>
        </w:rPr>
        <w:tab/>
      </w:r>
      <w:r>
        <w:t>so zreteľom na článok 54 rokovacieho poriadku,</w:t>
      </w:r>
    </w:p>
    <w:p w:rsidR="009E0263" w:rsidRDefault="008D6826">
      <w:pPr>
        <w:pStyle w:val="NormalHanging12a"/>
      </w:pPr>
      <w:r>
        <w:t>–</w:t>
      </w:r>
      <w:r>
        <w:tab/>
        <w:t>so zreteľom na správu Výboru pre rybárstvo (A9-0438/2023),</w:t>
      </w:r>
    </w:p>
    <w:p w:rsidR="009E0263" w:rsidRDefault="008D6826">
      <w:pPr>
        <w:pStyle w:val="NormalHanging12a"/>
        <w:rPr>
          <w:szCs w:val="24"/>
        </w:rPr>
      </w:pPr>
      <w:r>
        <w:lastRenderedPageBreak/>
        <w:t>A.</w:t>
      </w:r>
      <w:r>
        <w:tab/>
        <w:t>keďže do roku 2019 sa emisie z medzinárodnej leteckej dopravy v porovnaní s</w:t>
      </w:r>
      <w:r>
        <w:t> rokom 1990 zvýšili o 146 %</w:t>
      </w:r>
      <w:r>
        <w:rPr>
          <w:rStyle w:val="FootnoteReference"/>
          <w:szCs w:val="24"/>
        </w:rPr>
        <w:footnoteReference w:id="8"/>
      </w:r>
      <w:r>
        <w:t>; keďže sa očakáva, že tento podiel so zvyšujúcim sa dopytom po leteckej doprave porastie;</w:t>
      </w:r>
    </w:p>
    <w:p w:rsidR="009E0263" w:rsidRDefault="008D6826">
      <w:pPr>
        <w:pStyle w:val="NormalHanging12a"/>
        <w:rPr>
          <w:szCs w:val="24"/>
        </w:rPr>
      </w:pPr>
      <w:r>
        <w:t>B.</w:t>
      </w:r>
      <w:r>
        <w:tab/>
        <w:t>keďže emisie by bolo možné znížiť o 50 – 55 % prechodom na udržateľné letecké palivá, o 30 – 35 % zavádzaním nových technológií, o 5 –</w:t>
      </w:r>
      <w:r>
        <w:t> 10 % optimalizáciou prevádzky lietadiel a infraštruktúry a o 5 % prijatím nových trhových opatrení</w:t>
      </w:r>
      <w:r>
        <w:rPr>
          <w:rStyle w:val="FootnoteReference"/>
          <w:szCs w:val="24"/>
        </w:rPr>
        <w:footnoteReference w:id="9"/>
      </w:r>
      <w:r>
        <w:t>;</w:t>
      </w:r>
    </w:p>
    <w:p w:rsidR="009E0263" w:rsidRDefault="008D6826">
      <w:pPr>
        <w:pStyle w:val="NormalHanging12a"/>
        <w:rPr>
          <w:szCs w:val="24"/>
        </w:rPr>
      </w:pPr>
      <w:r>
        <w:t>C.</w:t>
      </w:r>
      <w:r>
        <w:tab/>
        <w:t>keďže na dosiahnutie požadovaného zníženia emisií do roku 2050 bude musieť byť od roku 2035 nahradených 75 % lietadiel civilného letectva na celom svet</w:t>
      </w:r>
      <w:r>
        <w:t>e;</w:t>
      </w:r>
    </w:p>
    <w:p w:rsidR="009E0263" w:rsidRDefault="008D6826">
      <w:pPr>
        <w:pStyle w:val="NormalHanging12a"/>
        <w:rPr>
          <w:szCs w:val="24"/>
        </w:rPr>
      </w:pPr>
      <w:r>
        <w:t>D.</w:t>
      </w:r>
      <w:r>
        <w:tab/>
        <w:t>keďže dosiahnutie skutočne čistej leteckej dopravy si vyžaduje hlbšiu spoluprácu medzi výskumom, výrobcami, leteckými spoločnosťami, vládami a inými zainteresovanými stranami; keďže podskupina aktérov z leteckého priemyslu už aktívne vyvíja pokročilé</w:t>
      </w:r>
      <w:r>
        <w:t xml:space="preserve"> koncepcie lietadiel</w:t>
      </w:r>
      <w:r>
        <w:rPr>
          <w:rStyle w:val="FootnoteReference"/>
          <w:szCs w:val="24"/>
        </w:rPr>
        <w:footnoteReference w:id="10"/>
      </w:r>
      <w:r>
        <w:t>, ako sú elektrické dopravné prostriedky s vertikálnym vzletom a pristátím (ďalej len „</w:t>
      </w:r>
      <w:proofErr w:type="spellStart"/>
      <w:r>
        <w:t>eVTOL</w:t>
      </w:r>
      <w:proofErr w:type="spellEnd"/>
      <w:r>
        <w:t>“);</w:t>
      </w:r>
    </w:p>
    <w:p w:rsidR="009E0263" w:rsidRDefault="008D6826">
      <w:pPr>
        <w:pStyle w:val="NormalHanging12a"/>
        <w:rPr>
          <w:szCs w:val="24"/>
        </w:rPr>
      </w:pPr>
      <w:r>
        <w:t>E.</w:t>
      </w:r>
      <w:r>
        <w:tab/>
        <w:t>keďže Spoločný podnik pre čisté letectvo (ďalej len „CAJU“) je popredným výskumným a inovačným programom EÚ zameraným na transformáciu l</w:t>
      </w:r>
      <w:r>
        <w:t>etectva smerom k udržateľnej budúcnosti; keďže CAJU a EASA spolupracujú na úprave systému certifikácie podľa noriem pre novú generáciu lietadiel;</w:t>
      </w:r>
    </w:p>
    <w:p w:rsidR="009E0263" w:rsidRDefault="008D6826">
      <w:pPr>
        <w:pStyle w:val="NormalHanging12a"/>
        <w:rPr>
          <w:szCs w:val="24"/>
        </w:rPr>
      </w:pPr>
      <w:r>
        <w:t>F.</w:t>
      </w:r>
      <w:r>
        <w:tab/>
        <w:t>keďže malé elektrické testovacie lietadlá s maximálne deviatimi sedadlami už lietajú v rôznych regiónoch EÚ</w:t>
      </w:r>
      <w:r>
        <w:t>; keďže prevádzka elektrických lietadiel s až 30 sedadlami je naplánovaná na koniec 20. rokov 20. storočia a regionálnych lietadiel na 30. roky 20. storočia</w:t>
      </w:r>
      <w:r>
        <w:rPr>
          <w:rStyle w:val="FootnoteReference"/>
          <w:szCs w:val="24"/>
        </w:rPr>
        <w:footnoteReference w:id="11"/>
      </w:r>
      <w:r>
        <w:t>; keďže prvá flotila elektrických lietadiel certifikovaných EASA</w:t>
      </w:r>
      <w:r>
        <w:rPr>
          <w:rStyle w:val="FootnoteReference"/>
          <w:szCs w:val="24"/>
        </w:rPr>
        <w:footnoteReference w:id="12"/>
      </w:r>
      <w:r>
        <w:t xml:space="preserve"> sa už zaoberá výcvikom pilotov v </w:t>
      </w:r>
      <w:r>
        <w:t xml:space="preserve">bezpečnom a ekologickom prostredí; keďže na niekoľko modelov lietadiel </w:t>
      </w:r>
      <w:proofErr w:type="spellStart"/>
      <w:r>
        <w:t>eVTOL</w:t>
      </w:r>
      <w:proofErr w:type="spellEnd"/>
      <w:r>
        <w:t xml:space="preserve"> už bola podaná žiadosť o typové osvedčenie;</w:t>
      </w:r>
    </w:p>
    <w:p w:rsidR="009E0263" w:rsidRDefault="008D6826">
      <w:pPr>
        <w:pStyle w:val="NormalHanging12a"/>
        <w:rPr>
          <w:szCs w:val="24"/>
        </w:rPr>
      </w:pPr>
      <w:r>
        <w:t>G.</w:t>
      </w:r>
      <w:r>
        <w:tab/>
        <w:t>keďže EASA navrhla pravidlá bezpečnej prevádzky lietadiel s vertikálnym vzletom a pristátím (VTOL), ktoré zahŕňajú aerotaxi, a kompl</w:t>
      </w:r>
      <w:r>
        <w:t>exný súbor prevádzkových požiadaviek na riadené elektrické aerotaxi, ktoré sa vzťahujú na operačnú doménu, udeľovanie preukazov spôsobilosti letovej posádke a pravidlá týkajúce sa manažmentu letovej prevádzky a systému riadenia vzduchu;</w:t>
      </w:r>
    </w:p>
    <w:p w:rsidR="009E0263" w:rsidRDefault="008D6826">
      <w:pPr>
        <w:pStyle w:val="NormalHanging12a"/>
        <w:rPr>
          <w:szCs w:val="24"/>
        </w:rPr>
      </w:pPr>
      <w:r>
        <w:t>H.</w:t>
      </w:r>
      <w:r>
        <w:tab/>
        <w:t>keďže elektrická</w:t>
      </w:r>
      <w:r>
        <w:t xml:space="preserve"> a hybridná elektrická letecká doprava by mohla posilniť mestskú a regionálnu leteckú mobilitu a prepojenie a ponúknuť celý rad inovačných riešení v oblasti verejnej dopravy; keďže medzičasom sa tiež pripravujú plány na rozsiahly vzlet lietadiel na vodíkov</w:t>
      </w:r>
      <w:r>
        <w:t>ý pohon do roku 2035;</w:t>
      </w:r>
    </w:p>
    <w:p w:rsidR="009E0263" w:rsidRDefault="008D6826">
      <w:pPr>
        <w:pStyle w:val="NormalHanging12a"/>
        <w:rPr>
          <w:szCs w:val="24"/>
        </w:rPr>
      </w:pPr>
      <w:r>
        <w:t>I.</w:t>
      </w:r>
      <w:r>
        <w:tab/>
        <w:t xml:space="preserve">keďže elektrická a hybridná elektrická letecká doprava zlepší konkurencieschopné časy letov na kratšie vzdialenosti vďaka rýchlejšiemu presunu; keďže elektrické lietadlá </w:t>
      </w:r>
      <w:r>
        <w:lastRenderedPageBreak/>
        <w:t>prepravia menej cestujúcich v malých lietadlách, čo bude znam</w:t>
      </w:r>
      <w:r>
        <w:t>enať menej času stráveného nastupovaním cestujúcich do lietadla a úkonmi pozemnej obsluhy;</w:t>
      </w:r>
    </w:p>
    <w:p w:rsidR="009E0263" w:rsidRDefault="008D6826">
      <w:pPr>
        <w:pStyle w:val="NormalHanging12a"/>
        <w:rPr>
          <w:szCs w:val="24"/>
        </w:rPr>
      </w:pPr>
      <w:r>
        <w:t>J.</w:t>
      </w:r>
      <w:r>
        <w:tab/>
        <w:t>keďže EÚ je svedkom rýchleho rozvoja technológie batérií, pokiaľ ide o objem výroby aj výdavky na vývoj;</w:t>
      </w:r>
    </w:p>
    <w:p w:rsidR="009E0263" w:rsidRDefault="008D6826">
      <w:pPr>
        <w:pStyle w:val="NormalHanging12a"/>
        <w:rPr>
          <w:szCs w:val="24"/>
        </w:rPr>
      </w:pPr>
      <w:r>
        <w:t>K.</w:t>
      </w:r>
      <w:r>
        <w:tab/>
        <w:t>keďže úspech veľmi zložitých projektov výskumu a vývoj</w:t>
      </w:r>
      <w:r>
        <w:t>a v oblasti čistého letectva priamo závisí od finančnej a politickej podpory vrátane podpory inštitúcií EÚ a členských štátov; keďže sa vytvorili viaceré aliancie pre čisté letectvo, ako je aliancia pre letectvo s nulovými emisiami, ktorá v súčasnosti prac</w:t>
      </w:r>
      <w:r>
        <w:t>uje na plánoch projektov, ale potrebujú účinnú podporu EÚ; keďže verejné stimuly pre tieto projekty sú kľúčom k prilákaniu súkromných investícií;</w:t>
      </w:r>
    </w:p>
    <w:p w:rsidR="009E0263" w:rsidRDefault="008D6826">
      <w:pPr>
        <w:pStyle w:val="NormalHanging12a"/>
        <w:rPr>
          <w:szCs w:val="24"/>
        </w:rPr>
      </w:pPr>
      <w:r>
        <w:t>L.</w:t>
      </w:r>
      <w:r>
        <w:tab/>
        <w:t>keďže v nadchádzajúcich rokoch budú potrebné investície členských štátov do elektrického napájania lietadie</w:t>
      </w:r>
      <w:r>
        <w:t>l na stojisku, aby sa splnili ciele stanovené v nariadení Európskeho parlamentu a Rady (EÚ) 2023/1804 z 13. septembra 2023 o zavádzaní infraštruktúry pre alternatívne palivá</w:t>
      </w:r>
      <w:r>
        <w:rPr>
          <w:rStyle w:val="FootnoteReference"/>
          <w:szCs w:val="24"/>
        </w:rPr>
        <w:footnoteReference w:id="13"/>
      </w:r>
      <w:r>
        <w:t>, ktoré by sa mohlo stať odrazovým mostíkom k budúcemu zavádzaniu nabíjacej infraš</w:t>
      </w:r>
      <w:r>
        <w:t>truktúry pre elektrické lietadlá;</w:t>
      </w:r>
    </w:p>
    <w:p w:rsidR="009E0263" w:rsidRDefault="008D6826">
      <w:pPr>
        <w:pStyle w:val="NormalHanging12a"/>
        <w:rPr>
          <w:szCs w:val="24"/>
        </w:rPr>
      </w:pPr>
      <w:r>
        <w:t>M.</w:t>
      </w:r>
      <w:r>
        <w:tab/>
        <w:t>keďže výpočet uhlíkovej stopy leteckej dopravy na elektrický a vodíkový pohon musí vychádzať z celého životného cyklu vrátane zdroja výroby energie a výroby batérií;</w:t>
      </w:r>
    </w:p>
    <w:p w:rsidR="009E0263" w:rsidRDefault="008D6826">
      <w:pPr>
        <w:pStyle w:val="NormalHanging12a"/>
        <w:rPr>
          <w:szCs w:val="24"/>
        </w:rPr>
      </w:pPr>
      <w:r>
        <w:t>N.</w:t>
      </w:r>
      <w:r>
        <w:tab/>
        <w:t xml:space="preserve">keďže napriek tomu, že odvetvie leteckej dopravy </w:t>
      </w:r>
      <w:r>
        <w:t>jasne pripomenulo svoju zraniteľnosť voči pandémiám, geopolitike a hospodárskym otrasom, preukázalo svoju kľúčovú úlohu pri udržiavaní neprerušeného dodávateľského reťazca, najmä pokiaľ ide o základný tovar;</w:t>
      </w:r>
    </w:p>
    <w:p w:rsidR="009E0263" w:rsidRDefault="008D6826">
      <w:pPr>
        <w:pStyle w:val="NormalHanging12a"/>
        <w:rPr>
          <w:szCs w:val="24"/>
        </w:rPr>
      </w:pPr>
      <w:r>
        <w:t>O.</w:t>
      </w:r>
      <w:r>
        <w:tab/>
        <w:t>keďže zelené a digitálne zručnosti v technick</w:t>
      </w:r>
      <w:r>
        <w:t>om vzdelávaní a odborných znalostiach, ako sú letecké technológie a inžinierstvo, veda a matematika, sú nevyhnutné pre udržateľný rozvoj letectva a vytvárajú atraktívne pracovné miesta pre mladých ľudí;</w:t>
      </w:r>
    </w:p>
    <w:p w:rsidR="009E0263" w:rsidRDefault="008D6826">
      <w:pPr>
        <w:pStyle w:val="NormalHanging12a"/>
      </w:pPr>
      <w:r>
        <w:t>P.</w:t>
      </w:r>
      <w:r>
        <w:tab/>
        <w:t>keďže bezpečnosť musí byť absolútnou prioritou v l</w:t>
      </w:r>
      <w:r>
        <w:t>eteckej doprave;</w:t>
      </w:r>
    </w:p>
    <w:p w:rsidR="009E0263" w:rsidRDefault="008D6826">
      <w:pPr>
        <w:pStyle w:val="NormalHanging12a"/>
        <w:rPr>
          <w:b/>
          <w:i/>
        </w:rPr>
      </w:pPr>
      <w:r>
        <w:rPr>
          <w:b/>
          <w:i/>
        </w:rPr>
        <w:t>Výhody elektrifikácie lietadiel</w:t>
      </w:r>
    </w:p>
    <w:p w:rsidR="009E0263" w:rsidRDefault="008D6826">
      <w:pPr>
        <w:pStyle w:val="NormalHanging12a"/>
      </w:pPr>
      <w:r>
        <w:t>1.</w:t>
      </w:r>
      <w:r>
        <w:tab/>
        <w:t xml:space="preserve">berie na vedomie význam regionálnych letísk v Únii pre prevádzku elektrických lietadiel na krátke a stredné vzdialenosti; zdôrazňuje potenciál regionálnych letísk ako </w:t>
      </w:r>
      <w:proofErr w:type="spellStart"/>
      <w:r>
        <w:t>multimodálnych</w:t>
      </w:r>
      <w:proofErr w:type="spellEnd"/>
      <w:r>
        <w:t xml:space="preserve"> inovačných uzlov a mal</w:t>
      </w:r>
      <w:r>
        <w:t xml:space="preserve">ých a stredných podnikov (MSP) v rámci celého dodávateľského reťazca, ktoré sú prospešné pre výskum a hospodársku súťaž nielen v odvetví leteckej dopravy, ale aj v iných odvetviach dopravy, ako je cestná, námorná a železničná doprava; žiada preto Komisiu, </w:t>
      </w:r>
      <w:r>
        <w:t>aby potvrdila svoju finančnú podporu regionálnym letiskám, najmä tým, ktoré aktívne pôsobia v oblasti elektrického letectva;</w:t>
      </w:r>
    </w:p>
    <w:p w:rsidR="009E0263" w:rsidRDefault="008D6826">
      <w:pPr>
        <w:pStyle w:val="NormalHanging12a"/>
        <w:rPr>
          <w:szCs w:val="24"/>
        </w:rPr>
      </w:pPr>
      <w:r>
        <w:t>2.</w:t>
      </w:r>
      <w:r>
        <w:tab/>
        <w:t>domnieva sa, že čistejšie, rýchlejšie a pohodlnejšie možnosti leteckej dopravy by zvýšili prepojenosť a dostupnosť v menších, iz</w:t>
      </w:r>
      <w:r>
        <w:t>olovanejších a riedko osídlených oblastiach vrátane ostrovných a najvzdialenejších regiónov, a to najmä pokiaľ ide o prístup k verejným službám, vytváranie pracovných príležitostí a udržateľnejší cestovný ruch;</w:t>
      </w:r>
    </w:p>
    <w:p w:rsidR="009E0263" w:rsidRDefault="008D6826">
      <w:pPr>
        <w:pStyle w:val="NormalHanging12a"/>
        <w:rPr>
          <w:szCs w:val="24"/>
        </w:rPr>
      </w:pPr>
      <w:r>
        <w:t>3.</w:t>
      </w:r>
      <w:r>
        <w:tab/>
        <w:t>konštatuje, že pre najvzdialenejšie región</w:t>
      </w:r>
      <w:r>
        <w:t xml:space="preserve">y bude náročné prepojiť sa s európskou </w:t>
      </w:r>
      <w:r>
        <w:lastRenderedPageBreak/>
        <w:t>pevninou prostredníctvom elektrickej leteckej dopravy z dôvodu ich odľahlosti a obmedzenej kapacity batérie lietadiel; zdôrazňuje však potenciál elektrickej leteckej dopravy pri zabezpečovaní prepojenia medzi najvzdia</w:t>
      </w:r>
      <w:r>
        <w:t>lenejšími regiónmi, ktoré by prispelo k ich rozvoju a čiastočne zmiernilo nepriaznivé dôsledky pre ich hospodárstvo vyplývajúce z ich zložitej topografie; zdôrazňuje potrebu finančnej, vecnej a technickej podpory pre okrajové regióny s cieľom zabezpečiť, a</w:t>
      </w:r>
      <w:r>
        <w:t xml:space="preserve">by sa infraštruktúra potrebná na rýchle a spoľahlivé nabíjanie batérií, údržbu lietadiel </w:t>
      </w:r>
      <w:proofErr w:type="spellStart"/>
      <w:r>
        <w:t>eVTOL</w:t>
      </w:r>
      <w:proofErr w:type="spellEnd"/>
      <w:r>
        <w:t xml:space="preserve"> a odbornú prípravu vysokokvalifikovaných technikov a prevádzkovateľov vyvíjala primeraným tempom;</w:t>
      </w:r>
    </w:p>
    <w:p w:rsidR="009E0263" w:rsidRDefault="008D6826">
      <w:pPr>
        <w:pStyle w:val="NormalHanging12a"/>
        <w:rPr>
          <w:szCs w:val="24"/>
        </w:rPr>
      </w:pPr>
      <w:r>
        <w:t>4.</w:t>
      </w:r>
      <w:r>
        <w:tab/>
        <w:t>zdôrazňuje, že v prípade geografických prekážok môže byť úsp</w:t>
      </w:r>
      <w:r>
        <w:t>ora času pri využívaní elektrických lietadiel ako nového prostriedku verejnej dopravy, ktorý nie je závislý od existujúcich ciest alebo železničných tratí, značná; odkazuje na skúsenosti severských krajín, v ktorých sa spájajú geografické oblasti charakter</w:t>
      </w:r>
      <w:r>
        <w:t>izované fjordmi, jazerami a horami a nízkou hustotou obyvateľstva so silným zameraním na udržateľnú energiu</w:t>
      </w:r>
      <w:r>
        <w:rPr>
          <w:rStyle w:val="FootnoteReference"/>
          <w:szCs w:val="24"/>
        </w:rPr>
        <w:footnoteReference w:id="14"/>
      </w:r>
      <w:r>
        <w:t>, ako aj skúsenosti najvzdialenejších regiónov, ktoré sa vyznačujú ich ostrovným charakterom, odľahlosťou, malou rozlohou a náročnými topografickými</w:t>
      </w:r>
      <w:r>
        <w:t xml:space="preserve"> a klimatickými podmienkami; žiada Komisiu, aby tento potenciál preskúmala v úzkej spolupráci s príslušnými regiónmi a členskými štátmi;</w:t>
      </w:r>
    </w:p>
    <w:p w:rsidR="009E0263" w:rsidRDefault="008D6826">
      <w:pPr>
        <w:pStyle w:val="NormalHanging12a"/>
        <w:rPr>
          <w:szCs w:val="24"/>
        </w:rPr>
      </w:pPr>
      <w:r>
        <w:t>5.</w:t>
      </w:r>
      <w:r>
        <w:tab/>
        <w:t xml:space="preserve">domnieva sa, že elektrifikácia regionálnej leteckej dopravy by mohla posilniť hospodársku životaschopnosť zrušených </w:t>
      </w:r>
      <w:r>
        <w:t>leteckých spojení, zlepšiť prepojenosť, podporiť regionálny rozvoj a prilákať nové regionálne investície; zdôrazňuje dôveryhodné vyhliadky hybridizácie vzhľadom na regionálne obmedzenia leteckej dopravy súvisiace s autonómiou a počtom cestujúcich;</w:t>
      </w:r>
    </w:p>
    <w:p w:rsidR="009E0263" w:rsidRDefault="008D6826">
      <w:pPr>
        <w:pStyle w:val="NormalHanging12a"/>
        <w:rPr>
          <w:szCs w:val="24"/>
        </w:rPr>
      </w:pPr>
      <w:r>
        <w:t>6.</w:t>
      </w:r>
      <w:r>
        <w:tab/>
        <w:t>opaku</w:t>
      </w:r>
      <w:r>
        <w:t xml:space="preserve">je víziu Komisie vyjadrenú v stratégii Komisie v oblasti </w:t>
      </w:r>
      <w:proofErr w:type="spellStart"/>
      <w:r>
        <w:t>dronov</w:t>
      </w:r>
      <w:proofErr w:type="spellEnd"/>
      <w:r>
        <w:t xml:space="preserve"> 2.0, že </w:t>
      </w:r>
      <w:proofErr w:type="spellStart"/>
      <w:r>
        <w:t>eVTOL</w:t>
      </w:r>
      <w:proofErr w:type="spellEnd"/>
      <w:r>
        <w:t xml:space="preserve"> sa má stať základným prvkom osobnej dopravy do roku 2030 tým, že sa integruje do existujúcich dopravných systémov a prispeje k dekarbonizácii EÚ a zároveň minimalizuje akékoľvek </w:t>
      </w:r>
      <w:r>
        <w:t>nepriaznivé vplyvy na životné prostredie</w:t>
      </w:r>
      <w:r>
        <w:rPr>
          <w:rStyle w:val="FootnoteReference"/>
          <w:szCs w:val="24"/>
        </w:rPr>
        <w:footnoteReference w:id="15"/>
      </w:r>
      <w:r>
        <w:t xml:space="preserve">; zdôrazňuje skutočnosť, že napriek rýchlemu technologickému vývoju sú </w:t>
      </w:r>
      <w:proofErr w:type="spellStart"/>
      <w:r>
        <w:t>eVTOL</w:t>
      </w:r>
      <w:proofErr w:type="spellEnd"/>
      <w:r>
        <w:t xml:space="preserve"> v súčasnosti stále obmedzené na šesť sedadiel, zatiaľ čo elektrické lietadlá s pevnými krídlami sú už schopné prepravovať viac cestujúcich</w:t>
      </w:r>
      <w:r>
        <w:t xml:space="preserve"> na existujúcich aj nových mestských leteckých trasách; vyzýva Komisiu, aby rozlišovala medzi týmito dvoma možnosťami, keďže používajú rôzne technológie a slúžia rôznym trhom; je presvedčený, že </w:t>
      </w:r>
      <w:proofErr w:type="spellStart"/>
      <w:r>
        <w:t>eVTOL</w:t>
      </w:r>
      <w:proofErr w:type="spellEnd"/>
      <w:r>
        <w:t xml:space="preserve"> aj elektrické lietadlá s pevnými krídlami sa musia pova</w:t>
      </w:r>
      <w:r>
        <w:t>žovať za doplnkové formy novej mestskej leteckej mobility;</w:t>
      </w:r>
    </w:p>
    <w:p w:rsidR="009E0263" w:rsidRDefault="008D6826">
      <w:pPr>
        <w:pStyle w:val="NormalHanging12a"/>
        <w:rPr>
          <w:szCs w:val="24"/>
        </w:rPr>
      </w:pPr>
      <w:r>
        <w:t>7.</w:t>
      </w:r>
      <w:r>
        <w:tab/>
        <w:t>zdôrazňuje, že lietadlá s elektrickými motormi spôsobujú takmer nulové prevádzkové znečistenie, čo znamená zníženie miestnych emisií, ktoré by mohli nepriaznivo ovplyvniť zdravie občanov žijúcic</w:t>
      </w:r>
      <w:r>
        <w:t xml:space="preserve">h v blízkosti letísk; domnieva sa preto, že najmä pre lietadlá s nízkymi decibelmi by mali byť postupy na získanie povolení súvisiacich s hlukom alebo výnimiek z obmedzení letov zjednodušené; zdôrazňuje, že zníženie hluku dosiahnuté prostredníctvom </w:t>
      </w:r>
      <w:proofErr w:type="spellStart"/>
      <w:r>
        <w:t>nízkode</w:t>
      </w:r>
      <w:r>
        <w:t>cibelového</w:t>
      </w:r>
      <w:proofErr w:type="spellEnd"/>
      <w:r>
        <w:t xml:space="preserve"> elektrického letectva môže zlepšiť situáciu niektorých letísk a neďalekých obytných oblastí;</w:t>
      </w:r>
    </w:p>
    <w:p w:rsidR="009E0263" w:rsidRDefault="008D6826">
      <w:pPr>
        <w:pStyle w:val="NormalHanging12a"/>
        <w:rPr>
          <w:szCs w:val="24"/>
        </w:rPr>
      </w:pPr>
      <w:r>
        <w:t>8.</w:t>
      </w:r>
      <w:r>
        <w:tab/>
        <w:t xml:space="preserve">zdôrazňuje, že je potrebné využiť potenciál výrazne nižších hladín hluku elektrických a </w:t>
      </w:r>
      <w:r>
        <w:lastRenderedPageBreak/>
        <w:t>hybridných elektrických lietadiel; naliehavo vyzýva priemysel</w:t>
      </w:r>
      <w:r>
        <w:t>, aby využil prácu EASA pri definovaní prvej technickej špecifikácie ochrany životného prostredia</w:t>
      </w:r>
      <w:r>
        <w:rPr>
          <w:rStyle w:val="FootnoteReference"/>
          <w:szCs w:val="24"/>
        </w:rPr>
        <w:footnoteReference w:id="16"/>
      </w:r>
      <w:r>
        <w:t xml:space="preserve"> pre posudzovanie hluku určitých lietadiel </w:t>
      </w:r>
      <w:proofErr w:type="spellStart"/>
      <w:r>
        <w:t>eVTOL</w:t>
      </w:r>
      <w:proofErr w:type="spellEnd"/>
      <w:r>
        <w:t>, ktorej cieľom je poskytnúť európskym občanom vysokú a jednotnú úroveň ochrany životného prostredia a uľahčiť</w:t>
      </w:r>
      <w:r>
        <w:t xml:space="preserve"> ich integráciu do leteckého ekosystému a mestského prostredia;</w:t>
      </w:r>
    </w:p>
    <w:p w:rsidR="009E0263" w:rsidRDefault="008D6826">
      <w:pPr>
        <w:pStyle w:val="NormalHanging12a"/>
        <w:rPr>
          <w:szCs w:val="24"/>
        </w:rPr>
      </w:pPr>
      <w:r>
        <w:t>9.</w:t>
      </w:r>
      <w:r>
        <w:tab/>
        <w:t xml:space="preserve">je pevne presvedčený, že elektrické a hybridné elektrické lietadlá majú významný potenciál na zníženie emisií skleníkových plynov v leteckej doprave a nové možnosti mestskej mobility; víta </w:t>
      </w:r>
      <w:r>
        <w:t xml:space="preserve">prácu, ktorú doteraz vykonala EASA na lietadlách </w:t>
      </w:r>
      <w:proofErr w:type="spellStart"/>
      <w:r>
        <w:t>eVTOL</w:t>
      </w:r>
      <w:proofErr w:type="spellEnd"/>
      <w:r>
        <w:t>, ktoré slúžia ako aerotaxi, na návrhu potrebnej pozemnej infraštruktúry pre bezpečnú prevádzku mestskej leteckej mobility</w:t>
      </w:r>
      <w:r>
        <w:rPr>
          <w:rStyle w:val="FootnoteReference"/>
          <w:szCs w:val="24"/>
        </w:rPr>
        <w:footnoteReference w:id="17"/>
      </w:r>
      <w:r>
        <w:t xml:space="preserve"> a na úprave regulačného rámca v oblasti letectva s cieľom uľahčiť vstup lietad</w:t>
      </w:r>
      <w:r>
        <w:t>iel, ktoré používajú elektrický a vodíkový pohon, na trh; zdôrazňuje kľúčovú úlohu EASA pri osvedčovaní týchto typov lietadiel, pretože by mohla urýchliť ich vývoj; podporuje komercializáciu lietadiel šetrných k životnému prostrediu využívajúcich alternatí</w:t>
      </w:r>
      <w:r>
        <w:t>vne technológie pohonu s cieľom doplniť opatrenia zavedené v rámci iniciatív v oblasti udržateľných leteckých palív; vyzýva Komisiu, aby v budúcnosti prijala opatrenia, ktoré zabezpečia, aby elektrické lety slúžili na krátke regionálne trasy na účely záväz</w:t>
      </w:r>
      <w:r>
        <w:t>kov vyplývajúci zo služieb vo verejnom záujme podľa platných pravidiel EÚ;</w:t>
      </w:r>
    </w:p>
    <w:p w:rsidR="009E0263" w:rsidRDefault="008D6826">
      <w:pPr>
        <w:pStyle w:val="NormalHanging12a"/>
        <w:rPr>
          <w:b/>
          <w:i/>
        </w:rPr>
      </w:pPr>
      <w:r>
        <w:rPr>
          <w:b/>
          <w:i/>
        </w:rPr>
        <w:t>Investície do budúcnosti</w:t>
      </w:r>
    </w:p>
    <w:p w:rsidR="009E0263" w:rsidRDefault="008D6826">
      <w:pPr>
        <w:pStyle w:val="NormalHanging12a"/>
      </w:pPr>
      <w:r>
        <w:t>10.</w:t>
      </w:r>
      <w:r>
        <w:tab/>
        <w:t>domnieva sa, že zatiaľ čo lety na krátke a stredné vzdialenosti tvoria len zlomok emisií, každá elektrifikovaná trasa predstavuje zníženie klimatickej a</w:t>
      </w:r>
      <w:r>
        <w:t> environmentálnej stopy leteckej dopravy a je hodnotnou investíciou; trvá na tom, že združovanie potrebných investícií sa musí začať už teraz;</w:t>
      </w:r>
    </w:p>
    <w:p w:rsidR="009E0263" w:rsidRDefault="008D6826">
      <w:pPr>
        <w:pStyle w:val="NormalHanging12a"/>
      </w:pPr>
      <w:r>
        <w:t>11.</w:t>
      </w:r>
      <w:r>
        <w:tab/>
        <w:t>domnieva sa, že ciele v oblasti nízkych a nulových emisií sa dosiahnu aj pomocou hybridných elektrických tech</w:t>
      </w:r>
      <w:r>
        <w:t>nológií vyvinutých pre regionálne a medzinárodné lety na krátke a stredné vzdialenosti prevádzkované na účely komerčnej leteckej dopravy aj leteckej dopravy na obchodné účely, a vyzýva na potrebné investície do výskumu a vývoja v oblasti navrhovania lietad</w:t>
      </w:r>
      <w:r>
        <w:t>iel a pohonných systémov, batérií a iných hybridných riešení; konštatuje, že v súvislosti s komercializáciou elektrického letectva by členské štáty mali zvážiť revíziu svojich právnych predpisov zakazujúcich lety na krátke a stredné vzdialenosti;</w:t>
      </w:r>
    </w:p>
    <w:p w:rsidR="009E0263" w:rsidRDefault="008D6826">
      <w:pPr>
        <w:pStyle w:val="NormalHanging12a"/>
        <w:rPr>
          <w:szCs w:val="24"/>
        </w:rPr>
      </w:pPr>
      <w:r>
        <w:t>12.</w:t>
      </w:r>
      <w:r>
        <w:tab/>
        <w:t>konšt</w:t>
      </w:r>
      <w:r>
        <w:t>atuje, že zásadné potreby súvisiace s výmenou lietadiel civilného letectva predstavujú výzvu a vyžadujú si značné finančné investície a zároveň predstavujú významnú trhovú príležitosť, ktorá by mohla viesť k vytváraniu nových pracovných miest a zručností p</w:t>
      </w:r>
      <w:r>
        <w:t>re celé odvetvie dopravy v Európe;</w:t>
      </w:r>
    </w:p>
    <w:p w:rsidR="009E0263" w:rsidRDefault="008D6826">
      <w:pPr>
        <w:pStyle w:val="NormalHanging12a"/>
        <w:rPr>
          <w:szCs w:val="24"/>
        </w:rPr>
      </w:pPr>
      <w:r>
        <w:t>13.</w:t>
      </w:r>
      <w:r>
        <w:tab/>
        <w:t xml:space="preserve">trvá na tom, že rozvoj elektrickej leteckej dopravy na komerčné využitie si vyžaduje účinnú finančnú a regulačnú podporu na vnútroštátnej úrovni aj na úrovni EÚ; zdôrazňuje veľmi pozitívne výsledky dosiahnuté pomocou </w:t>
      </w:r>
      <w:r>
        <w:t xml:space="preserve">verejného obstarávania </w:t>
      </w:r>
      <w:r>
        <w:lastRenderedPageBreak/>
        <w:t>a považuje ho za účinný nástroj na elektrifikáciu odvetvia bez narušenia trhu;</w:t>
      </w:r>
    </w:p>
    <w:p w:rsidR="009E0263" w:rsidRDefault="008D6826">
      <w:pPr>
        <w:pStyle w:val="NormalHanging12a"/>
        <w:rPr>
          <w:szCs w:val="24"/>
        </w:rPr>
      </w:pPr>
      <w:r>
        <w:t>14.</w:t>
      </w:r>
      <w:r>
        <w:tab/>
        <w:t>vyzýva členské štáty, aby preskúmali trhové stimuly a prínosy pre príslušných výrobcov elektrických lietadiel, prevádzkovateľov a MSP s cieľom podpori</w:t>
      </w:r>
      <w:r>
        <w:t>ť vývoj a prijatie tejto ekologickej technológie; domnieva sa, že tieto stimuly a výhody pre elektrické letecké komponenty, elektrickú energiu a emisné kredity môžu stimulovať rast trhu;</w:t>
      </w:r>
    </w:p>
    <w:p w:rsidR="009E0263" w:rsidRDefault="008D6826">
      <w:pPr>
        <w:pStyle w:val="NormalHanging12a"/>
        <w:rPr>
          <w:szCs w:val="24"/>
        </w:rPr>
      </w:pPr>
      <w:r>
        <w:t>15.</w:t>
      </w:r>
      <w:r>
        <w:tab/>
        <w:t>konštatuje, že v celej Európe sa prevádzkuje mnoho letov na krátk</w:t>
      </w:r>
      <w:r>
        <w:t xml:space="preserve">e a stredné vzdialenosti; vyzýva Komisiu, aby v spolupráci s </w:t>
      </w:r>
      <w:proofErr w:type="spellStart"/>
      <w:r>
        <w:t>Eurocontrolom</w:t>
      </w:r>
      <w:proofErr w:type="spellEnd"/>
      <w:r>
        <w:t xml:space="preserve"> a EASA určila letové trasy, ktoré sú najvhodnejšie na úplnú elektrifikáciu a ktoré by viedli k výraznejšiemu zníženiu emisií CO</w:t>
      </w:r>
      <w:r>
        <w:rPr>
          <w:vertAlign w:val="superscript"/>
        </w:rPr>
        <w:t>2</w:t>
      </w:r>
      <w:r>
        <w:t>, pretože to pomôže príslušným letiskám začať s potre</w:t>
      </w:r>
      <w:r>
        <w:t>bnými úpravami; zdôrazňuje, že vodík môže zohrávať významnú úlohu pri znižovaní emisií; poukazuje na to, že spoločnosti vkladajú svoje nádeje do elektrických lietadiel v prípade menších riešení a do lietadiel na vodíkový pohon v prípade väčších riešení;</w:t>
      </w:r>
    </w:p>
    <w:p w:rsidR="009E0263" w:rsidRDefault="008D6826">
      <w:pPr>
        <w:pStyle w:val="NormalHanging12a"/>
        <w:rPr>
          <w:szCs w:val="24"/>
        </w:rPr>
      </w:pPr>
      <w:r>
        <w:t>16</w:t>
      </w:r>
      <w:r>
        <w:t>.</w:t>
      </w:r>
      <w:r>
        <w:tab/>
        <w:t xml:space="preserve">považuje za potrebné preskúmať možnosť úpravy existujúcich pravidiel EÚ štátnej pomoci s cieľom umožniť vytvorenie cieleného investičného rámca, ktorý bude vychádzať z verejného a súkromného financovania na podporu vznikajúceho odvetvia </w:t>
      </w:r>
      <w:proofErr w:type="spellStart"/>
      <w:r>
        <w:t>eVTOL</w:t>
      </w:r>
      <w:proofErr w:type="spellEnd"/>
      <w:r>
        <w:t xml:space="preserve"> náročného n</w:t>
      </w:r>
      <w:r>
        <w:t xml:space="preserve">a zdroje s cieľom posilniť strategickú autonómiu Európy v tejto oblasti, keďže </w:t>
      </w:r>
      <w:proofErr w:type="spellStart"/>
      <w:r>
        <w:t>eVTOL</w:t>
      </w:r>
      <w:proofErr w:type="spellEnd"/>
      <w:r>
        <w:t xml:space="preserve"> sa musia stať strategickou súčasťou odvetvia dopravy;</w:t>
      </w:r>
    </w:p>
    <w:p w:rsidR="009E0263" w:rsidRDefault="008D6826">
      <w:pPr>
        <w:pStyle w:val="NormalHanging12a"/>
        <w:rPr>
          <w:szCs w:val="24"/>
        </w:rPr>
      </w:pPr>
      <w:r>
        <w:t>17.</w:t>
      </w:r>
      <w:r>
        <w:tab/>
        <w:t>domnieva sa, že spoločnosti EÚ pôsobiace v oblasti elektrifikácie odvetvia leteckej dopravy by mali užšie spolupr</w:t>
      </w:r>
      <w:r>
        <w:t xml:space="preserve">acovať s vnútroštátnymi orgánmi a orgánmi EÚ s cieľom vytvoriť integrovaný technický plán a zaviesť spoločné výskumné programy; víta prácu vykonanú v rámci aliancie pre letectvo s nulovými emisiami; zdôrazňuje, že táto spolupráca je nevyhnutná pre to, aby </w:t>
      </w:r>
      <w:r>
        <w:t>si EÚ udržala vedúce postavenie v priemysle a konkurencieschopnosť na medzinárodnej scéne;</w:t>
      </w:r>
    </w:p>
    <w:p w:rsidR="009E0263" w:rsidRDefault="008D6826">
      <w:pPr>
        <w:pStyle w:val="NormalHanging12a"/>
        <w:rPr>
          <w:szCs w:val="24"/>
        </w:rPr>
      </w:pPr>
      <w:r>
        <w:t>18.</w:t>
      </w:r>
      <w:r>
        <w:tab/>
        <w:t>konštatuje, že menšie elektrické lietadlá sa môžu prevádzkovať z existujúcich kratších a jednoduchších vzletových a pristávacích dráh, čo by mohlo v budúcnosti z</w:t>
      </w:r>
      <w:r>
        <w:t>nížiť potrebu rozsiahlej a nákladnej infraštruktúry;</w:t>
      </w:r>
    </w:p>
    <w:p w:rsidR="009E0263" w:rsidRDefault="008D6826">
      <w:pPr>
        <w:pStyle w:val="NormalHanging12a"/>
      </w:pPr>
      <w:r>
        <w:t>19.</w:t>
      </w:r>
      <w:r>
        <w:tab/>
        <w:t>zdôrazňuje, že plánovanie a pripravenosť energetickej infraštruktúry je kľúčovým faktorom pri rozhodovaní o využívaní elektrickej leteckej dopravy a leteckej dopravy na báze vodíka, keďže zaviesť ele</w:t>
      </w:r>
      <w:r>
        <w:t>ktrické letectvo bude možné až keď bude infraštruktúra pripravená a otestovaná; konštatuje, že po prechode na alternatívne pohonné systémy by existujúce veľké letiská mohli do roku 2050 spotrebovať 5 – 10-krát viac elektrickej energie ako dnes</w:t>
      </w:r>
      <w:r>
        <w:rPr>
          <w:rStyle w:val="FootnoteReference"/>
        </w:rPr>
        <w:footnoteReference w:id="18"/>
      </w:r>
      <w:r>
        <w:t>, a konštatu</w:t>
      </w:r>
      <w:r>
        <w:t>je, že infraštruktúra pre elektrické lietadlá a elektrifikácia miest, ako sú letiská, ešte neboli dostatočne rozvinuté; poukazuje na to, že na uspokojenie očakávaného dopytu po energii musia byť prvé prvky infraštruktúry na letiskách zavedené do roku 2025,</w:t>
      </w:r>
      <w:r>
        <w:t xml:space="preserve"> a vyzýva na zabezpečenie potrebných investícií; v tejto súvislosti ďalej zdôrazňuje, že na zabezpečenie riadneho zavedenia elektrických lietadiel musia Komisia a členské štáty riadne vykonávať nariadenie o infraštruktúre pre alternatívne palivá (ďalej len</w:t>
      </w:r>
      <w:r>
        <w:t xml:space="preserve"> „AFIR“)</w:t>
      </w:r>
      <w:r>
        <w:rPr>
          <w:rStyle w:val="FootnoteReference"/>
        </w:rPr>
        <w:footnoteReference w:id="19"/>
      </w:r>
      <w:r>
        <w:t xml:space="preserve"> s cieľom ďalej podporovať elektrifikáciu lokalít; </w:t>
      </w:r>
      <w:r>
        <w:lastRenderedPageBreak/>
        <w:t>v tejto súvislosti zdôrazňuje užitočnosť špecializovaných projektov financovania infraštruktúry, ako je Nástroj na prepájanie Európy v oblasti dopravy a energetiky; pripomína, že podľa AFIR musí K</w:t>
      </w:r>
      <w:r>
        <w:t>omisia na konci roka 2026 a potom každých päť rokov vyhodnotiť súčasný stav a budúci vývoj trhu s vodíkom a elektrickým pohonom; naliehavo vyzýva Komisiu a členské štáty, aby zabezpečili vykonanie tohto hodnotenia vrátane štúdie uskutočniteľnosti zavádzani</w:t>
      </w:r>
      <w:r>
        <w:t>a príslušnej infraštruktúry na pohon lietadiel, po ktorej bude nasledovať plán zavádzania infraštruktúry pre alternatívne palivá na letiskách, najmä pre elektrické nabíjacie stanice a vodíkové čerpacie miesta; nabáda priemyselné odvetvia na celosvetovej úr</w:t>
      </w:r>
      <w:r>
        <w:t>ovni, aby sa čo najskôr dohodli na globálnych normách pre pozemné nabíjacie stanice pre lietadlá na stojisku;</w:t>
      </w:r>
    </w:p>
    <w:p w:rsidR="009E0263" w:rsidRDefault="008D6826">
      <w:pPr>
        <w:pStyle w:val="NormalHanging12a"/>
        <w:rPr>
          <w:b/>
          <w:i/>
        </w:rPr>
      </w:pPr>
      <w:r>
        <w:rPr>
          <w:b/>
          <w:i/>
        </w:rPr>
        <w:t>Technologické výzvy a riešenia</w:t>
      </w:r>
    </w:p>
    <w:p w:rsidR="009E0263" w:rsidRDefault="008D6826">
      <w:pPr>
        <w:pStyle w:val="NormalHanging12a"/>
      </w:pPr>
      <w:r>
        <w:t>20.</w:t>
      </w:r>
      <w:r>
        <w:tab/>
        <w:t>vzhľadom na to, že technologické trendy sa v rôznych odvetviach dopravy uberajú rovnakým smerom, víta existujúc</w:t>
      </w:r>
      <w:r>
        <w:t>e medziodvetvové partnerstvá v oblasti výskumu a vývoja</w:t>
      </w:r>
      <w:r>
        <w:rPr>
          <w:rStyle w:val="FootnoteReference"/>
        </w:rPr>
        <w:footnoteReference w:id="20"/>
      </w:r>
      <w:r>
        <w:t xml:space="preserve"> medzi leteckým a automobilovým priemyslom (v oblasti vývoja novej generácie batérií a palivových článkov), leteckou dopravou a lodnou dopravou (v oblasti využívania alternatívnych palív) a leteckou d</w:t>
      </w:r>
      <w:r>
        <w:t xml:space="preserve">opravou a železnicami (v oblasti elektrických rozvodných systémov); </w:t>
      </w:r>
    </w:p>
    <w:p w:rsidR="009E0263" w:rsidRDefault="008D6826">
      <w:pPr>
        <w:pStyle w:val="NormalHanging12a"/>
      </w:pPr>
      <w:r>
        <w:t>21.</w:t>
      </w:r>
      <w:r>
        <w:tab/>
        <w:t>poukazuje na to, že zatiaľ čo elektrické a hybridné elektrické lietadlá sú veľmi sľubné pre udržateľnejšiu budúcnosť letectva, ich súčasná generácia batérií predstavuje významné výzvy</w:t>
      </w:r>
      <w:r>
        <w:t>, najmä pokiaľ ide o hmotnosť a energetickú hustotu; konštatuje, že tieto obmedzenia majú vplyv na dolet, kapacitu užitočného zaťaženia a celkovú účinnosť elektrických lietadiel;</w:t>
      </w:r>
    </w:p>
    <w:p w:rsidR="009E0263" w:rsidRDefault="008D6826">
      <w:pPr>
        <w:pStyle w:val="NormalHanging12a"/>
      </w:pPr>
      <w:r>
        <w:t>22.</w:t>
      </w:r>
      <w:r>
        <w:tab/>
        <w:t>pripomína, že prevádzka elektrických lietadiel zahŕňa prísne požiadavky n</w:t>
      </w:r>
      <w:r>
        <w:t>a batérie, pričom uprednostňuje bezpečnosť, ale zároveň vyžaduje, aby boli ľahké, kompaktné, rýchlo nabíjateľné a poskytovali vysoký výkon potrebný pre vzlet a stúpanie; zdôrazňuje, že takéto vysokovýkonné batérie si vyžadujú kritické suroviny, ktoré v Eur</w:t>
      </w:r>
      <w:r>
        <w:t xml:space="preserve">ópe často nie sú k dispozícii; vyzýva letecký priemysel, aby pripojil k úsiliu týchto iných odvetví o zabezpečenie udržateľného dodávateľského reťazca; </w:t>
      </w:r>
    </w:p>
    <w:p w:rsidR="009E0263" w:rsidRDefault="008D6826">
      <w:pPr>
        <w:pStyle w:val="NormalHanging12a"/>
      </w:pPr>
      <w:r>
        <w:t>23.</w:t>
      </w:r>
      <w:r>
        <w:tab/>
        <w:t xml:space="preserve">pripomína, že podmienky nadmorskej výšky špecifické pre leteckú dopravu predstavujú pre batérie </w:t>
      </w:r>
      <w:r>
        <w:t>osobitné technické obmedzenia v porovnaní s inými druhmi dopravy;</w:t>
      </w:r>
    </w:p>
    <w:p w:rsidR="009E0263" w:rsidRDefault="008D6826">
      <w:pPr>
        <w:pStyle w:val="NormalHanging12a"/>
      </w:pPr>
      <w:r>
        <w:t>24.</w:t>
      </w:r>
      <w:r>
        <w:tab/>
        <w:t>zdôrazňuje potenciál leteckej dopravy poháňanej vodíkom založenej na palivových článkoch, ktorá je alternatívnou formou elektrického letectva, najmä pokiaľ ide o autonómiu; zdôrazňuje, ž</w:t>
      </w:r>
      <w:r>
        <w:t>e neustále zdokonaľovanie technológie batérií a palivových článkov v spojení s energeticky účinnejšími návrhmi lietadiel môžu zabezpečiť lepšie environmentálne vlastnosti; opätovne zdôrazňuje, že medzi najväčšie technologické výzvy, ktorým toto odvetvie v </w:t>
      </w:r>
      <w:r>
        <w:t>súčasnosti čelí, patrí hmotnosť a rozmery batérií, maximálny výkon palivových článkov, elektrické rozvodné systémy a tepelné systémy, integrácia draka lietadiel a zlepšenie aerodynamiky;</w:t>
      </w:r>
    </w:p>
    <w:p w:rsidR="009E0263" w:rsidRDefault="008D6826">
      <w:pPr>
        <w:pStyle w:val="NormalHanging12a"/>
      </w:pPr>
      <w:r>
        <w:t>25.</w:t>
      </w:r>
      <w:r>
        <w:tab/>
        <w:t>zdôrazňuje, že zvýšené používanie batérií v letectve si bude vyža</w:t>
      </w:r>
      <w:r>
        <w:t xml:space="preserve">dovať okamžité zriadenie recyklačného priemyslu EÚ, ktorý bude zlučiteľný s potrebami tohto odvetvia, </w:t>
      </w:r>
      <w:r>
        <w:lastRenderedPageBreak/>
        <w:t>aby sa zabránilo vytváraniu nových závislostí od krajín mimo EÚ;</w:t>
      </w:r>
    </w:p>
    <w:p w:rsidR="009E0263" w:rsidRDefault="008D6826">
      <w:pPr>
        <w:pStyle w:val="NormalHanging12a"/>
        <w:rPr>
          <w:b/>
          <w:i/>
          <w:szCs w:val="24"/>
        </w:rPr>
      </w:pPr>
      <w:r>
        <w:rPr>
          <w:b/>
          <w:i/>
        </w:rPr>
        <w:t>Opatrenia v rámci EÚ</w:t>
      </w:r>
    </w:p>
    <w:p w:rsidR="009E0263" w:rsidRDefault="008D6826">
      <w:pPr>
        <w:pStyle w:val="NormalHanging12a"/>
        <w:rPr>
          <w:szCs w:val="24"/>
        </w:rPr>
      </w:pPr>
      <w:r>
        <w:t>26.</w:t>
      </w:r>
      <w:r>
        <w:tab/>
        <w:t>pripomína, že letecký priemysel nie je len dôležitým faktorom um</w:t>
      </w:r>
      <w:r>
        <w:t>ožňujúcim hospodársku činnosť, ale aj jedným z najúspešnejších odvetví špičkových technológií v EÚ; žiada Komisiu o proaktívne politiky na podporu a rozvoj priemyslu v úzkej spolupráci s existujúcimi fórami, ako je Poradný výbor pre výskum a inováciu v obl</w:t>
      </w:r>
      <w:r>
        <w:t>asti európskeho letectva (ACARE) a aliancia pre letectvo s nulovými emisiami; vyzýva Komisiu, aby zabezpečila, že existujúce nariadenia EÚ v tejto oblasti nebudú navzájom protichodné a nebudú brániť leteckému priemyslu v rozvoji jeho projektov dekarbonizác</w:t>
      </w:r>
      <w:r>
        <w:t>ie a elektrifikácie;</w:t>
      </w:r>
    </w:p>
    <w:p w:rsidR="009E0263" w:rsidRDefault="008D6826">
      <w:pPr>
        <w:pStyle w:val="NormalHanging12a"/>
        <w:rPr>
          <w:szCs w:val="24"/>
        </w:rPr>
      </w:pPr>
      <w:r>
        <w:t>27.</w:t>
      </w:r>
      <w:r>
        <w:tab/>
        <w:t>domnieva sa, že na posilnenie elektrických letov je potrebné ďalšie zosúladenie medzi ekosystémom leteckého a obranného priemyslu a energetickým ekosystémom; konštatuje, že Komisia pracuje na samostatných spôsoboch transformácie pr</w:t>
      </w:r>
      <w:r>
        <w:t xml:space="preserve">e oba ekosystémy; uznáva mimoriadny význam spôsobov transformácie, ktoré priemyslu umožnia účinne premietnuť ambície v oblasti klímy do konkrétnych opatrení, čím sa zachová a vytvorí hodnota pre našu spoločnosť, našu planétu a podniky; je však znepokojený </w:t>
      </w:r>
      <w:r>
        <w:t>rozdielnymi spôsobmi transformácie oboch ekosystémov, najmä vzhľadom na spoločnú nevyhnutnosť vytvoriť dostatočne stabilné elektrické siete a zabezpečiť cenovú dostupnosť čistej elektrickej energie, a to aj pre elektrifikáciu lietadiel; vzhľadom na uvedené</w:t>
      </w:r>
      <w:r>
        <w:t xml:space="preserve"> skutočnosti zdôrazňuje význam spoločnej stratégie pre elektrické lietadlá a naliehavo vyzýva Komisiu, aby podnikla proaktívne kroky na formulovanie takejto stratégie; okrem toho vyzýva Komisiu, aby v tejto súvislosti iniciovala spoločný štruktúrovaný dial</w:t>
      </w:r>
      <w:r>
        <w:t>óg medzi Generálnymi riaditeľstvami pre mobilitu a dopravu a pre energetiku a aby ho dokončila pred voľbami do Európskeho parlamentu v roku 2024. Nová budúca Komisia ho bude v roku 2024 môcť použiť ako referenciu pre budúce nariadenia;</w:t>
      </w:r>
    </w:p>
    <w:p w:rsidR="009E0263" w:rsidRDefault="008D6826">
      <w:pPr>
        <w:pStyle w:val="NormalHanging12a"/>
        <w:rPr>
          <w:szCs w:val="24"/>
        </w:rPr>
      </w:pPr>
      <w:r>
        <w:t>28.</w:t>
      </w:r>
      <w:r>
        <w:tab/>
        <w:t>pripomína, že al</w:t>
      </w:r>
      <w:r>
        <w:t>iancia pre letectvo s nulovými emisiami bola vytvorená z iniciatívy Komisie s cieľom zhromaždiť všetkých súkromných a verejných partnerov v celom leteckom ekosystéme na prípravu uvedenia lietadiel na vodíkový a elektrický pohon do komerčnej prevádzky; vyzý</w:t>
      </w:r>
      <w:r>
        <w:t>va Komisiu, aby spolupracovala s alianciou pre letectvo s nulovými emisiami a podporovala ju pri rozvoji poznatkov o elektrickom letectve; konštatuje, že v tejto súvislosti by sa mohli využiť akadémie zručností v rámci aktu o emisne neutrálnom priemysle, a</w:t>
      </w:r>
      <w:r>
        <w:t xml:space="preserve"> vyzýva Komisiu a členské štáty, aby ich podporovali;</w:t>
      </w:r>
    </w:p>
    <w:p w:rsidR="009E0263" w:rsidRDefault="008D6826">
      <w:pPr>
        <w:pStyle w:val="NormalHanging12a"/>
        <w:rPr>
          <w:szCs w:val="24"/>
        </w:rPr>
      </w:pPr>
      <w:r>
        <w:t>29.</w:t>
      </w:r>
      <w:r>
        <w:tab/>
        <w:t>zdôrazňuje súčasný nedostatok zručností v oblasti elektrotechniky a systémového inžinierstva; pripomína, že súťaž Európskej únie pre mladých vedcov by sa mohla použiť ako referenčný bod na vypracova</w:t>
      </w:r>
      <w:r>
        <w:t>nie tematickej súťaže EÚ pre mladé talenty pre všetky priemyselné ekosystémy vrátane elektrických letov; vyzýva Komisiu a členské štáty, aby zvýšili informovanosť o príležitostiach v oblasti ekologických kariér v letectve a aby v tejto súvislosti podporova</w:t>
      </w:r>
      <w:r>
        <w:t>li vnútroštátne projekty a projekty EÚ;</w:t>
      </w:r>
    </w:p>
    <w:p w:rsidR="009E0263" w:rsidRDefault="008D6826">
      <w:pPr>
        <w:pStyle w:val="NormalHanging12a"/>
        <w:rPr>
          <w:szCs w:val="24"/>
        </w:rPr>
      </w:pPr>
      <w:r>
        <w:t>30.</w:t>
      </w:r>
      <w:r>
        <w:tab/>
        <w:t>víta zámer Komisie vytvoriť útvary pre koordináciu výziev v rámci existujúcich nástrojov EÚ a úverov Európskej investičnej banky (ďalej len „EIB“) na podporu nového hlavného projektu týkajúceho sa technológií bez</w:t>
      </w:r>
      <w:r>
        <w:t xml:space="preserve">pilotných lietadiel; naliehavo vyzýva EIB, aby predstavila a zaviedla cielené nástroje financovania určené na posilnenie vznikajúceho európskeho odvetvia </w:t>
      </w:r>
      <w:proofErr w:type="spellStart"/>
      <w:r>
        <w:t>elektroleteckej</w:t>
      </w:r>
      <w:proofErr w:type="spellEnd"/>
      <w:r>
        <w:t xml:space="preserve"> dopravy a na podporu jeho potrieb, pričom uznáva jeho kapitálovo náročnú povahu a jedi</w:t>
      </w:r>
      <w:r>
        <w:t xml:space="preserve">nečné požiadavky a </w:t>
      </w:r>
      <w:r>
        <w:lastRenderedPageBreak/>
        <w:t xml:space="preserve">uznáva, že zavádzanie </w:t>
      </w:r>
      <w:proofErr w:type="spellStart"/>
      <w:r>
        <w:t>eVTOL</w:t>
      </w:r>
      <w:proofErr w:type="spellEnd"/>
      <w:r>
        <w:t xml:space="preserve"> si bude vyžadovať aj investície do pozemnej infraštruktúry vrátane </w:t>
      </w:r>
      <w:proofErr w:type="spellStart"/>
      <w:r>
        <w:t>vertiportov</w:t>
      </w:r>
      <w:proofErr w:type="spellEnd"/>
      <w:r>
        <w:t xml:space="preserve"> a nabíjacej infraštruktúry;</w:t>
      </w:r>
    </w:p>
    <w:p w:rsidR="009E0263" w:rsidRDefault="008D6826">
      <w:pPr>
        <w:pStyle w:val="NormalHanging12a"/>
        <w:rPr>
          <w:szCs w:val="24"/>
        </w:rPr>
      </w:pPr>
      <w:r>
        <w:t>31.</w:t>
      </w:r>
      <w:r>
        <w:tab/>
        <w:t>vyjadruje znepokojenie nad tým, že rozpočet plánovaný pre CAJU v rámci programu Horizont Európa je</w:t>
      </w:r>
      <w:r>
        <w:t xml:space="preserve"> hlboko pod úrovňou jeho ambícií; pripomína, že úroveň inovácií spojená s každým projektom je veľmi vysoká a že podpora musí byť primeraná a nepretržitá v rámci nového viacročného finančného rámca od roku 2027; domnieva sa, že CAJU by sa mal podporovať aj </w:t>
      </w:r>
      <w:r>
        <w:t>v tom, aby riadil elektrickú leteckú dopravu a uprednostňoval financovanie inovačných projektov v oblasti leteckej dopravy s nulovými emisiami, ako sú elektrické lietadlá a lietadlá na vodíkový pohon; poukazuje na to, že nové financovanie je potrebné na pr</w:t>
      </w:r>
      <w:r>
        <w:t>ekročenie úrovne technologickej pripravenosti 6 s cieľom uviesť technológie na trh; víta nedávne oznámenie Spojeného kráľovstva ako krajiny pridruženej k programu Horizont Európa, ktoré posilní naše spoločné úsilie o čisté letectvo;</w:t>
      </w:r>
    </w:p>
    <w:p w:rsidR="009E0263" w:rsidRDefault="008D6826">
      <w:pPr>
        <w:pStyle w:val="NormalHanging12a"/>
        <w:rPr>
          <w:szCs w:val="24"/>
        </w:rPr>
      </w:pPr>
      <w:r>
        <w:t>32.</w:t>
      </w:r>
      <w:r>
        <w:tab/>
        <w:t>vyjadruje poľutovan</w:t>
      </w:r>
      <w:r>
        <w:t xml:space="preserve">ie nad tým, že napriek značnému úsiliu a záväzku, ktoré požaduje odvetvie letectva v úsilí o dekarbonizáciu, neexistuje osobitný fond EÚ pre leteckú dopravu, ktorý by bol výslovne určený na podporu letectva; vyzýva Komisiu, aby vyhlásila osobitné výzvy na </w:t>
      </w:r>
      <w:r>
        <w:t>financovanie projektov na podporu elektrifikácie a opatrení na zníženie celkového vplyvu leteckej dopravy; pripomína však, že inovačný fond v rámci ETS a využívanie rozdielových zmlúv v oblasti uhlíka sú dôležitými nástrojmi na zavádzanie technológií do pr</w:t>
      </w:r>
      <w:r>
        <w:t>iemyselného rozsahu, ktoré by mohli pripraviť pôdu pre elektrickú a vodíkovú leteckú dopravu; pripomína smernicu (EÚ) 2023/959</w:t>
      </w:r>
      <w:r>
        <w:rPr>
          <w:rStyle w:val="FootnoteReference"/>
          <w:szCs w:val="24"/>
        </w:rPr>
        <w:footnoteReference w:id="21"/>
      </w:r>
      <w:r>
        <w:t>, ktorou sa zmenila smernica 2003/87/ES a rozšírila škála projektov oprávnených na financovanie v rámci inovačného fondu tak, aby</w:t>
      </w:r>
      <w:r>
        <w:t xml:space="preserve"> zahŕňala širšiu škálu produktov, procesov a technológií s nulovými emisiami uhlíka;</w:t>
      </w:r>
    </w:p>
    <w:p w:rsidR="009E0263" w:rsidRDefault="008D6826">
      <w:pPr>
        <w:pStyle w:val="NormalHanging12a"/>
        <w:rPr>
          <w:szCs w:val="24"/>
        </w:rPr>
      </w:pPr>
      <w:r>
        <w:t>33.</w:t>
      </w:r>
      <w:r>
        <w:tab/>
        <w:t xml:space="preserve">zdôrazňuje, že je potrebné zlepšiť tepelné riadenie batérií a riadenie nabíjania a výmeny batérií, ako aj urýchliť rozvoj odvetvia recyklácie batérií; vyzýva Komisiu, </w:t>
      </w:r>
      <w:r>
        <w:t>aby investovala do výskumu a vývoja batérií novej generácie s pevným elektrolytom, ktoré poskytujú dvakrát toľko energie ako lítiovo-iónové batérie a približne trikrát vyšší potenciál uskladňovania energie; vyzýva preto Komisiu, aby prostredníctvom nástroj</w:t>
      </w:r>
      <w:r>
        <w:t>ov, ako je akt o emisne neutrálnom priemysle a Európska aliancia pre batérie, podporovala znižovanie závislosti v dodávateľskom reťazci batérií a zabezpečenie dostatočných dodávok kritických surovín, čím sa zníži naša závislosť od vonkajších zdrojov v obla</w:t>
      </w:r>
      <w:r>
        <w:t>sti batérií; nabáda Komisiu a členské štáty, aby súbežne rozvíjali strategické partnerstvá s podobne zmýšľajúcimi krajinami mimo EÚ v oblasti surovín pre letectvo;</w:t>
      </w:r>
    </w:p>
    <w:p w:rsidR="009E0263" w:rsidRDefault="008D6826">
      <w:pPr>
        <w:pStyle w:val="NormalHanging12a"/>
        <w:rPr>
          <w:szCs w:val="24"/>
        </w:rPr>
      </w:pPr>
      <w:r>
        <w:t>34.</w:t>
      </w:r>
      <w:r>
        <w:tab/>
        <w:t>vyzýva Komisiu, aby zabezpečila súlad medzi rozvojom elektrickej dopravy a mobility, pož</w:t>
      </w:r>
      <w:r>
        <w:t>adovanou infraštruktúrou a politikami EÚ zameranými na zvýšenie európskej výrobnej kapacity batérií vrátane dodávok surovín a progresívnych materiálov potrebných na výrobu batérií; vyzýva preto Komisiu, aby zrevidovala strategický akčný plán pre batérie, k</w:t>
      </w:r>
      <w:r>
        <w:t xml:space="preserve">torý spája uvedené aspekty a konkrétne zahŕňa zavedenie kvantifikovaných a časovo ohraničených cieľov pre výrobu batérií v EÚ; vyzýva členské štáty a Komisiu, aby vzhľadom na uvedené skutočnosti v spolupráci s </w:t>
      </w:r>
      <w:r>
        <w:lastRenderedPageBreak/>
        <w:t>priemyslom identifikovali potenciálne synergie</w:t>
      </w:r>
      <w:r>
        <w:t xml:space="preserve"> s odvetvím cestnej dopravy s cieľom maximalizovať verejné a súkromné investície, najmä do výroby a recyklácie batérií a palivových článkov;</w:t>
      </w:r>
    </w:p>
    <w:p w:rsidR="009E0263" w:rsidRDefault="008D6826">
      <w:pPr>
        <w:pStyle w:val="NormalHanging12a"/>
        <w:rPr>
          <w:szCs w:val="24"/>
        </w:rPr>
      </w:pPr>
      <w:r>
        <w:t>35.</w:t>
      </w:r>
      <w:r>
        <w:tab/>
        <w:t>vyzýva Komisiu, aby vytvorila politický rámec, ktorý podporí zavádzanie technológií elektrických lietadiel, ako</w:t>
      </w:r>
      <w:r>
        <w:t xml:space="preserve"> je nasmerovanie časti príjmov z ETS v leteckej doprave alebo akéhokoľvek zdaňovania leteckej dopravy do spoločného podniku CAJU v súlade s návrhom smernice o zdaňovaní energie</w:t>
      </w:r>
      <w:r>
        <w:rPr>
          <w:rStyle w:val="FootnoteReference"/>
          <w:szCs w:val="24"/>
        </w:rPr>
        <w:footnoteReference w:id="22"/>
      </w:r>
      <w:r>
        <w:t>;</w:t>
      </w:r>
    </w:p>
    <w:p w:rsidR="009E0263" w:rsidRDefault="008D6826">
      <w:pPr>
        <w:pStyle w:val="NormalHanging12a"/>
        <w:rPr>
          <w:szCs w:val="24"/>
        </w:rPr>
      </w:pPr>
      <w:r>
        <w:t>36.</w:t>
      </w:r>
      <w:r>
        <w:tab/>
        <w:t xml:space="preserve">vyzýva Komisiu, aby vytvorila stratégiu na zabezpečenie zavádzania </w:t>
      </w:r>
      <w:r>
        <w:t>potrebnej infraštruktúry pre elektrické letectvo vrátane výroby elektrickej energie, pripojenia k sieti a nabíjacej infraštruktúry úmernej zavádzaniu elektrických lietadiel; pripomína, že nedostatok čistého vodíka a nedostatočná infraštruktúra by mohli odd</w:t>
      </w:r>
      <w:r>
        <w:t>ialiť uvedenie lietadiel na vodíkový pohon do prevádzky; naliehavo vyzýva Komisiu, aby vypracovala cielenú stratégiu pre výrobu a skladovanie vodíka;</w:t>
      </w:r>
    </w:p>
    <w:p w:rsidR="009E0263" w:rsidRDefault="008D6826">
      <w:pPr>
        <w:pStyle w:val="NormalHanging12a"/>
        <w:rPr>
          <w:szCs w:val="24"/>
        </w:rPr>
      </w:pPr>
      <w:r>
        <w:t>37.</w:t>
      </w:r>
      <w:r>
        <w:tab/>
        <w:t>vyzýva agentúru EASA, aby pokračovala v práci na stanovení certifikačných noriem a postupov, ktoré umo</w:t>
      </w:r>
      <w:r>
        <w:t>žnia, aby elektrické a hybridné elektrické lietadlá boli životaschopné a aby sa výrazne skrátil čas uvedenia takýchto lietadiel na trh; vyzýva Komisiu, aby v tejto súvislosti poskytla potrebné zdroje, najmä personál;</w:t>
      </w:r>
    </w:p>
    <w:p w:rsidR="009E0263" w:rsidRDefault="008D6826">
      <w:pPr>
        <w:pStyle w:val="NormalHanging12a"/>
      </w:pPr>
      <w:r>
        <w:t>38.</w:t>
      </w:r>
      <w:r>
        <w:tab/>
        <w:t>vyzýva Komisiu, aby vypracovala eur</w:t>
      </w:r>
      <w:r>
        <w:t xml:space="preserve">ópsku stratégiu pre koordinovaný prístup k vývoju, certifikácii a zavádzaniu novej generácie lietadiel vrátane lietadiel </w:t>
      </w:r>
      <w:proofErr w:type="spellStart"/>
      <w:r>
        <w:t>eVTOL</w:t>
      </w:r>
      <w:proofErr w:type="spellEnd"/>
      <w:r>
        <w:t xml:space="preserve"> s cieľom zvýšiť informovanosť európskych občanov o jej výhodách a podporiť súkromné a verejné investície pri súčasnom zachovaní t</w:t>
      </w:r>
      <w:r>
        <w:t>echnologickej základne a vedúceho postavenia v Európe; domnieva sa, že elektrické letectvo je prísľubom udržateľnejšej budúcnosti leteckej dopravy a že cielená informačná kampaň má zásadný význam pre zvyšovanie informovanosti verejnosti o jej potenciálnych</w:t>
      </w:r>
      <w:r>
        <w:t xml:space="preserve"> prínosoch a vplyve;</w:t>
      </w:r>
    </w:p>
    <w:p w:rsidR="009E0263" w:rsidRDefault="008D6826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:rsidR="009E0263" w:rsidRDefault="008D6826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     °</w:t>
      </w:r>
    </w:p>
    <w:p w:rsidR="009E0263" w:rsidRDefault="008D6826">
      <w:pPr>
        <w:widowControl/>
      </w:pPr>
      <w:r>
        <w:t>39.</w:t>
      </w:r>
      <w:r>
        <w:tab/>
        <w:t>poveruje svoju predsedníčku, aby postúpila toto uznesenie Rade a Komisii.</w:t>
      </w:r>
    </w:p>
    <w:sectPr w:rsidR="009E02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263" w:rsidRDefault="008D6826">
      <w:r>
        <w:separator/>
      </w:r>
    </w:p>
  </w:endnote>
  <w:endnote w:type="continuationSeparator" w:id="0">
    <w:p w:rsidR="009E0263" w:rsidRDefault="008D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263" w:rsidRDefault="009E02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263" w:rsidRDefault="009E026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263" w:rsidRDefault="009E0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263" w:rsidRDefault="008D6826">
      <w:r>
        <w:separator/>
      </w:r>
    </w:p>
  </w:footnote>
  <w:footnote w:type="continuationSeparator" w:id="0">
    <w:p w:rsidR="009E0263" w:rsidRDefault="008D6826">
      <w:r>
        <w:continuationSeparator/>
      </w:r>
    </w:p>
  </w:footnote>
  <w:footnote w:id="1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243, 9.7.2021, s. 1.</w:t>
      </w:r>
    </w:p>
  </w:footnote>
  <w:footnote w:id="2">
    <w:p w:rsidR="009E0263" w:rsidRDefault="008D6826">
      <w:pPr>
        <w:pStyle w:val="FootnoteText"/>
        <w:ind w:left="567" w:hanging="567"/>
        <w:rPr>
          <w:bCs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173, 12.6.2014, s.</w:t>
      </w:r>
      <w:r>
        <w:rPr>
          <w:sz w:val="24"/>
          <w:lang w:val="sk-SK"/>
        </w:rPr>
        <w:t xml:space="preserve"> 65.</w:t>
      </w:r>
    </w:p>
  </w:footnote>
  <w:footnote w:id="3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275, 25.10.2003, s. 32.</w:t>
      </w:r>
    </w:p>
  </w:footnote>
  <w:footnote w:id="4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P9_TA(2023)0130.</w:t>
      </w:r>
    </w:p>
  </w:footnote>
  <w:footnote w:id="5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366, 27.10.2017, s. 2.</w:t>
      </w:r>
    </w:p>
  </w:footnote>
  <w:footnote w:id="6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261 E, 10.9.2013, s. 1.</w:t>
      </w:r>
    </w:p>
  </w:footnote>
  <w:footnote w:id="7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 252, 18.7.2018, s. 284.</w:t>
      </w:r>
    </w:p>
  </w:footnote>
  <w:footnote w:id="8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Európsky parlament, </w:t>
      </w:r>
      <w:hyperlink r:id="rId1" w:history="1">
        <w:r>
          <w:rPr>
            <w:rStyle w:val="Hyperlink"/>
            <w:sz w:val="24"/>
            <w:lang w:val="sk-SK"/>
          </w:rPr>
          <w:t xml:space="preserve">Emisie z leteckej a lodnej </w:t>
        </w:r>
        <w:proofErr w:type="spellStart"/>
        <w:r>
          <w:rPr>
            <w:rStyle w:val="Hyperlink"/>
            <w:sz w:val="24"/>
            <w:lang w:val="sk-SK"/>
          </w:rPr>
          <w:t>dopravy:</w:t>
        </w:r>
      </w:hyperlink>
      <w:hyperlink r:id="rId2" w:history="1">
        <w:r>
          <w:rPr>
            <w:rStyle w:val="Hyperlink"/>
            <w:sz w:val="24"/>
            <w:lang w:val="sk-SK"/>
          </w:rPr>
          <w:t>fakty</w:t>
        </w:r>
        <w:proofErr w:type="spellEnd"/>
        <w:r>
          <w:rPr>
            <w:rStyle w:val="Hyperlink"/>
            <w:sz w:val="24"/>
            <w:lang w:val="sk-SK"/>
          </w:rPr>
          <w:t xml:space="preserve"> a čísla (</w:t>
        </w:r>
        <w:proofErr w:type="spellStart"/>
        <w:r>
          <w:rPr>
            <w:rStyle w:val="Hyperlink"/>
            <w:sz w:val="24"/>
            <w:lang w:val="sk-SK"/>
          </w:rPr>
          <w:t>infografika</w:t>
        </w:r>
        <w:proofErr w:type="spellEnd"/>
        <w:r>
          <w:rPr>
            <w:rStyle w:val="Hyperlink"/>
            <w:sz w:val="24"/>
            <w:lang w:val="sk-SK"/>
          </w:rPr>
          <w:t>),</w:t>
        </w:r>
      </w:hyperlink>
      <w:r>
        <w:rPr>
          <w:sz w:val="24"/>
          <w:lang w:val="sk-SK"/>
        </w:rPr>
        <w:t xml:space="preserve"> aktualizované 15. júna 2023.</w:t>
      </w:r>
    </w:p>
  </w:footnote>
  <w:footnote w:id="9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3" w:history="1">
        <w:proofErr w:type="spellStart"/>
        <w:r>
          <w:rPr>
            <w:rStyle w:val="Hyperlink"/>
            <w:sz w:val="24"/>
            <w:lang w:val="sk-SK"/>
          </w:rPr>
          <w:t>Waypoint</w:t>
        </w:r>
        <w:proofErr w:type="spellEnd"/>
        <w:r>
          <w:rPr>
            <w:rStyle w:val="Hyperlink"/>
            <w:sz w:val="24"/>
            <w:lang w:val="sk-SK"/>
          </w:rPr>
          <w:t xml:space="preserve"> 2050</w:t>
        </w:r>
      </w:hyperlink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Aviation</w:t>
      </w:r>
      <w:proofErr w:type="spellEnd"/>
      <w:r>
        <w:rPr>
          <w:sz w:val="24"/>
          <w:lang w:val="sk-SK"/>
        </w:rPr>
        <w:t xml:space="preserve">: </w:t>
      </w:r>
      <w:proofErr w:type="spellStart"/>
      <w:r>
        <w:rPr>
          <w:sz w:val="24"/>
          <w:lang w:val="sk-SK"/>
        </w:rPr>
        <w:t>Benefits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Beyond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Borders</w:t>
      </w:r>
      <w:proofErr w:type="spellEnd"/>
      <w:r>
        <w:rPr>
          <w:sz w:val="24"/>
          <w:lang w:val="sk-SK"/>
        </w:rPr>
        <w:t>, Graf 2</w:t>
      </w:r>
      <w:r>
        <w:rPr>
          <w:sz w:val="24"/>
          <w:lang w:val="sk-SK"/>
        </w:rPr>
        <w:t>.</w:t>
      </w:r>
    </w:p>
  </w:footnote>
  <w:footnote w:id="10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ATR, </w:t>
      </w:r>
      <w:proofErr w:type="spellStart"/>
      <w:r>
        <w:rPr>
          <w:sz w:val="24"/>
          <w:lang w:val="sk-SK"/>
        </w:rPr>
        <w:t>Avinor</w:t>
      </w:r>
      <w:proofErr w:type="spellEnd"/>
      <w:r>
        <w:rPr>
          <w:sz w:val="24"/>
          <w:lang w:val="sk-SK"/>
        </w:rPr>
        <w:t xml:space="preserve">, Deutsche </w:t>
      </w:r>
      <w:proofErr w:type="spellStart"/>
      <w:r>
        <w:rPr>
          <w:sz w:val="24"/>
          <w:lang w:val="sk-SK"/>
        </w:rPr>
        <w:t>Aircraft</w:t>
      </w:r>
      <w:proofErr w:type="spellEnd"/>
      <w:r>
        <w:rPr>
          <w:sz w:val="24"/>
          <w:lang w:val="sk-SK"/>
        </w:rPr>
        <w:t xml:space="preserve"> (v spolupráci s </w:t>
      </w:r>
      <w:proofErr w:type="spellStart"/>
      <w:r>
        <w:rPr>
          <w:sz w:val="24"/>
          <w:lang w:val="sk-SK"/>
        </w:rPr>
        <w:t>Private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Wings</w:t>
      </w:r>
      <w:proofErr w:type="spellEnd"/>
      <w:r>
        <w:rPr>
          <w:sz w:val="24"/>
          <w:lang w:val="sk-SK"/>
        </w:rPr>
        <w:t xml:space="preserve">), </w:t>
      </w:r>
      <w:proofErr w:type="spellStart"/>
      <w:r>
        <w:rPr>
          <w:sz w:val="24"/>
          <w:lang w:val="sk-SK"/>
        </w:rPr>
        <w:t>Heart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Aerospace</w:t>
      </w:r>
      <w:proofErr w:type="spellEnd"/>
      <w:r>
        <w:rPr>
          <w:sz w:val="24"/>
          <w:lang w:val="sk-SK"/>
        </w:rPr>
        <w:t xml:space="preserve"> (v spolupráci s </w:t>
      </w:r>
      <w:proofErr w:type="spellStart"/>
      <w:r>
        <w:fldChar w:fldCharType="begin"/>
      </w:r>
      <w:r>
        <w:rPr>
          <w:sz w:val="24"/>
          <w:lang w:val="sk-SK"/>
        </w:rPr>
        <w:instrText xml:space="preserve"> HYPERLINK "https://www.greenairnews.com/?p=824" </w:instrText>
      </w:r>
      <w:r>
        <w:fldChar w:fldCharType="separate"/>
      </w:r>
      <w:r>
        <w:rPr>
          <w:rStyle w:val="Hyperlink"/>
          <w:sz w:val="24"/>
          <w:lang w:val="sk-SK"/>
        </w:rPr>
        <w:t>Finnair</w:t>
      </w:r>
      <w:proofErr w:type="spellEnd"/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 a </w:t>
      </w:r>
      <w:proofErr w:type="spellStart"/>
      <w:r>
        <w:fldChar w:fldCharType="begin"/>
      </w:r>
      <w:r>
        <w:rPr>
          <w:sz w:val="24"/>
          <w:lang w:val="sk-SK"/>
        </w:rPr>
        <w:instrText xml:space="preserve"> HYPERLINK "https://www.icelandairgroup.com/newsroom/news/icelandair-signs-a-new-loi-with-hear</w:instrText>
      </w:r>
      <w:r>
        <w:rPr>
          <w:sz w:val="24"/>
          <w:lang w:val="sk-SK"/>
        </w:rPr>
        <w:instrText xml:space="preserve">t-aerospace" </w:instrText>
      </w:r>
      <w:r>
        <w:fldChar w:fldCharType="separate"/>
      </w:r>
      <w:r>
        <w:rPr>
          <w:rStyle w:val="Hyperlink"/>
          <w:sz w:val="24"/>
          <w:lang w:val="sk-SK"/>
        </w:rPr>
        <w:t>Icelandair</w:t>
      </w:r>
      <w:proofErr w:type="spellEnd"/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), </w:t>
      </w:r>
      <w:proofErr w:type="spellStart"/>
      <w:r>
        <w:rPr>
          <w:sz w:val="24"/>
          <w:lang w:val="sk-SK"/>
        </w:rPr>
        <w:t>Pipistrel</w:t>
      </w:r>
      <w:proofErr w:type="spellEnd"/>
      <w:r>
        <w:rPr>
          <w:sz w:val="24"/>
          <w:lang w:val="sk-SK"/>
        </w:rPr>
        <w:t xml:space="preserve">, </w:t>
      </w:r>
      <w:r>
        <w:fldChar w:fldCharType="begin"/>
      </w:r>
      <w:r w:rsidRPr="008D6826">
        <w:rPr>
          <w:lang w:val="sk-SK"/>
        </w:rPr>
        <w:instrText xml:space="preserve"> HYPERLINK "https://www.airbus.com/en/newsroom/press-releases/2019-05-airbus-and-sas-scandinavian-airlines-sign-hybrid-and-electric" </w:instrText>
      </w:r>
      <w:r>
        <w:fldChar w:fldCharType="separate"/>
      </w:r>
      <w:r>
        <w:rPr>
          <w:rStyle w:val="Hyperlink"/>
          <w:sz w:val="24"/>
          <w:lang w:val="sk-SK"/>
        </w:rPr>
        <w:t>SAS (v spolupráci s </w:t>
      </w:r>
      <w:proofErr w:type="spellStart"/>
      <w:r>
        <w:rPr>
          <w:rStyle w:val="Hyperlink"/>
          <w:sz w:val="24"/>
          <w:lang w:val="sk-SK"/>
        </w:rPr>
        <w:t>Airbus</w:t>
      </w:r>
      <w:proofErr w:type="spellEnd"/>
      <w:r>
        <w:rPr>
          <w:rStyle w:val="Hyperlink"/>
          <w:sz w:val="24"/>
          <w:lang w:val="sk-SK"/>
        </w:rPr>
        <w:t>)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Tecnam</w:t>
      </w:r>
      <w:proofErr w:type="spellEnd"/>
      <w:r>
        <w:rPr>
          <w:sz w:val="24"/>
          <w:lang w:val="sk-SK"/>
        </w:rPr>
        <w:t xml:space="preserve"> atď.</w:t>
      </w:r>
    </w:p>
  </w:footnote>
  <w:footnote w:id="11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Informačný list, </w:t>
      </w:r>
      <w:hyperlink r:id="rId4" w:history="1">
        <w:r>
          <w:rPr>
            <w:rStyle w:val="Hyperlink"/>
            <w:sz w:val="24"/>
            <w:lang w:val="sk-SK"/>
          </w:rPr>
          <w:t xml:space="preserve">Net </w:t>
        </w:r>
        <w:proofErr w:type="spellStart"/>
        <w:r>
          <w:rPr>
            <w:rStyle w:val="Hyperlink"/>
            <w:sz w:val="24"/>
            <w:lang w:val="sk-SK"/>
          </w:rPr>
          <w:t>zero</w:t>
        </w:r>
        <w:proofErr w:type="spellEnd"/>
        <w:r>
          <w:rPr>
            <w:rStyle w:val="Hyperlink"/>
            <w:sz w:val="24"/>
            <w:lang w:val="sk-SK"/>
          </w:rPr>
          <w:t xml:space="preserve"> 2050:</w:t>
        </w:r>
      </w:hyperlink>
      <w:hyperlink r:id="rId5" w:history="1">
        <w:r>
          <w:rPr>
            <w:rStyle w:val="Hyperlink"/>
            <w:sz w:val="24"/>
            <w:lang w:val="sk-SK"/>
          </w:rPr>
          <w:t xml:space="preserve">new </w:t>
        </w:r>
        <w:proofErr w:type="spellStart"/>
        <w:r>
          <w:rPr>
            <w:rStyle w:val="Hyperlink"/>
            <w:sz w:val="24"/>
            <w:lang w:val="sk-SK"/>
          </w:rPr>
          <w:t>aircraft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tech</w:t>
        </w:r>
        <w:r>
          <w:rPr>
            <w:rStyle w:val="Hyperlink"/>
            <w:sz w:val="24"/>
            <w:lang w:val="sk-SK"/>
          </w:rPr>
          <w:t>nology</w:t>
        </w:r>
        <w:proofErr w:type="spellEnd"/>
      </w:hyperlink>
      <w:r>
        <w:rPr>
          <w:rStyle w:val="Hyperlink"/>
          <w:sz w:val="24"/>
          <w:lang w:val="sk-SK"/>
        </w:rPr>
        <w:t xml:space="preserve"> </w:t>
      </w:r>
      <w:r>
        <w:rPr>
          <w:sz w:val="24"/>
          <w:lang w:val="sk-SK"/>
        </w:rPr>
        <w:t>(Nulová bilancia emisií do roku 2050: nové letecké technológie), IATA, jún 2023.</w:t>
      </w:r>
    </w:p>
  </w:footnote>
  <w:footnote w:id="12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6" w:history="1">
        <w:proofErr w:type="spellStart"/>
        <w:r>
          <w:rPr>
            <w:rStyle w:val="Hyperlink"/>
            <w:sz w:val="24"/>
            <w:lang w:val="sk-SK"/>
          </w:rPr>
          <w:t>Pipistrel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Velis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Electro</w:t>
        </w:r>
        <w:proofErr w:type="spellEnd"/>
      </w:hyperlink>
      <w:r>
        <w:rPr>
          <w:sz w:val="24"/>
          <w:lang w:val="sk-SK"/>
        </w:rPr>
        <w:t>.</w:t>
      </w:r>
    </w:p>
  </w:footnote>
  <w:footnote w:id="13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234, 22.9.2023, s. 1.</w:t>
      </w:r>
    </w:p>
  </w:footnote>
  <w:footnote w:id="14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7" w:history="1">
        <w:proofErr w:type="spellStart"/>
        <w:r>
          <w:rPr>
            <w:rStyle w:val="Hyperlink"/>
            <w:sz w:val="24"/>
            <w:lang w:val="sk-SK"/>
          </w:rPr>
          <w:t>Accessibility</w:t>
        </w:r>
        <w:proofErr w:type="spellEnd"/>
        <w:r>
          <w:rPr>
            <w:rStyle w:val="Hyperlink"/>
            <w:sz w:val="24"/>
            <w:lang w:val="sk-SK"/>
          </w:rPr>
          <w:t xml:space="preserve"> study </w:t>
        </w:r>
        <w:proofErr w:type="spellStart"/>
        <w:r>
          <w:rPr>
            <w:rStyle w:val="Hyperlink"/>
            <w:sz w:val="24"/>
            <w:lang w:val="sk-SK"/>
          </w:rPr>
          <w:t>for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electric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aviation.</w:t>
        </w:r>
      </w:hyperlink>
      <w:hyperlink r:id="rId8" w:history="1">
        <w:r>
          <w:rPr>
            <w:rStyle w:val="Hyperlink"/>
            <w:sz w:val="24"/>
            <w:lang w:val="sk-SK"/>
          </w:rPr>
          <w:t>Part</w:t>
        </w:r>
        <w:proofErr w:type="spellEnd"/>
        <w:r>
          <w:rPr>
            <w:rStyle w:val="Hyperlink"/>
            <w:sz w:val="24"/>
            <w:lang w:val="sk-SK"/>
          </w:rPr>
          <w:t xml:space="preserve"> of </w:t>
        </w:r>
        <w:proofErr w:type="spellStart"/>
        <w:r>
          <w:rPr>
            <w:rStyle w:val="Hyperlink"/>
            <w:sz w:val="24"/>
            <w:lang w:val="sk-SK"/>
          </w:rPr>
          <w:t>the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project</w:t>
        </w:r>
        <w:proofErr w:type="spellEnd"/>
        <w:r>
          <w:rPr>
            <w:rStyle w:val="Hyperlink"/>
            <w:sz w:val="24"/>
            <w:lang w:val="sk-SK"/>
          </w:rPr>
          <w:t xml:space="preserve"> Electric </w:t>
        </w:r>
        <w:proofErr w:type="spellStart"/>
        <w:r>
          <w:rPr>
            <w:rStyle w:val="Hyperlink"/>
            <w:sz w:val="24"/>
            <w:lang w:val="sk-SK"/>
          </w:rPr>
          <w:t>Aviation</w:t>
        </w:r>
        <w:proofErr w:type="spellEnd"/>
        <w:r>
          <w:rPr>
            <w:rStyle w:val="Hyperlink"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sz w:val="24"/>
            <w:lang w:val="sk-SK"/>
          </w:rPr>
          <w:t>the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Effect</w:t>
        </w:r>
        <w:proofErr w:type="spellEnd"/>
        <w:r>
          <w:rPr>
            <w:rStyle w:val="Hyperlink"/>
            <w:sz w:val="24"/>
            <w:lang w:val="sk-SK"/>
          </w:rPr>
          <w:t xml:space="preserve"> on </w:t>
        </w:r>
        <w:proofErr w:type="spellStart"/>
        <w:r>
          <w:rPr>
            <w:rStyle w:val="Hyperlink"/>
            <w:sz w:val="24"/>
            <w:lang w:val="sk-SK"/>
          </w:rPr>
          <w:t>Nordic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Regio</w:t>
        </w:r>
        <w:r>
          <w:rPr>
            <w:rStyle w:val="Hyperlink"/>
            <w:sz w:val="24"/>
            <w:lang w:val="sk-SK"/>
          </w:rPr>
          <w:t>ns</w:t>
        </w:r>
        <w:proofErr w:type="spellEnd"/>
        <w:r>
          <w:rPr>
            <w:rStyle w:val="Hyperlink"/>
            <w:sz w:val="24"/>
            <w:lang w:val="sk-SK"/>
          </w:rPr>
          <w:t xml:space="preserve"> (Štúdia o prístupnosti elektrickej leteckej dopravy – súčasť projektu Elektrická letecká doprava a jej vplyv na severské štáty)</w:t>
        </w:r>
      </w:hyperlink>
      <w:r>
        <w:rPr>
          <w:sz w:val="24"/>
          <w:lang w:val="sk-SK"/>
        </w:rPr>
        <w:t>.</w:t>
      </w:r>
    </w:p>
  </w:footnote>
  <w:footnote w:id="15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Tamže.</w:t>
      </w:r>
    </w:p>
  </w:footnote>
  <w:footnote w:id="16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https://www.easa.europa.eu/en/newsroom-and-events/press-releases/easa-publishes-worlds-first-proposal-assess</w:t>
      </w:r>
      <w:r>
        <w:rPr>
          <w:sz w:val="24"/>
          <w:lang w:val="sk-SK"/>
        </w:rPr>
        <w:t>ment-and-limitation.</w:t>
      </w:r>
    </w:p>
  </w:footnote>
  <w:footnote w:id="17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EASA, </w:t>
      </w:r>
      <w:proofErr w:type="spellStart"/>
      <w:r>
        <w:rPr>
          <w:sz w:val="24"/>
          <w:lang w:val="sk-SK"/>
        </w:rPr>
        <w:t>Vertiports</w:t>
      </w:r>
      <w:proofErr w:type="spellEnd"/>
      <w:r>
        <w:rPr>
          <w:sz w:val="24"/>
          <w:lang w:val="sk-SK"/>
        </w:rPr>
        <w:t xml:space="preserve">. Prototype </w:t>
      </w:r>
      <w:proofErr w:type="spellStart"/>
      <w:r>
        <w:rPr>
          <w:sz w:val="24"/>
          <w:lang w:val="sk-SK"/>
        </w:rPr>
        <w:t>Technical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Specifications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for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Design of VFR </w:t>
      </w:r>
      <w:proofErr w:type="spellStart"/>
      <w:r>
        <w:rPr>
          <w:sz w:val="24"/>
          <w:lang w:val="sk-SK"/>
        </w:rPr>
        <w:t>Vertiports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for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Operation</w:t>
      </w:r>
      <w:proofErr w:type="spellEnd"/>
      <w:r>
        <w:rPr>
          <w:sz w:val="24"/>
          <w:lang w:val="sk-SK"/>
        </w:rPr>
        <w:t xml:space="preserve"> of </w:t>
      </w:r>
      <w:proofErr w:type="spellStart"/>
      <w:r>
        <w:rPr>
          <w:sz w:val="24"/>
          <w:lang w:val="sk-SK"/>
        </w:rPr>
        <w:t>with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Manned</w:t>
      </w:r>
      <w:proofErr w:type="spellEnd"/>
      <w:r>
        <w:rPr>
          <w:sz w:val="24"/>
          <w:lang w:val="sk-SK"/>
        </w:rPr>
        <w:t xml:space="preserve"> VTOL-</w:t>
      </w:r>
      <w:proofErr w:type="spellStart"/>
      <w:r>
        <w:rPr>
          <w:sz w:val="24"/>
          <w:lang w:val="sk-SK"/>
        </w:rPr>
        <w:t>Capable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Aircraft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Certified</w:t>
      </w:r>
      <w:proofErr w:type="spellEnd"/>
      <w:r>
        <w:rPr>
          <w:sz w:val="24"/>
          <w:lang w:val="sk-SK"/>
        </w:rPr>
        <w:t xml:space="preserve"> in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Enhanced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Category</w:t>
      </w:r>
      <w:proofErr w:type="spellEnd"/>
      <w:r>
        <w:rPr>
          <w:sz w:val="24"/>
          <w:lang w:val="sk-SK"/>
        </w:rPr>
        <w:t xml:space="preserve"> (PTS-VPT-DSN), marec 2022.</w:t>
      </w:r>
    </w:p>
  </w:footnote>
  <w:footnote w:id="18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9" w:history="1">
        <w:proofErr w:type="spellStart"/>
        <w:r>
          <w:rPr>
            <w:rStyle w:val="Hyperlink"/>
            <w:i/>
            <w:sz w:val="24"/>
            <w:lang w:val="sk-SK"/>
          </w:rPr>
          <w:t>Target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True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Zero:</w:t>
        </w:r>
      </w:hyperlink>
      <w:hyperlink r:id="rId10" w:history="1">
        <w:r>
          <w:rPr>
            <w:rStyle w:val="Hyperlink"/>
            <w:i/>
            <w:sz w:val="24"/>
            <w:lang w:val="sk-SK"/>
          </w:rPr>
          <w:t>Delivering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the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Infrastructure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for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Battery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i/>
            <w:sz w:val="24"/>
            <w:lang w:val="sk-SK"/>
          </w:rPr>
          <w:t>Hydrogen-Powered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Flight</w:t>
        </w:r>
        <w:proofErr w:type="spellEnd"/>
        <w:r>
          <w:rPr>
            <w:rStyle w:val="Hyperlink"/>
            <w:i/>
            <w:sz w:val="24"/>
            <w:lang w:val="sk-SK"/>
          </w:rPr>
          <w:t xml:space="preserve"> (Cieľ skutočne nulovej bilancie emisií: zavedenie </w:t>
        </w:r>
        <w:r>
          <w:rPr>
            <w:rStyle w:val="Hyperlink"/>
            <w:i/>
            <w:sz w:val="24"/>
            <w:lang w:val="sk-SK"/>
          </w:rPr>
          <w:t>infraštruktúry pre lety poháňané batériami a vodíkom)</w:t>
        </w:r>
      </w:hyperlink>
      <w:r>
        <w:rPr>
          <w:sz w:val="24"/>
          <w:lang w:val="sk-SK"/>
        </w:rPr>
        <w:t>, Svetové ekonomické fórum, apríl 2023, s. 10 – 15.</w:t>
      </w:r>
    </w:p>
  </w:footnote>
  <w:footnote w:id="19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 2023/1804 z 13. septembra 2023 o zavádzaní infraštruktúry pre alternatívne palivá a o zrušení smerni</w:t>
      </w:r>
      <w:r>
        <w:rPr>
          <w:sz w:val="24"/>
          <w:lang w:val="sk-SK"/>
        </w:rPr>
        <w:t>ce 2014/94/EÚ (Ú. v. EÚ L 234, 22.9.2023, s. 1).</w:t>
      </w:r>
    </w:p>
  </w:footnote>
  <w:footnote w:id="20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1" w:history="1">
        <w:proofErr w:type="spellStart"/>
        <w:r>
          <w:rPr>
            <w:rStyle w:val="Hyperlink"/>
            <w:sz w:val="24"/>
            <w:lang w:val="sk-SK"/>
          </w:rPr>
          <w:t>Airbus</w:t>
        </w:r>
        <w:proofErr w:type="spellEnd"/>
        <w:r>
          <w:rPr>
            <w:rStyle w:val="Hyperlink"/>
            <w:sz w:val="24"/>
            <w:lang w:val="sk-SK"/>
          </w:rPr>
          <w:t xml:space="preserve"> and Renault Group to </w:t>
        </w:r>
        <w:proofErr w:type="spellStart"/>
        <w:r>
          <w:rPr>
            <w:rStyle w:val="Hyperlink"/>
            <w:sz w:val="24"/>
            <w:lang w:val="sk-SK"/>
          </w:rPr>
          <w:t>advance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research</w:t>
        </w:r>
        <w:proofErr w:type="spellEnd"/>
        <w:r>
          <w:rPr>
            <w:rStyle w:val="Hyperlink"/>
            <w:sz w:val="24"/>
            <w:lang w:val="sk-SK"/>
          </w:rPr>
          <w:t xml:space="preserve"> on </w:t>
        </w:r>
        <w:proofErr w:type="spellStart"/>
        <w:r>
          <w:rPr>
            <w:rStyle w:val="Hyperlink"/>
            <w:sz w:val="24"/>
            <w:lang w:val="sk-SK"/>
          </w:rPr>
          <w:t>electrification</w:t>
        </w:r>
        <w:proofErr w:type="spellEnd"/>
        <w:r>
          <w:rPr>
            <w:rStyle w:val="Hyperlink"/>
            <w:sz w:val="24"/>
            <w:lang w:val="sk-SK"/>
          </w:rPr>
          <w:t xml:space="preserve"> (</w:t>
        </w:r>
        <w:proofErr w:type="spellStart"/>
        <w:r>
          <w:rPr>
            <w:rStyle w:val="Hyperlink"/>
            <w:sz w:val="24"/>
            <w:lang w:val="sk-SK"/>
          </w:rPr>
          <w:t>Airbus</w:t>
        </w:r>
        <w:proofErr w:type="spellEnd"/>
        <w:r>
          <w:rPr>
            <w:rStyle w:val="Hyperlink"/>
            <w:sz w:val="24"/>
            <w:lang w:val="sk-SK"/>
          </w:rPr>
          <w:t xml:space="preserve"> a Renault Group napredujú v oblasti výskumu elektrifikácie)</w:t>
        </w:r>
      </w:hyperlink>
      <w:r>
        <w:rPr>
          <w:sz w:val="24"/>
          <w:lang w:val="sk-SK"/>
        </w:rPr>
        <w:t>.</w:t>
      </w:r>
    </w:p>
  </w:footnote>
  <w:footnote w:id="21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 2023/959 z 10. mája 2023, ktorou sa mení smernica 2003/87/ES o vytvorení systému obchodovania s emisnými kvótami skleníkových plynov v Únii</w:t>
      </w:r>
      <w:r>
        <w:rPr>
          <w:sz w:val="24"/>
          <w:lang w:val="sk-SK"/>
        </w:rPr>
        <w:t xml:space="preserve"> a rozhodnutie (EÚ) 2015/1814 o zriadení a prevádzke trhovej stabilizačnej rezervy systému obchodovania s emisnými kvótami skleníkových plynov v Únii (Ú. v. EÚ L 130, 16.5.2023, s. 134). </w:t>
      </w:r>
    </w:p>
  </w:footnote>
  <w:footnote w:id="22">
    <w:p w:rsidR="009E0263" w:rsidRDefault="008D682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Smernica Rady 2003/96/ES z 27. októbra 2003 o reštrukturalizácii </w:t>
      </w:r>
      <w:r>
        <w:rPr>
          <w:sz w:val="24"/>
          <w:lang w:val="sk-SK"/>
        </w:rPr>
        <w:t>právneho rámca Spoločenstva pre zdaňovanie energetických výrobkov a elektriny (Ú. v. EÚ L 283, 31.10.2003, s. 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263" w:rsidRDefault="009E02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263" w:rsidRDefault="009E02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263" w:rsidRDefault="009E0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8/2023"/>
    <w:docVar w:name="dvlangue" w:val="SK"/>
    <w:docVar w:name="dvnumam" w:val="0"/>
    <w:docVar w:name="dvpe" w:val="751.901"/>
    <w:docVar w:name="dvrapporteur" w:val="Spravodajca: "/>
    <w:docVar w:name="dvtitre" w:val="Uznesenie Európskeho parlamentu zo 16. januara 2024 o elektrickom letectve – riešenie pre lety na krátke a stredné vzdialenosti(2023/2060(INI))"/>
  </w:docVars>
  <w:rsids>
    <w:rsidRoot w:val="009E0263"/>
    <w:rsid w:val="008D6826"/>
    <w:rsid w:val="009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1D22F"/>
  <w15:chartTrackingRefBased/>
  <w15:docId w15:val="{A37C562A-F83B-4E0E-8A28-6C2896AC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ymaps.arcgis.com/stories/3b35687163744e69a6966b5b9fad976e" TargetMode="External"/><Relationship Id="rId3" Type="http://schemas.openxmlformats.org/officeDocument/2006/relationships/hyperlink" Target="https://aviationbenefits.org/environmental-efficiency/climate-action/waypoint-2050/" TargetMode="External"/><Relationship Id="rId7" Type="http://schemas.openxmlformats.org/officeDocument/2006/relationships/hyperlink" Target="https://storymaps.arcgis.com/stories/3b35687163744e69a6966b5b9fad976e" TargetMode="External"/><Relationship Id="rId2" Type="http://schemas.openxmlformats.org/officeDocument/2006/relationships/hyperlink" Target="https://www.europarl.europa.eu/news/sk/headlines/society/20191129STO67756/emisie-z-leteckej-a-lodnej-dopravy-fakty-a-cisla-infografika" TargetMode="External"/><Relationship Id="rId1" Type="http://schemas.openxmlformats.org/officeDocument/2006/relationships/hyperlink" Target="https://www.europarl.europa.eu/news/sk/headlines/society/20191129STO67756/emisie-z-leteckej-a-lodnej-dopravy-fakty-a-cisla-infografika" TargetMode="External"/><Relationship Id="rId6" Type="http://schemas.openxmlformats.org/officeDocument/2006/relationships/hyperlink" Target="https://www.pipistrel-aircraft.com/products/velis-electro/" TargetMode="External"/><Relationship Id="rId11" Type="http://schemas.openxmlformats.org/officeDocument/2006/relationships/hyperlink" Target="https://www.airbus.com/en/newsroom/press-releases/2022-11-airbus-and-renault-group-to-advance-research-on-electrification" TargetMode="External"/><Relationship Id="rId5" Type="http://schemas.openxmlformats.org/officeDocument/2006/relationships/hyperlink" Target="https://www.iata.org/en/iata-repository/pressroom/fact-sheets/fact-sheet-new-aircraft-technology/" TargetMode="External"/><Relationship Id="rId10" Type="http://schemas.openxmlformats.org/officeDocument/2006/relationships/hyperlink" Target="https://www3.weforum.org/docs/WEF_Target_True_Zero_2023.pdf" TargetMode="External"/><Relationship Id="rId4" Type="http://schemas.openxmlformats.org/officeDocument/2006/relationships/hyperlink" Target="https://www.iata.org/en/iata-repository/pressroom/fact-sheets/fact-sheet-new-aircraft-technology/" TargetMode="External"/><Relationship Id="rId9" Type="http://schemas.openxmlformats.org/officeDocument/2006/relationships/hyperlink" Target="https://www3.weforum.org/docs/WEF_Target_True_Zero_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CFC78-35B7-4383-87AB-3FD208B07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4209</Words>
  <Characters>26415</Characters>
  <Application>Microsoft Office Word</Application>
  <DocSecurity>0</DocSecurity>
  <Lines>220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2024-02-22T10:59:00Z</dcterms:created>
  <dcterms:modified xsi:type="dcterms:W3CDTF">2024-02-22T10:59:00Z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A9-0438/2023</vt:lpwstr>
  </property>
  <property fmtid="{D5CDD505-2E9C-101B-9397-08002B2CF9AE}" pid="4" name="&lt;Type&gt;">
    <vt:lpwstr>RR</vt:lpwstr>
  </property>
</Properties>
</file>