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9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295E" w:rsidRDefault="00305EE4" w:rsidP="0010095E">
            <w:pPr>
              <w:pStyle w:val="EPName"/>
            </w:pPr>
            <w:r w:rsidRPr="0005295E">
              <w:t>Европейски</w:t>
            </w:r>
            <w:r w:rsidR="00EB3A0D" w:rsidRPr="0005295E">
              <w:t xml:space="preserve"> парламент</w:t>
            </w:r>
          </w:p>
          <w:p w:rsidR="00751A4A" w:rsidRPr="0005295E" w:rsidRDefault="00305EE4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05295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5295E" w:rsidRDefault="00187494" w:rsidP="0010095E">
            <w:pPr>
              <w:pStyle w:val="EPLogo"/>
            </w:pPr>
            <w:r w:rsidRPr="000529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295E" w:rsidRDefault="00D058B8" w:rsidP="004C5D52">
      <w:pPr>
        <w:pStyle w:val="LineTop"/>
      </w:pPr>
    </w:p>
    <w:p w:rsidR="00680577" w:rsidRPr="0005295E" w:rsidRDefault="00EB3A0D" w:rsidP="00680577">
      <w:pPr>
        <w:pStyle w:val="EPBodyTA1"/>
      </w:pPr>
      <w:r w:rsidRPr="0005295E">
        <w:t>ПРИЕТИ ТЕКСТОВЕ</w:t>
      </w:r>
    </w:p>
    <w:p w:rsidR="00D058B8" w:rsidRPr="0005295E" w:rsidRDefault="00D058B8" w:rsidP="00D058B8">
      <w:pPr>
        <w:pStyle w:val="LineBottom"/>
      </w:pPr>
    </w:p>
    <w:p w:rsidR="00EB3A0D" w:rsidRPr="0005295E" w:rsidRDefault="00EB3A0D" w:rsidP="00EB3A0D">
      <w:pPr>
        <w:pStyle w:val="ATHeading1"/>
      </w:pPr>
      <w:bookmarkStart w:id="0" w:name="TANumber"/>
      <w:r w:rsidRPr="0005295E">
        <w:t>P9_TA(2024)00</w:t>
      </w:r>
      <w:r w:rsidR="00CB0605">
        <w:rPr>
          <w:lang w:val="en-GB"/>
        </w:rPr>
        <w:t>15</w:t>
      </w:r>
      <w:bookmarkEnd w:id="0"/>
    </w:p>
    <w:p w:rsidR="00EB3A0D" w:rsidRPr="0005295E" w:rsidRDefault="00EB3A0D" w:rsidP="00EB3A0D">
      <w:pPr>
        <w:pStyle w:val="ATHeading2"/>
      </w:pPr>
      <w:bookmarkStart w:id="1" w:name="title"/>
      <w:r w:rsidRPr="0005295E">
        <w:t>Настоящи и бъдещи предизвикателства при трансграничното сътрудничество със съседните държави</w:t>
      </w:r>
      <w:bookmarkEnd w:id="1"/>
    </w:p>
    <w:p w:rsidR="00EB3A0D" w:rsidRPr="0005295E" w:rsidRDefault="00EB3A0D" w:rsidP="00EB3A0D">
      <w:pPr>
        <w:rPr>
          <w:i/>
          <w:vanish/>
        </w:rPr>
      </w:pPr>
      <w:r w:rsidRPr="0005295E">
        <w:rPr>
          <w:i/>
        </w:rPr>
        <w:fldChar w:fldCharType="begin"/>
      </w:r>
      <w:r w:rsidRPr="0005295E">
        <w:rPr>
          <w:i/>
        </w:rPr>
        <w:instrText xml:space="preserve"> TC"(</w:instrText>
      </w:r>
      <w:bookmarkStart w:id="2" w:name="DocNumber"/>
      <w:r w:rsidRPr="0005295E">
        <w:rPr>
          <w:i/>
        </w:rPr>
        <w:instrText>A9-0415/2023</w:instrText>
      </w:r>
      <w:bookmarkEnd w:id="2"/>
      <w:r w:rsidRPr="0005295E">
        <w:rPr>
          <w:i/>
        </w:rPr>
        <w:instrText xml:space="preserve"> - Докладчик: Даниел Буда)"\l3 \n&gt; \* MERGEFORMAT </w:instrText>
      </w:r>
      <w:r w:rsidRPr="0005295E">
        <w:rPr>
          <w:i/>
        </w:rPr>
        <w:fldChar w:fldCharType="end"/>
      </w:r>
    </w:p>
    <w:p w:rsidR="00EB3A0D" w:rsidRPr="0005295E" w:rsidRDefault="00EB3A0D" w:rsidP="00EB3A0D">
      <w:pPr>
        <w:rPr>
          <w:vanish/>
        </w:rPr>
      </w:pPr>
      <w:bookmarkStart w:id="3" w:name="Commission"/>
      <w:r w:rsidRPr="0005295E">
        <w:rPr>
          <w:vanish/>
        </w:rPr>
        <w:t>Комисия по регионално развитие</w:t>
      </w:r>
      <w:bookmarkEnd w:id="3"/>
    </w:p>
    <w:p w:rsidR="00EB3A0D" w:rsidRPr="0005295E" w:rsidRDefault="00EB3A0D" w:rsidP="00EB3A0D">
      <w:pPr>
        <w:rPr>
          <w:vanish/>
        </w:rPr>
      </w:pPr>
      <w:bookmarkStart w:id="4" w:name="PE"/>
      <w:r w:rsidRPr="0005295E">
        <w:rPr>
          <w:vanish/>
        </w:rPr>
        <w:t>PE751.733</w:t>
      </w:r>
      <w:bookmarkEnd w:id="4"/>
    </w:p>
    <w:p w:rsidR="00EB3A0D" w:rsidRPr="0005295E" w:rsidRDefault="00EB3A0D" w:rsidP="00305EE4">
      <w:pPr>
        <w:pStyle w:val="ATHeading3"/>
      </w:pPr>
      <w:bookmarkStart w:id="5" w:name="Sujet"/>
      <w:r w:rsidRPr="0005295E">
        <w:t xml:space="preserve">Резолюция на Европейския парламент от </w:t>
      </w:r>
      <w:r w:rsidR="00371074">
        <w:t>16 януари</w:t>
      </w:r>
      <w:r w:rsidR="00371074" w:rsidRPr="0005295E">
        <w:t xml:space="preserve"> </w:t>
      </w:r>
      <w:r w:rsidRPr="0005295E">
        <w:t>2024 г. относно настоящите и бъдещите предизвикателства при трансграничното сътрудничество със съседните държави</w:t>
      </w:r>
      <w:bookmarkEnd w:id="5"/>
      <w:r w:rsidRPr="0005295E">
        <w:t xml:space="preserve"> </w:t>
      </w:r>
      <w:bookmarkStart w:id="6" w:name="References"/>
      <w:r w:rsidRPr="0005295E">
        <w:t>(2023/2076(INI))</w:t>
      </w:r>
      <w:bookmarkEnd w:id="6"/>
    </w:p>
    <w:p w:rsidR="00543BBB" w:rsidRPr="0005295E" w:rsidRDefault="00543BBB" w:rsidP="00543BBB">
      <w:pPr>
        <w:pStyle w:val="EPComma"/>
      </w:pPr>
      <w:bookmarkStart w:id="7" w:name="TextBodyBegin"/>
      <w:bookmarkEnd w:id="7"/>
      <w:r w:rsidRPr="0005295E">
        <w:rPr>
          <w:i/>
        </w:rPr>
        <w:t>Европейският парламент</w:t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член 3 от Договора за Европейския съюз (ДЕС) и членове 4, 162, 174 – 178 и член 349 от Договора за функционирането на Европейския съюз,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Регламент (EС) 2021/1060 на Европейския парламент и на Съвета от 24 юни 2021 г.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 w:rsidRPr="0005295E">
        <w:rPr>
          <w:rStyle w:val="FootnoteReference"/>
        </w:rPr>
        <w:footnoteReference w:id="1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Регламент (ЕС) 2021/1058 на Европейския парламент и на Съвета от 24 юни 2021 г. относно Европейския фонд за регионално развитие и относно Кохезионния фонд</w:t>
      </w:r>
      <w:r w:rsidRPr="0005295E">
        <w:rPr>
          <w:rStyle w:val="FootnoteReference"/>
        </w:rPr>
        <w:footnoteReference w:id="2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Регламент (ЕС) 2021/1059 на Европейския парламент и на Съвета от 24 юни 2021 г. относно специалните разпоредби за цел „Европейско териториално сътрудничество“ (Interreg), подкрепяна от Европейския фонд за регионално развитие и инструменти за външно финансиране</w:t>
      </w:r>
      <w:r w:rsidRPr="0005295E">
        <w:rPr>
          <w:rStyle w:val="FootnoteReference"/>
        </w:rPr>
        <w:footnoteReference w:id="3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Регламент (ЕС) 2022/562 на Европейския парламент и на Съвета от 6 април 2022 г. за изменение на регламенти (ЕС) № 1303/2013 и (ЕС) № 223/2014 по отношение на Действия по линия на сближаването за бежанците в Европа (CARE)</w:t>
      </w:r>
      <w:r w:rsidRPr="0005295E">
        <w:rPr>
          <w:rStyle w:val="FootnoteReference"/>
        </w:rPr>
        <w:footnoteReference w:id="4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 xml:space="preserve">като взе предвид Регламент (ЕО) № 1082/2006 на Европейския парламент и на </w:t>
      </w:r>
      <w:r w:rsidRPr="0005295E">
        <w:lastRenderedPageBreak/>
        <w:t>Съвета от 5 юли 2006 г. относно Европейската група за териториално сътрудничество (ЕГТС)</w:t>
      </w:r>
      <w:r w:rsidRPr="0005295E">
        <w:rPr>
          <w:rStyle w:val="FootnoteReference"/>
        </w:rPr>
        <w:footnoteReference w:id="5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предложението на Комисията от 29 май 2018 г. за регламент на Европейския парламент и на Съвета относно механизъм за преодоляване на правните и административните пречки в трансграничен контекст (COM(2018)0373),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съобщението на Комисията от 20 септември 2017 г., озаглавено „Насърчаване на растежа и сближаването в граничните региони на ЕС“ (COM(2017)0534),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съобщението на Комисията от 3 април 2020 г., озаглавено „Насоки относно спешната помощ от ЕС при трансгранично здравно сътрудничество във връзка с кризата с COVID-19“</w:t>
      </w:r>
      <w:r w:rsidRPr="0005295E">
        <w:rPr>
          <w:rStyle w:val="FootnoteReference"/>
        </w:rPr>
        <w:footnoteReference w:id="6"/>
      </w:r>
      <w:r w:rsidRPr="0005295E">
        <w:t>,</w:t>
      </w:r>
    </w:p>
    <w:p w:rsidR="00543BBB" w:rsidRPr="0005295E" w:rsidRDefault="00543BBB" w:rsidP="00543BBB">
      <w:pPr>
        <w:pStyle w:val="NormalHanging12a"/>
        <w:rPr>
          <w:snapToGrid w:val="0"/>
        </w:rPr>
      </w:pPr>
      <w:r w:rsidRPr="0005295E">
        <w:t>–</w:t>
      </w:r>
      <w:r w:rsidRPr="0005295E">
        <w:tab/>
        <w:t>като взе предвид съобщението на Комисията от 30 септември 2020 г. относно постигането на европейското пространство за образование до 2025 г. (COM(2020)0625),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своята резолюция от 15 септември 2022 г. относно икономическото, социалното и териториалното сближаване в ЕС: осми доклад за сближаването</w:t>
      </w:r>
      <w:r w:rsidRPr="0005295E">
        <w:rPr>
          <w:rStyle w:val="FootnoteReference"/>
        </w:rPr>
        <w:footnoteReference w:id="7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своята резолюция от 9 май 2023 г. относно ролята на политиката на сближаване за справяне с многоизмерните екологични предизвикателства в Средиземноморския басейн</w:t>
      </w:r>
      <w:r w:rsidRPr="0005295E">
        <w:rPr>
          <w:rStyle w:val="FootnoteReference"/>
        </w:rPr>
        <w:footnoteReference w:id="8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своята резолюция от 13 март 2018 г. относно изоставащите региони в ЕС</w:t>
      </w:r>
      <w:r w:rsidRPr="0005295E">
        <w:rPr>
          <w:rStyle w:val="FootnoteReference"/>
        </w:rPr>
        <w:footnoteReference w:id="9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проучването, озаглавено „Изоставащи региони в ЕС: актуално състояние и бъдещи предизвикателства“, публикувано от Генералната дирекция за парламентарни изследвания на Парламента на 26 октомври 2020 г.</w:t>
      </w:r>
      <w:r w:rsidRPr="0005295E">
        <w:rPr>
          <w:rStyle w:val="FootnoteReference"/>
        </w:rPr>
        <w:footnoteReference w:id="10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своята резолюция от 11 септември 2018 г. относно насърчаване на растежа и сближаването в граничните региони на ЕС</w:t>
      </w:r>
      <w:r w:rsidRPr="0005295E">
        <w:rPr>
          <w:rStyle w:val="FootnoteReference"/>
        </w:rPr>
        <w:footnoteReference w:id="11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 xml:space="preserve">като взе предвид доклада от 2022 г. на Междуправителствения комитет на ООН по изменение на климата, озаглавен „Изменение на климата 2022 г.: смекчаване на последствията от климатичните промени (изменението на климата“). Принос на работна група III към Шестия доклад за оценка на Междуправителствения </w:t>
      </w:r>
      <w:r w:rsidRPr="0005295E">
        <w:lastRenderedPageBreak/>
        <w:t>комитет по изменение на климата“</w:t>
      </w:r>
      <w:r w:rsidRPr="0005295E">
        <w:rPr>
          <w:rStyle w:val="FootnoteReference"/>
        </w:rPr>
        <w:footnoteReference w:id="12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споразумението, прието на 21-вата конференция на страните по Рамковата конвенция на ООН по изменение на климата (COP 21) в Париж на 12 декември 2015 г. (Парижкото споразумение),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заключенията на Съвета от 19 април 2021 г. относно обновено партньорство с държавите от южното съседство – нова програма за Средиземноморието,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резолюцията на Европейския комитет на регионите от 1 юли 2021 г., озаглавена „Визия за Европа: Бъдещето на трансграничното сътрудничество“</w:t>
      </w:r>
      <w:r w:rsidRPr="0005295E">
        <w:rPr>
          <w:rStyle w:val="FootnoteReference"/>
        </w:rPr>
        <w:footnoteReference w:id="13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становището на Европейския комитет на регионите от 8 февруари 2017 г., озаглавено „Липсващи транспортни връзки в граничните региони“</w:t>
      </w:r>
      <w:r w:rsidRPr="0005295E">
        <w:rPr>
          <w:rStyle w:val="FootnoteReference"/>
        </w:rPr>
        <w:footnoteReference w:id="14"/>
      </w:r>
      <w:r w:rsidRPr="0005295E">
        <w:t>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член 54 от своя Правилник за дейността,</w:t>
      </w:r>
    </w:p>
    <w:p w:rsidR="00543BBB" w:rsidRPr="0005295E" w:rsidRDefault="00543BBB" w:rsidP="00543BBB">
      <w:pPr>
        <w:pStyle w:val="NormalHanging12a"/>
      </w:pPr>
      <w:r w:rsidRPr="0005295E">
        <w:t>–</w:t>
      </w:r>
      <w:r w:rsidRPr="0005295E">
        <w:tab/>
        <w:t>като взе предвид доклада на комисията по регионално развитие (A9-0415/2023),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А.</w:t>
      </w:r>
      <w:r w:rsidRPr="0005295E">
        <w:tab/>
        <w:t>като има предвид, че трансграничното сътрудничество на ЕС със съседните държави по сухопътните или морските граници, обхващащо 184 региона, 33 държави и 260 милиона жители, е от ключово значение за политиките на ЕС;</w:t>
      </w:r>
    </w:p>
    <w:p w:rsidR="00543BBB" w:rsidRPr="0005295E" w:rsidRDefault="00543BBB" w:rsidP="00543BBB">
      <w:pPr>
        <w:pStyle w:val="NormalHanging12a"/>
      </w:pPr>
      <w:r w:rsidRPr="0005295E">
        <w:t>Б.</w:t>
      </w:r>
      <w:r w:rsidRPr="0005295E">
        <w:tab/>
        <w:t>като има предвид, че член 8 от Д</w:t>
      </w:r>
      <w:r w:rsidR="00371074">
        <w:t>ЕС</w:t>
      </w:r>
      <w:r w:rsidRPr="0005295E">
        <w:t xml:space="preserve"> определя, че „Съюзът развива привилегировани отношения със съседните страни с оглед установяване на пространство на просперитет и добросъседство, основано на ценностите на Съюза и характеризиращо се с близки и мирни отношения, изградени на основата на сътрудничеството”;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В.</w:t>
      </w:r>
      <w:r w:rsidRPr="0005295E">
        <w:tab/>
        <w:t>като има предвид, че трансграничното сътрудничество е важна стъпка в предприсъединителния процес на ЕС на държавите кандидатки;</w:t>
      </w:r>
    </w:p>
    <w:p w:rsidR="00543BBB" w:rsidRPr="0005295E" w:rsidRDefault="00543BBB" w:rsidP="00543BBB">
      <w:pPr>
        <w:pStyle w:val="NormalHanging12a"/>
      </w:pPr>
      <w:r w:rsidRPr="0005295E">
        <w:t>Г.</w:t>
      </w:r>
      <w:r w:rsidRPr="0005295E">
        <w:tab/>
        <w:t xml:space="preserve">като има предвид, че трансграничното сътрудничество допринася за мира и устойчивото развитие по външните граници на ЕС, подкрепя демократичните реформи, зачитането на европейските ценности, икономическото и социалното развитие на граничните райони, включително опазването на околната среда, услугите в областта на общественото здраве и мерките за безопасност и сигурност, допринася за постигането на целите на ЕС за по-интелигентен, по-зелен и по-свързан ЕС и съседните държави, както и за посрещането на регионалните нужди по отношение на доброто сътрудничество, управлението и </w:t>
      </w:r>
      <w:r w:rsidRPr="0005295E">
        <w:lastRenderedPageBreak/>
        <w:t>общите предизвикателства, спомага за насърчаване на взаимното разбирателство и доверие и допринася за предотвратяването на бъдещи конфликти и войни чрез инструменти като програмата „PEACE +“;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Д.</w:t>
      </w:r>
      <w:r w:rsidRPr="0005295E">
        <w:tab/>
        <w:t>като има предвид, че настоящата геополитическа ситуация отново потвърждава важността на стабилността и демократичното развитие в държавите и регионите по външните граници на ЕС;</w:t>
      </w:r>
    </w:p>
    <w:p w:rsidR="00543BBB" w:rsidRPr="0005295E" w:rsidRDefault="00543BBB" w:rsidP="00543BBB">
      <w:pPr>
        <w:pStyle w:val="NormalHanging12a"/>
      </w:pPr>
      <w:r w:rsidRPr="0005295E">
        <w:t>Е.</w:t>
      </w:r>
      <w:r w:rsidRPr="0005295E">
        <w:tab/>
        <w:t>като има предвид, че пандемията от COVID-19 и по-специално агресивната война на Русия срещу Украйна оказаха дълбоко въздействие върху всички програми за трансгранично сътрудничество, подкрепяни от Европейския инструмент за съседство (ЕИС-ТГС), които включват Русия и Беларус, със значително въздействие върху половината от програмите, предложени за периода 2021 – 2027 г.; като има предвид, че политиката на сближаване може да помогне за трансграничното сътрудничество, при условие че се запази нейният стратегически подход и бъде договорен стабилен бюджет;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Ж.</w:t>
      </w:r>
      <w:r w:rsidRPr="0005295E">
        <w:tab/>
        <w:t>като има предвид, че изтичането на мозъци засяга непропорционално по-слабо развитите региони и ако не се предприемат мерки, явлението ще има дългосрочни отрицателни последици за бъдещето на Съюза;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З.</w:t>
      </w:r>
      <w:r w:rsidRPr="0005295E">
        <w:tab/>
        <w:t>като има предвид, че масовото напускане на граничните региони, особено от страна на младите хора и квалифицираните работници, илюстрира липсата на икономическо развитие в тези региони; като има предвид, че трансграничното сътрудничество може да спомогне за създаването на нови възможности за заетост и устойчиво икономическо развитие;</w:t>
      </w:r>
    </w:p>
    <w:p w:rsidR="00543BBB" w:rsidRPr="0005295E" w:rsidRDefault="00543BBB" w:rsidP="00543BBB">
      <w:pPr>
        <w:pStyle w:val="NormalHanging12a"/>
      </w:pPr>
      <w:r w:rsidRPr="0005295E">
        <w:t>И.</w:t>
      </w:r>
      <w:r w:rsidRPr="0005295E">
        <w:tab/>
        <w:t>като има предвид, че нестабилното политическо, икономическо положение и положението със сигурността в Северна Африка и управлението на миграционната криза подчертават необходимостта от сътрудничество в Средиземноморския басейн;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Й.</w:t>
      </w:r>
      <w:r w:rsidRPr="0005295E">
        <w:tab/>
        <w:t>като има предвид, че граничните региони често са чувствителни на конфликти и напрежение, трансграничното сътрудничество и регионалната дипломация оказват положително въздействие върху предотвратяването и разрешаването на спорове и потенциални кризи;</w:t>
      </w:r>
    </w:p>
    <w:p w:rsidR="00543BBB" w:rsidRPr="0005295E" w:rsidRDefault="00543BBB" w:rsidP="00543BBB">
      <w:pPr>
        <w:pStyle w:val="NormalHanging12a"/>
        <w:rPr>
          <w:rStyle w:val="y2iqfc"/>
          <w:b/>
          <w:i/>
        </w:rPr>
      </w:pPr>
      <w:r w:rsidRPr="0005295E">
        <w:rPr>
          <w:rStyle w:val="y2iqfc"/>
          <w:b/>
          <w:i/>
        </w:rPr>
        <w:t>Общи съображения относно програмите Interreg NEXT</w:t>
      </w:r>
    </w:p>
    <w:p w:rsidR="00543BBB" w:rsidRPr="0005295E" w:rsidRDefault="00543BBB" w:rsidP="00543BBB">
      <w:pPr>
        <w:pStyle w:val="NormalHanging12a"/>
        <w:ind w:hanging="570"/>
      </w:pPr>
      <w:r w:rsidRPr="0005295E">
        <w:t>1.</w:t>
      </w:r>
      <w:r w:rsidRPr="0005295E">
        <w:tab/>
        <w:t>приветства привеждането на програмите Interreg NEXT в съответствие с програмите Interreg, тъй като така има възможност да се опростят процедурите, да се засилят полезните взаимодействия между програмите и да се повиши ефективността на европейските инвестиции; подчертава обаче необходимостта от по-опростени процедури както на етапа на оценяване, така и при изпълнението на проектите, с по-голям акцент върху измеримите резултати, когато това е целесъобразно, и цялостното въздействие върху развитието на регионите и живота на гражданите;</w:t>
      </w:r>
    </w:p>
    <w:p w:rsidR="00543BBB" w:rsidRPr="0005295E" w:rsidRDefault="00543BBB" w:rsidP="00543BBB">
      <w:pPr>
        <w:pStyle w:val="NormalHanging12a"/>
      </w:pPr>
      <w:r w:rsidRPr="0005295E">
        <w:t>2.</w:t>
      </w:r>
      <w:r w:rsidRPr="0005295E">
        <w:tab/>
        <w:t xml:space="preserve">подчертава, че местните и регионалните органи изпълняват ключова роля в трансграничното сътрудничество със съседните държави чрез тяхното познаване на географското, културното, езиковото и социалното положение, възможностите, </w:t>
      </w:r>
      <w:r w:rsidRPr="0005295E">
        <w:lastRenderedPageBreak/>
        <w:t>ограниченията и споделените предизвикателства;</w:t>
      </w:r>
    </w:p>
    <w:p w:rsidR="00543BBB" w:rsidRPr="0005295E" w:rsidRDefault="00543BBB" w:rsidP="00543BBB">
      <w:pPr>
        <w:pStyle w:val="NormalHanging12a"/>
      </w:pPr>
      <w:r w:rsidRPr="0005295E">
        <w:t>3.</w:t>
      </w:r>
      <w:r w:rsidRPr="0005295E">
        <w:tab/>
        <w:t>подчертава значението на трансграничните проекти, включително проектите за междуличностни контакти, за сближаването на хората и по този начин за разкриването на нов потенциал за устойчиво местно развитие и трансгранично сътрудничество; подчертава значението на трансграничните инвестиции за засилването на иновациите, на трансфера на технологии, на общите решения и полезните взаимодействия между различните програми и по този начин за засилването на териториалното сближаване отвъд административните граници и за укрепването на солидарността;</w:t>
      </w:r>
    </w:p>
    <w:p w:rsidR="00543BBB" w:rsidRPr="0005295E" w:rsidRDefault="00543BBB" w:rsidP="00543BBB">
      <w:pPr>
        <w:pStyle w:val="NormalHanging12a"/>
        <w:ind w:hanging="570"/>
      </w:pPr>
      <w:r w:rsidRPr="0005295E">
        <w:t>4.</w:t>
      </w:r>
      <w:r w:rsidRPr="0005295E">
        <w:tab/>
        <w:t>подчертава, че разпределянето на средства за периода 2021 – 2027 г. далеч не е оптимално, и поради това подчертава значението на финансовото засилване на тези програми; приветства по-голямата отчетност на третите държави по отношение на събирането на вземания от бенефициери от частния сектор; подчертава значението на принципите на правовата държава и равнопоставените условия на конкуренция за всички бенефициери, били те публични или частни, и подчертава нуждата от насърчаване на участието на частни инвеститори, заедно с публични инвестиции, в устойчивото развитие на граничните региони и трети държави чрез предоставяне на повече средства на разположение;</w:t>
      </w:r>
    </w:p>
    <w:p w:rsidR="00543BBB" w:rsidRPr="0005295E" w:rsidRDefault="00543BBB" w:rsidP="00543BBB">
      <w:pPr>
        <w:pStyle w:val="NormalHanging12a"/>
        <w:ind w:hanging="570"/>
      </w:pPr>
      <w:r w:rsidRPr="0005295E">
        <w:t>5.</w:t>
      </w:r>
      <w:r w:rsidRPr="0005295E">
        <w:tab/>
        <w:t>приветства възможността управляващите органи да предават данни по електронен път на Комисията, но същевременно посочва, че по-честото предаване на данни не следва да води до увеличаване на бюрокрацията; поради това подчертава значението на оперативно съвместимите системи, които биха могли автоматично да изпращат данни в обща база данни, и насърчава Комисията да продължава да развива сътрудничеството с трети държави в този сектор;</w:t>
      </w:r>
    </w:p>
    <w:p w:rsidR="00543BBB" w:rsidRPr="0005295E" w:rsidRDefault="00543BBB" w:rsidP="00543BBB">
      <w:pPr>
        <w:pStyle w:val="NormalHanging12a"/>
      </w:pPr>
      <w:r w:rsidRPr="0005295E">
        <w:t>6.</w:t>
      </w:r>
      <w:r w:rsidRPr="0005295E">
        <w:tab/>
        <w:t>изразява загриженост, че големите инфраструктурни проекти вече няма да подлежат на одобрение от Комисията;</w:t>
      </w:r>
    </w:p>
    <w:p w:rsidR="00543BBB" w:rsidRPr="0005295E" w:rsidRDefault="00543BBB" w:rsidP="00543BBB">
      <w:pPr>
        <w:pStyle w:val="NormalHanging12a"/>
      </w:pPr>
      <w:r w:rsidRPr="0005295E">
        <w:t>7.</w:t>
      </w:r>
      <w:r w:rsidRPr="0005295E">
        <w:tab/>
        <w:t>приветства премахването на ограничението за финансирането от ЕС за големи инфраструктурни проекти и счита, че развитието на устойчива инфраструктура допринася за социално-икономическия растеж в трансграничните региони; същевременно подчертава необходимостта от ангажиране на публичния и частния сектор, което би могло да доведе до повече иновации и развитие на инфраструктури, свързани с енергийния сектор, транспорта, комуникациите и цифровизацията;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8.</w:t>
      </w:r>
      <w:r w:rsidRPr="0005295E">
        <w:tab/>
        <w:t>повдига въпроса, че основните предизвикателства, пред които е изправен ЕС, могат да бъдат преодолени и чрез насърчаване на трансграничното сътрудничество между съседните региони (напр. устойчиво бъдеще за Средиземно море, Черно море, Балтийско море и други морски басейни; устойчиво бъдеще за Алпите, Пиренеите, Карпатите и други планински вериги; устойчиво бъдеще за големите речни басейни на Рейн, Дунав, Мьоз (Маас) и т.н.);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9.</w:t>
      </w:r>
      <w:r w:rsidRPr="0005295E">
        <w:tab/>
        <w:t xml:space="preserve">подчертава, че трансграничното сътрудничество е важна стъпка в предприсъединителния процес на ЕС, която насърчава държавите кандидатки да споделят опит и да научат по какъв начин ЕС функционира отвътре; подчертава, че това спомага за доближаване на инициативите и целите на ЕС до държавите кандидатки, с цел споделяне на опит и започване на процес на икономическо и </w:t>
      </w:r>
      <w:r w:rsidRPr="0005295E">
        <w:lastRenderedPageBreak/>
        <w:t>социално сближаване; подчертава, че към момента на присъединяване към ЕС държавите кандидатки, които са участвали в трансгранично сътрудничество, вече ще бъдат запознати с програмите и проектите на ЕС;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10.</w:t>
      </w:r>
      <w:r w:rsidRPr="0005295E">
        <w:tab/>
        <w:t>подчертава решаващата роля на трансграничното сътрудничество за устойчивото управление на природните ресурси и предизвикателствата, свързани с изменението на климата, включително природните бедствия, околната среда, биологичното разнообразие и продоволствената сигурност, както и екосистемите в граничните райони; подчертава в този контекст значението на превенцията и на разработването на местни и регионални планове за трансгранични мерки за адаптиране към изменението на климата; подчертава необходимостта от увеличаване на усилията за борба с изменението на климата и засилване на смекчаването на последиците от изменението на климата в тези региони, по-специално с цел привеждане в съответствие с целите на ЕС в областта на климата;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11.</w:t>
      </w:r>
      <w:r w:rsidRPr="0005295E">
        <w:tab/>
        <w:t>подчертава потенциала на трансграничното сътрудничество, особено в по-слабо населените трансгранични райони, в области като енергията от възобновяеми източници и кръговата икономика, и призовава за по-добро използване на съществуващите възможности за развитие на устойчива икономика и качествени работни места;</w:t>
      </w:r>
    </w:p>
    <w:p w:rsidR="00543BBB" w:rsidRPr="0005295E" w:rsidRDefault="00543BBB" w:rsidP="00543BBB">
      <w:pPr>
        <w:pStyle w:val="NormalHanging12a"/>
        <w:ind w:left="0" w:firstLine="0"/>
        <w:rPr>
          <w:b/>
          <w:i/>
        </w:rPr>
      </w:pPr>
      <w:r w:rsidRPr="0005295E">
        <w:rPr>
          <w:b/>
          <w:i/>
        </w:rPr>
        <w:t>Трансгранично сътрудничество с държавите от Източното съседство</w:t>
      </w:r>
    </w:p>
    <w:p w:rsidR="00543BBB" w:rsidRPr="0005295E" w:rsidRDefault="00543BBB" w:rsidP="00543BBB">
      <w:pPr>
        <w:pStyle w:val="NormalHanging12a"/>
      </w:pPr>
      <w:r w:rsidRPr="0005295E">
        <w:t>12.</w:t>
      </w:r>
      <w:r w:rsidRPr="0005295E">
        <w:tab/>
        <w:t>спирането на трансграничното сътрудничество с Русия и Беларус вследствие на агресивната война на Русия срещу Украйна, както и пренасочването на средства към Украйна и Република Молдова, което промени из основи европейската архитектура за сигурност; следователно подчертава необходимостта от сътрудничество в областта на политиката на сигурност, за да се постигнат общите цели за надеждно колективно възпиране и отбрана в рамките на трансграничното сътрудничество;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13.</w:t>
      </w:r>
      <w:r w:rsidRPr="0005295E">
        <w:tab/>
        <w:t>насочва вниманието към трудното положение на регионите с обща граница с Русия и Беларус след преустановяването на програмите за трансгранично сътрудничество с тези държави и насърчава Комисията да работи в тясно сътрудничество със засегнатите държави членки, за да бъдат намерени устойчиви решения за преодоляване на социалните и икономическите предизвикателства в тези региони;</w:t>
      </w:r>
    </w:p>
    <w:p w:rsidR="00543BBB" w:rsidRPr="0005295E" w:rsidRDefault="00543BBB" w:rsidP="00543BBB">
      <w:pPr>
        <w:pStyle w:val="NormalHanging12a"/>
      </w:pPr>
      <w:r w:rsidRPr="0005295E">
        <w:t>14.</w:t>
      </w:r>
      <w:r w:rsidRPr="0005295E">
        <w:tab/>
        <w:t>призовава средствата от трансграничните програми да се използват за развитието на устойчива транспортна инфраструктура, включително изграждането на железопътни връзки и съоръжения за съхранение в близост до границите на ЕС с Украйна и Република Молдова, за да се рационализира потокът от стоки и зърно, така че да се гарантира продоволствената сигурност в световен мащаб, да се допринася за насърчаване на развитието на устойчива икономика и за двете държави и да се оказва помощ на държавите членки по външните граници на Съюза, както и на Молдова и Украйна, за справяне с тези предизвикателства;</w:t>
      </w:r>
    </w:p>
    <w:p w:rsidR="00543BBB" w:rsidRPr="0005295E" w:rsidRDefault="00543BBB" w:rsidP="00543BBB">
      <w:pPr>
        <w:pStyle w:val="NormalHanging12a"/>
      </w:pPr>
      <w:r w:rsidRPr="0005295E">
        <w:t>15.</w:t>
      </w:r>
      <w:r w:rsidRPr="0005295E">
        <w:tab/>
        <w:t xml:space="preserve">признава значението на насърчаването на местната и регионалната култура и опазване на културното наследство, както и на образователния и икономическия обмен между граничните региони, за да се засили взаимното разбиране на обичаите на съседите и да се създават важни стимули за многоезично </w:t>
      </w:r>
      <w:r w:rsidRPr="0005295E">
        <w:lastRenderedPageBreak/>
        <w:t>образование; подчертава значението на приобщаващото образование по отношение на демократичните ценности и необходимостта от подкрепа за по-високо качество в тази област;</w:t>
      </w:r>
    </w:p>
    <w:p w:rsidR="00543BBB" w:rsidRPr="0005295E" w:rsidRDefault="00543BBB" w:rsidP="00543BBB">
      <w:pPr>
        <w:pStyle w:val="NormalHanging12a"/>
      </w:pPr>
      <w:r w:rsidRPr="0005295E">
        <w:t>16.</w:t>
      </w:r>
      <w:r w:rsidRPr="0005295E">
        <w:tab/>
        <w:t>призовава за подкрепа за по-устойчиви инфраструктурни проекти, които допринасят за подобряване на свързаността на трансграничните региони, насърчаване на мобилността в рамките на тези региони и между тях и подобряване на качеството на живот и възможностите за жителите на регионите, както и на проекти, насочени към необходимостта от инфраструктура;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17.</w:t>
      </w:r>
      <w:r w:rsidRPr="0005295E">
        <w:tab/>
        <w:t>признава огромните усилия, полагани от националните правителства, регионалните и местните органи и гражданското общество в държавите – членки на ЕС, разположени около Украйна, както и усилията на Република Молдова в приемането на разселени украинци и преодоляването на всички предизвикателства, произлизащи от руското нашествие, включително въпроса със зърнените култури от Украйна и липсата на транспортна инфраструктура; призовава в този контекст да се предоставя подходяща подкрепа, включително чрез програми за трансгранично сътрудничество, за да се посрещат възникващите нужди;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18.</w:t>
      </w:r>
      <w:r w:rsidRPr="0005295E">
        <w:tab/>
        <w:t>подчертава, че въпреки че не е в открита война с Русия, Република Молдова има и зони на конфликт, подкрепяни от Русия, както и факта, че тя е приела с отворени обятия голям брой украински бежанци, както и че икономическото и социалното положение на Молдова беше силно засегнато от прекратяването на търговските ѝ отношения с Русия; поради това подчертава, че солидните инвестиции и отвореният пазар са изключително необходими и че общите проекти са повече от добре дошли във всички икономически и социални области;</w:t>
      </w:r>
    </w:p>
    <w:p w:rsidR="00543BBB" w:rsidRPr="0005295E" w:rsidRDefault="00543BBB" w:rsidP="00543BBB">
      <w:pPr>
        <w:pStyle w:val="NormalHanging12a"/>
      </w:pPr>
      <w:r w:rsidRPr="0005295E">
        <w:t>19.</w:t>
      </w:r>
      <w:r w:rsidRPr="0005295E">
        <w:tab/>
        <w:t>изразява яростно възмущение поради загубата на човешки живот и разрушаването на жилища и инфраструктура в Украйна; подчертава активната роля, която програмите за трансгранично сътрудничество и Новият европейски „Баухаус“ следва да играят за устойчивото следвоенно възстановяване, и подчертава спешната необходимост от подкрепа за местните и регионалните органи в Украйна, като същевременно тези програми продължават да помагат на съседните региони и насърчават засиленото сътрудничество;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20.</w:t>
      </w:r>
      <w:r w:rsidRPr="0005295E">
        <w:tab/>
        <w:t>приветства инициативата за включване на Украйна в програмата за европейско териториално сътрудничество URBACT и присъединяването на Украйна и Република Молдова като наблюдатели в Европейската мрежа за наблюдение на териториалното планиране (ESPON);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21.</w:t>
      </w:r>
      <w:r w:rsidRPr="0005295E">
        <w:tab/>
        <w:t>изразява съжаление относно използването от страна на Русия на енергийни източници като средство за упражняване на политически и икономически натиск; призовава за бързи разследвания на икономическото сътрудничество с Русия в енергийните сектори на някои държави членки, както и за по-нататъшни действия за укрепване на възобновяемите енергийни източници и повишаване на енергийната ефективност, за да се намали зависимостта от Русия в онези държави членки, които драстично са намалили сътрудничеството си с агресора и са били засегнати от санкциите, включително съседните държави;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22.</w:t>
      </w:r>
      <w:r w:rsidRPr="0005295E">
        <w:tab/>
        <w:t xml:space="preserve">изразява съжаление във връзка с увеличаването на влиянието на Русия в </w:t>
      </w:r>
      <w:r w:rsidRPr="0005295E">
        <w:lastRenderedPageBreak/>
        <w:t>съседните държави, по-специално чрез използване на манипулации и дезинформация както в традиционните медии, така и в онлайн социалните медии, и подчертава значението на засилването на сътрудничеството с тези държави, особено в секторите на образованието и културата, така че гражданите да бъдат информирани и образовани относно демократичните ценности;;</w:t>
      </w:r>
    </w:p>
    <w:p w:rsidR="00543BBB" w:rsidRPr="0005295E" w:rsidRDefault="00543BBB" w:rsidP="00543BBB">
      <w:pPr>
        <w:pStyle w:val="NormalHanging12a"/>
        <w:rPr>
          <w:b/>
          <w:i/>
        </w:rPr>
      </w:pPr>
      <w:r w:rsidRPr="0005295E">
        <w:rPr>
          <w:b/>
          <w:i/>
        </w:rPr>
        <w:t>Сътрудничество във връзка с морските басейни</w:t>
      </w:r>
    </w:p>
    <w:p w:rsidR="00543BBB" w:rsidRPr="0005295E" w:rsidRDefault="00543BBB" w:rsidP="00543BBB">
      <w:pPr>
        <w:pStyle w:val="NormalHanging12a"/>
        <w:rPr>
          <w:i/>
        </w:rPr>
      </w:pPr>
      <w:r w:rsidRPr="0005295E">
        <w:rPr>
          <w:i/>
        </w:rPr>
        <w:t>Черноморски басейн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23.</w:t>
      </w:r>
      <w:r w:rsidRPr="0005295E">
        <w:tab/>
        <w:t>подчертава значението на предоставянето на по-голяма финансова подкрепа за програмата, като се имат предвид предизвикателствата пред сигурността в Черно море, произтичащи от руските нападения и блокадата на морските и дунавските пристанища, които имат за цел да предотвратят доставките на зърно, които са от съществено значение за икономиката на Украйна; подчертава риска за сигурността, който тези нападения представляват за държавите членки, които имат граници с Украйна;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24.</w:t>
      </w:r>
      <w:r w:rsidRPr="0005295E">
        <w:tab/>
        <w:t>подчертава потенциала на черноморските енергийни източници, които са в състояние да допринесат и за устойчиво енергийно бъдеще в ЕС; подчертава, че въпреки потенциала на възобновяемите енергийни източници, те остават до голяма степен неоползотворени;</w:t>
      </w:r>
    </w:p>
    <w:p w:rsidR="00543BBB" w:rsidRPr="0005295E" w:rsidRDefault="00543BBB" w:rsidP="00543BBB">
      <w:pPr>
        <w:pStyle w:val="NormalHanging12a"/>
      </w:pPr>
      <w:r w:rsidRPr="0005295E">
        <w:t>25.</w:t>
      </w:r>
      <w:r w:rsidRPr="0005295E">
        <w:tab/>
        <w:t xml:space="preserve">счита, че програмата Interreg NEXT „Черноморски басейн“ следва да улесни устойчивото икономическо развитие и ефективното управление на споделените ресурси; 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26.</w:t>
      </w:r>
      <w:r w:rsidRPr="0005295E">
        <w:tab/>
        <w:t>подчертава значението на развитието на устойчив туризъм в черноморските крайбрежни региони и призовава всички участници да възприемат отговорен подход към опазването на околната среда;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27.</w:t>
      </w:r>
      <w:r w:rsidRPr="0005295E">
        <w:tab/>
        <w:t>призовава за силен акцент върху Черно море, засилване на регионалното сътрудничество за справяне с въпросите на сигурността, включително тези, свързани с регионалните конфликти и енергийната сигурност, и насърчаване на проекти за модернизиране на пристанищата и свързаната с тях инфраструктура и увеличаване на връзките им със съществуващите транспортни центрове; поради това призовава по-специално за свързването им с коридорите на TEN-T;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28.</w:t>
      </w:r>
      <w:r w:rsidRPr="0005295E">
        <w:tab/>
        <w:t>настоява, че следва да бъде приета съгласувана стратегия за Черноморския регион и за полезни взаимодействия с програмата за река Дунав за периода 2021 – 2027 г.;</w:t>
      </w:r>
    </w:p>
    <w:p w:rsidR="00543BBB" w:rsidRPr="0005295E" w:rsidRDefault="00543BBB" w:rsidP="00543BBB">
      <w:pPr>
        <w:pStyle w:val="NormalHanging12a"/>
        <w:rPr>
          <w:i/>
        </w:rPr>
      </w:pPr>
      <w:r w:rsidRPr="0005295E">
        <w:rPr>
          <w:i/>
        </w:rPr>
        <w:t>Средиземноморски басейн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29.</w:t>
      </w:r>
      <w:r w:rsidRPr="0005295E">
        <w:tab/>
        <w:t>подчертава значението на силните икономически и социални партньорства с трети държави от Средиземноморския басейн; приветства факта, че нараства броят на държавите, участващи в програмите Interreg MED за периода 2021 – 2027 г.;</w:t>
      </w:r>
    </w:p>
    <w:p w:rsidR="00543BBB" w:rsidRPr="0005295E" w:rsidRDefault="00543BBB" w:rsidP="00543BBB">
      <w:pPr>
        <w:pStyle w:val="NormalHanging12a"/>
      </w:pPr>
      <w:r w:rsidRPr="0005295E">
        <w:t>30.</w:t>
      </w:r>
      <w:r w:rsidRPr="0005295E">
        <w:tab/>
        <w:t xml:space="preserve">призовава за по-координирано и ефективно използване на съществуващите фондове в рамките на настоящите социални, климатични и екологични правила, за да се повиши конкурентоспособността на Средиземноморския басейн, като същевременно се насърчава потенциалът на енергията от възобновяеми </w:t>
      </w:r>
      <w:r w:rsidRPr="0005295E">
        <w:lastRenderedPageBreak/>
        <w:t>източници на сушата и в морето;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31.</w:t>
      </w:r>
      <w:r w:rsidRPr="0005295E">
        <w:tab/>
        <w:t>счита, че трансграничните програми трябва да играят активна роля за справяне с общите предизвикателства пред сигурността и да се стремят към регионална стабилност;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32.</w:t>
      </w:r>
      <w:r w:rsidRPr="0005295E">
        <w:tab/>
        <w:t>призовава за управление на миграционните потоци и за борба с незаконната миграция и трафика на хора, включително чрез финансиране на проекти, насочени към приемане, грижи и предоставяне на обучение за мигрантите, за да им се помогне да се справят с предизвикателствата на конкурентната икономическа среда и да разбират и зачитат по-добре европейските ценности, като същевременно се насърчава приобщаването от двете страни на Средиземно море;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33.</w:t>
      </w:r>
      <w:r w:rsidRPr="0005295E">
        <w:tab/>
        <w:t>признава решаващата роля на научните изследвания и иновациите за предотвратяването на риска от природни бедствия, устойчивото управление на водите и намаляването на емисиите на CO</w:t>
      </w:r>
      <w:r w:rsidRPr="0005295E">
        <w:rPr>
          <w:vertAlign w:val="subscript"/>
        </w:rPr>
        <w:t>2</w:t>
      </w:r>
      <w:r w:rsidRPr="0005295E">
        <w:t xml:space="preserve"> и подчертава необходимостта от отдаване на приоритет на проекти, които имат количествено измерими цели по отношение на икономическото, социалното и екологичното въздействие; </w:t>
      </w:r>
    </w:p>
    <w:p w:rsidR="00543BBB" w:rsidRPr="0005295E" w:rsidRDefault="00543BBB" w:rsidP="00543BBB">
      <w:pPr>
        <w:pStyle w:val="NormalHanging12a"/>
      </w:pPr>
      <w:r w:rsidRPr="0005295E">
        <w:t>34.</w:t>
      </w:r>
      <w:r w:rsidRPr="0005295E">
        <w:tab/>
        <w:t>подчертава, че въпреки потенциала на възобновяемите енергийни източници, те остават до голяма степен неоползотворени и че този потенциал следва да се стимулира също и чрез включване на МСП и дружествата със средна пазарна капитализация;</w:t>
      </w:r>
    </w:p>
    <w:p w:rsidR="00543BBB" w:rsidRPr="0005295E" w:rsidRDefault="00543BBB" w:rsidP="00543BBB">
      <w:pPr>
        <w:pStyle w:val="NormalHanging12a"/>
      </w:pPr>
      <w:r w:rsidRPr="0005295E">
        <w:t>35.</w:t>
      </w:r>
      <w:r w:rsidRPr="0005295E">
        <w:tab/>
        <w:t>приветства стратегията за басейна на Западното Средиземноморие (WestMed) и програмите Interreg, като например MARITTIMO, като добри примери за пряко и диверсифицирано сътрудничество, включително на регионално равнище, със споделени цели;</w:t>
      </w:r>
    </w:p>
    <w:p w:rsidR="00543BBB" w:rsidRPr="0005295E" w:rsidRDefault="00543BBB" w:rsidP="00543BBB">
      <w:pPr>
        <w:pStyle w:val="NormalHanging12a"/>
      </w:pPr>
      <w:r w:rsidRPr="0005295E">
        <w:t>36.</w:t>
      </w:r>
      <w:r w:rsidRPr="0005295E">
        <w:tab/>
        <w:t>приветства напредъка на макрорегионалната стратегия за региона на Адриатическо и Йонийско море (EUSAIR), която мобилизира държавите членки и техните региони, трети държави и техните местни органи; счита, че EUSAIR е успешен пример, с който Съюзът се доказа като движеща сила и носител на откритост; поддържа становището, че същите принципи и подобен общ подход трябва да се прилагат и към другите райони на Средиземноморието;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37.</w:t>
      </w:r>
      <w:r w:rsidRPr="0005295E">
        <w:tab/>
        <w:t>приканва Европейския съвет да поиска от Комисията да представи подробна макрорегионална стратегия за Средиземноморието, като вземе предвид новата си програма за Средиземноморието, и по-специално раздел 5 от нея („Зелен преход: устойчивост спрямо изменението на климата, енергетика и околна среда“) и да я приеме; изразява съжаление относно непрекъснатото влошаване на състоянието на околната среда в целия Средиземноморски басейн, загубата на биологично разнообразие и нарастващото замърсяване на въздуха и морето, по-специално замърсяването с пластмасови и битови отпадъци, и призовава за избягване, ограничаване и управление на тези явления чрез насърчаване на кръговата икономика;</w:t>
      </w:r>
    </w:p>
    <w:p w:rsidR="00543BBB" w:rsidRPr="0005295E" w:rsidRDefault="00543BBB" w:rsidP="00543BBB">
      <w:pPr>
        <w:pStyle w:val="NormalHanging12a"/>
        <w:rPr>
          <w:b/>
          <w:i/>
        </w:rPr>
      </w:pPr>
      <w:r w:rsidRPr="0005295E">
        <w:rPr>
          <w:b/>
          <w:i/>
        </w:rPr>
        <w:t>Предизвикателства в областта на трансграничното сътрудничество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38.</w:t>
      </w:r>
      <w:r w:rsidRPr="0005295E">
        <w:tab/>
        <w:t xml:space="preserve">отбелязва, че съществуването на различни правни и институционални рамки </w:t>
      </w:r>
      <w:r w:rsidRPr="0005295E">
        <w:lastRenderedPageBreak/>
        <w:t>създава допълнителни пречки пред изпълнението на проектите и по този начин превръща изпълнението на проектите в предизвикателство; припомня, че административните процедури могат да бъдат сложни и да отнемат много време, което може да обезсърчава местните и регионалните органи да участват в териториалното сътрудничество; призовава Комисията да спомага за опростяването на тези процедури, като ги прави по-достъпни и прозрачни;</w:t>
      </w:r>
    </w:p>
    <w:p w:rsidR="00543BBB" w:rsidRPr="0005295E" w:rsidRDefault="00543BBB" w:rsidP="00543BBB">
      <w:pPr>
        <w:pStyle w:val="NormalHanging12a"/>
      </w:pPr>
      <w:r w:rsidRPr="0005295E">
        <w:t>39.</w:t>
      </w:r>
      <w:r w:rsidRPr="0005295E">
        <w:tab/>
        <w:t>отбелязва, че езиковите бариери и културните различия затрудняват комуникацията и могат да доведат до административна тежест, която следва да бъде преодоляна чрез подходящи мерки;</w:t>
      </w:r>
    </w:p>
    <w:p w:rsidR="00543BBB" w:rsidRPr="0005295E" w:rsidRDefault="00543BBB" w:rsidP="00543BBB">
      <w:pPr>
        <w:pStyle w:val="NormalHanging12a"/>
      </w:pPr>
      <w:r w:rsidRPr="0005295E">
        <w:t>40.</w:t>
      </w:r>
      <w:r w:rsidRPr="0005295E">
        <w:tab/>
        <w:t>подчертава, че се наблюдават различия между държавите, що се отнася до правомощията на органите, както и промени в регионалните органи, което може да доведе до забавяния; счита, че следва да се засили диалогът между местните органи и да се насърчи участието на гражданското общество в проектите за териториално сътрудничество с участието на неправителствени организации, социални предприятия и други участници;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41.</w:t>
      </w:r>
      <w:r w:rsidRPr="0005295E">
        <w:tab/>
        <w:t>подчертава необходимостта от разработване на дългосрочни програми за обмен и предприемаческо сътрудничество между институциите и предприятията в трансграничните региони с цел насърчаване на устойчивото икономическо развитие и от засилване на административната координация между участващите държави чрез по-нататъшно развитие, реорганизиране или, когато е целесъобразно, създаване на устойчиви функционални структури за трансгранично сътрудничество и мрежи;</w:t>
      </w:r>
    </w:p>
    <w:p w:rsidR="00543BBB" w:rsidRPr="0005295E" w:rsidRDefault="00543BBB" w:rsidP="00543BBB">
      <w:pPr>
        <w:pStyle w:val="NormalHanging12a"/>
      </w:pPr>
      <w:r w:rsidRPr="0005295E">
        <w:t>42.</w:t>
      </w:r>
      <w:r w:rsidRPr="0005295E">
        <w:tab/>
        <w:t>подчертава значението на създаването на краткосрочна и средносрочна система за междукултурен обмен с цел насърчаване на изучаването на общи езици, насърчаване на по-задълбочено разбиране на регионалните култури и улесняване на сътрудничеството между трансграничните общности, като подчертава, че тази система следва също така да включва предприемачески и административни аспекти за стимулиране на икономическото и административното развитие;</w:t>
      </w:r>
    </w:p>
    <w:p w:rsidR="00543BBB" w:rsidRPr="0005295E" w:rsidRDefault="00543BBB" w:rsidP="00543BBB">
      <w:pPr>
        <w:pStyle w:val="NormalHanging12a"/>
      </w:pPr>
      <w:r w:rsidRPr="0005295E">
        <w:t>43.</w:t>
      </w:r>
      <w:r w:rsidRPr="0005295E">
        <w:tab/>
        <w:t>посочва необходимостта от адаптиране на програмите към индивидуалните потребности и специфики на всяка участваща държава/регион; призовава също така за изготвянето на насоки по този въпрос;</w:t>
      </w:r>
    </w:p>
    <w:p w:rsidR="00543BBB" w:rsidRPr="0005295E" w:rsidRDefault="00543BBB" w:rsidP="00543BBB">
      <w:pPr>
        <w:pStyle w:val="NormalHanging12a"/>
      </w:pPr>
      <w:r w:rsidRPr="0005295E">
        <w:t>44.</w:t>
      </w:r>
      <w:r w:rsidRPr="0005295E">
        <w:tab/>
        <w:t>отбелязва, че пандемията от COVID-19 оказа неблагоприятно въздействие върху граничните региони и засегна изпълнението на текущите програми и проекти;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45.</w:t>
      </w:r>
      <w:r w:rsidRPr="0005295E">
        <w:tab/>
        <w:t>отбелязва, че липсата на адекватна транспортна инфраструктура и мрежи, особено що се отнася до морското и островното трансгранично сътрудничество, възпрепятства търговията и мобилността и усложнява сътрудничеството;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46.</w:t>
      </w:r>
      <w:r w:rsidRPr="0005295E">
        <w:tab/>
        <w:t>посочва специфичните предизвикателства пред морските граници и необходимостта те да бъдат признати за специфични граници със свои собствени потребности, особено поради езиковите и културните различия, административните и правните тежести, социално-икономическите неравенства и екологичните проблеми;</w:t>
      </w:r>
    </w:p>
    <w:p w:rsidR="00543BBB" w:rsidRPr="0005295E" w:rsidRDefault="00543BBB" w:rsidP="00543BBB">
      <w:pPr>
        <w:pStyle w:val="NormalHanging12a"/>
        <w:rPr>
          <w:b/>
          <w:i/>
        </w:rPr>
      </w:pPr>
      <w:r w:rsidRPr="0005295E">
        <w:rPr>
          <w:b/>
          <w:i/>
        </w:rPr>
        <w:t>Възможности за трансгранично сътрудничество</w:t>
      </w:r>
    </w:p>
    <w:p w:rsidR="00543BBB" w:rsidRPr="0005295E" w:rsidRDefault="00543BBB" w:rsidP="00543BBB">
      <w:pPr>
        <w:pStyle w:val="NormalHanging12a"/>
      </w:pPr>
      <w:r w:rsidRPr="0005295E">
        <w:lastRenderedPageBreak/>
        <w:t>47.</w:t>
      </w:r>
      <w:r w:rsidRPr="0005295E">
        <w:tab/>
        <w:t>подчертава, че поради многобройните кризи и конфликти трансграничното сътрудничество със съседните държави изисква инвестиции в издръжливостта на държавите и обществата и че приоритетите за партньорство следва да допринасят за значително подобряване на условията на живот от двете страни на границата, включително чрез гарантиране на приобщаващо устойчиво развитие, социална справедливост, възможности за заетост и икономическо благоденствие;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48.</w:t>
      </w:r>
      <w:r w:rsidRPr="0005295E">
        <w:tab/>
        <w:t>счита, че трансграничното сътрудничество може да допринася значително за укрепването на местната и регионалната демокрация и административния капацитет на държавите партньори; подчертава значението на Европейските групи за териториално сътрудничество (ЕГТС), що се отнася до улесняването и насърчаването на териториалното сътрудничество, и по-специално управлението на трансгранични транспортни услуги или болници, изпълнението или управлението на трансгранични проекти за развитие и обмена на знания и най-добри практики;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49.</w:t>
      </w:r>
      <w:r w:rsidRPr="0005295E">
        <w:tab/>
        <w:t>подчертава значението на трансграничните програми на ЕС за включването на културата като важен показател за регионално развитие, по-специално в граничните райони, в които хората, живеещи от двете страни на границата, споделят един и същ културен и езиков произход, за да се гарантират оживени региони и да се повишава привлекателността на регионите, да се увеличава културният обмен и да се насърчат многообразието и солидарността отвъд границите на ЕС;</w:t>
      </w:r>
    </w:p>
    <w:p w:rsidR="00543BBB" w:rsidRPr="0005295E" w:rsidRDefault="00543BBB" w:rsidP="00543BBB">
      <w:pPr>
        <w:pStyle w:val="NormalHanging12a"/>
      </w:pPr>
      <w:r w:rsidRPr="0005295E">
        <w:t>50.</w:t>
      </w:r>
      <w:r w:rsidRPr="0005295E">
        <w:tab/>
        <w:t>подчертава факта, че програмите предлагат възможности за задълбочен диалог с редица заинтересовани страни, включително представители на гражданското общество, местните и регионалните органи, академичните среди, гражданите, НПО и частния сектор; подчертава по-специално значението на трансграничните програми за държавите – кандидатки за членство в ЕС, тъй като те предоставят на местните и националните органи възможност да се запознаят със законодателството на ЕС;</w:t>
      </w:r>
    </w:p>
    <w:p w:rsidR="00543BBB" w:rsidRPr="0005295E" w:rsidRDefault="00543BBB" w:rsidP="00543BBB">
      <w:pPr>
        <w:pStyle w:val="NormalHanging12a"/>
      </w:pPr>
      <w:r w:rsidRPr="0005295E">
        <w:t>51.</w:t>
      </w:r>
      <w:r w:rsidRPr="0005295E">
        <w:tab/>
        <w:t>отбелязва, че трансграничното сътрудничество може да допринася допълнително за намаляване на регионалните различия, насърчаване на икономическото и социалното развитие, интегриране на принципа на равенство между половете, заетост, търговия и териториално сближаване и подобряване на мобилността на хората и свързаността на регионите;</w:t>
      </w:r>
    </w:p>
    <w:p w:rsidR="00543BBB" w:rsidRPr="0005295E" w:rsidRDefault="00543BBB" w:rsidP="00543BBB">
      <w:pPr>
        <w:pStyle w:val="NormalHanging12a"/>
      </w:pPr>
      <w:r w:rsidRPr="0005295E">
        <w:t>52.</w:t>
      </w:r>
      <w:r w:rsidRPr="0005295E">
        <w:tab/>
        <w:t>подчертава значението на трансграничното сътрудничество в областта на цифровизацията и подчертава необходимостта от общи проекти в областта на цифровата инфраструктура, особено в областта на обществените услуги, за да се осигури съгласуван и ефективен публичен сектор, съсредоточен върху нуждите на всички;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53.</w:t>
      </w:r>
      <w:r w:rsidRPr="0005295E">
        <w:tab/>
        <w:t>подчертава, че ЕС и държавите членки следва да си сътрудничат по-тясно със съседните държави в областта на здравеопазването и службите за спешна помощ и следва да увеличат капацитета на МСП и дружествата със средна пазарна капитализация с цел извършване на трансгранична дейност;</w:t>
      </w:r>
    </w:p>
    <w:p w:rsidR="00543BBB" w:rsidRPr="0005295E" w:rsidRDefault="00543BBB" w:rsidP="00543BBB">
      <w:pPr>
        <w:pStyle w:val="NormalHanging12a"/>
      </w:pPr>
      <w:r w:rsidRPr="0005295E">
        <w:t>54.</w:t>
      </w:r>
      <w:r w:rsidRPr="0005295E">
        <w:tab/>
        <w:t xml:space="preserve">подчертава значението на работата в мрежа и сравнителния анализ за премахване на пречките пред трансграничното сътрудничество и отбелязва, че това следва да </w:t>
      </w:r>
      <w:r w:rsidRPr="0005295E">
        <w:lastRenderedPageBreak/>
        <w:t>даде възможност за по-добро използване на инструменти като ЕГТС, инструмента за интегрирани териториални инвестиции и стратегията за водено от общностите местно развитие;</w:t>
      </w:r>
    </w:p>
    <w:p w:rsidR="00543BBB" w:rsidRPr="0005295E" w:rsidRDefault="00543BBB" w:rsidP="00543BBB">
      <w:pPr>
        <w:pStyle w:val="NormalHanging12a"/>
      </w:pPr>
      <w:r w:rsidRPr="0005295E">
        <w:t>55.</w:t>
      </w:r>
      <w:r w:rsidRPr="0005295E">
        <w:tab/>
        <w:t>подчертава ключовата роля, която инвестициите във висококачествени обществени услуги играят за изграждането на социална устойчивост и справянето с икономически, здравни и социални кризи;</w:t>
      </w:r>
    </w:p>
    <w:p w:rsidR="00543BBB" w:rsidRPr="0005295E" w:rsidRDefault="00543BBB" w:rsidP="00543BBB">
      <w:pPr>
        <w:pStyle w:val="NormalHanging12a"/>
      </w:pPr>
      <w:r w:rsidRPr="0005295E">
        <w:t>56.</w:t>
      </w:r>
      <w:r w:rsidRPr="0005295E">
        <w:tab/>
        <w:t>приветства трайния ангажимент на правителството на Обединеното кралство към програмата PEACE, която играе ключова роля за сътрудничеството между граничните региони на Ирландия и Северна Ирландия;</w:t>
      </w:r>
    </w:p>
    <w:p w:rsidR="00543BBB" w:rsidRPr="0005295E" w:rsidRDefault="00543BBB" w:rsidP="00543BBB">
      <w:pPr>
        <w:pStyle w:val="NormalHanging12a"/>
      </w:pPr>
      <w:r w:rsidRPr="0005295E">
        <w:t>57.</w:t>
      </w:r>
      <w:r w:rsidRPr="0005295E">
        <w:tab/>
        <w:t>подчертава жизненоважната роля на програмата PEACE PLUS за поддържане на добросъседските взаимоотношения в регионите и за гарантиране на тяхното социално-икономическо развитие;</w:t>
      </w:r>
    </w:p>
    <w:p w:rsidR="00543BBB" w:rsidRPr="0005295E" w:rsidRDefault="00543BBB" w:rsidP="00543BBB">
      <w:pPr>
        <w:pStyle w:val="NormalHanging12a"/>
        <w:rPr>
          <w:rFonts w:eastAsiaTheme="majorEastAsia"/>
          <w:b/>
          <w:bCs/>
          <w:i/>
          <w:kern w:val="32"/>
        </w:rPr>
      </w:pPr>
      <w:r w:rsidRPr="0005295E">
        <w:rPr>
          <w:b/>
          <w:i/>
        </w:rPr>
        <w:t>Препоръки за политиките</w:t>
      </w:r>
    </w:p>
    <w:p w:rsidR="00543BBB" w:rsidRPr="0005295E" w:rsidRDefault="00543BBB" w:rsidP="00543BBB">
      <w:pPr>
        <w:pStyle w:val="NormalHanging12a"/>
      </w:pPr>
      <w:r w:rsidRPr="0005295E">
        <w:t>58.</w:t>
      </w:r>
      <w:r w:rsidRPr="0005295E">
        <w:tab/>
        <w:t>препоръчва по-добро взаимно допълване между проектите и подчертава необходимостта от полезни взаимодействия с другите инструменти за финансиране от ЕС, които имат едно и също географско и тематично покритие, за да се избягва евентуално двойно финансиране; подчертава необходимостта през програмния период 2021—2027 г. целевите програми ясно да определят изискванията и приоритетите, които са общи за регионите по външните граници на ЕС, и да допълват други инициативи, финансирани от ЕС, без да се припокриват с тях;</w:t>
      </w:r>
    </w:p>
    <w:p w:rsidR="00543BBB" w:rsidRPr="0005295E" w:rsidRDefault="00543BBB" w:rsidP="00543BBB">
      <w:pPr>
        <w:pStyle w:val="NormalHanging12a"/>
      </w:pPr>
      <w:r w:rsidRPr="0005295E">
        <w:t>59.</w:t>
      </w:r>
      <w:r w:rsidRPr="0005295E">
        <w:tab/>
        <w:t>счита, че следва да бъде засилена допълнително ролята на макрорегионалните стратегии на ЕС при преодоляването на предизвикателствата, свързани с граничните региони;</w:t>
      </w:r>
    </w:p>
    <w:p w:rsidR="00543BBB" w:rsidRPr="0005295E" w:rsidRDefault="00543BBB" w:rsidP="00543BBB">
      <w:pPr>
        <w:pStyle w:val="NormalHanging12a"/>
        <w:rPr>
          <w:szCs w:val="24"/>
        </w:rPr>
      </w:pPr>
      <w:r w:rsidRPr="0005295E">
        <w:t>60.</w:t>
      </w:r>
      <w:r w:rsidRPr="0005295E">
        <w:tab/>
        <w:t xml:space="preserve">препоръчва, в сферата на трансграничното управление, разработването на напълно интегрирана стратегия за инфраструктурата (автомобилна, железопътна, водна), при която се взема предвид трансграничният регион като цяло; подчертава значението на разработването на решения за по-устойчива мобилност във всички трансгранични райони, включително чрез политиката за TEN-T; призовава Комисията и държавите членки да насърчават интелигентната мобилност; </w:t>
      </w:r>
    </w:p>
    <w:p w:rsidR="00543BBB" w:rsidRPr="0005295E" w:rsidRDefault="00543BBB" w:rsidP="00543BBB">
      <w:pPr>
        <w:pStyle w:val="NormalHanging12a"/>
      </w:pPr>
      <w:r w:rsidRPr="0005295E">
        <w:t>61.</w:t>
      </w:r>
      <w:r w:rsidRPr="0005295E">
        <w:tab/>
        <w:t>препоръчва да се насърчават финансовите инструменти на ЕС с добавена социална и икономическа стойност, за да се повишава равнището на осведоменост относно ползите от ЕС;</w:t>
      </w:r>
    </w:p>
    <w:p w:rsidR="00543BBB" w:rsidRPr="0005295E" w:rsidRDefault="00543BBB" w:rsidP="00543BBB">
      <w:pPr>
        <w:pStyle w:val="NormalHanging12a"/>
      </w:pPr>
      <w:r w:rsidRPr="0005295E">
        <w:t>62.</w:t>
      </w:r>
      <w:r w:rsidRPr="0005295E">
        <w:tab/>
        <w:t>призовава Комисията да намалява бюрократичната тежест, да опростява значително процедурите и да намалява пречките, свързани с различното законодателство; настоява, че това следва да даде възможност да се ткликва на реалните нужди на трансграничните райони; подчертава, че за устойчивото и приобщаващо развитие са необходими действия на всички равнища; изрично признава колко е важно да се обръща внимание на селските райони в трансграничните региони, тъй като те са особено засегнати от демографските предизвикателства;</w:t>
      </w:r>
    </w:p>
    <w:p w:rsidR="00543BBB" w:rsidRPr="0005295E" w:rsidRDefault="00543BBB" w:rsidP="00543BBB">
      <w:pPr>
        <w:pStyle w:val="NormalHanging12a"/>
      </w:pPr>
      <w:r w:rsidRPr="0005295E">
        <w:t>63.</w:t>
      </w:r>
      <w:r w:rsidRPr="0005295E">
        <w:tab/>
        <w:t xml:space="preserve">призовава за по-добра координация, диалог и по-нататъшен обмен на най-добри </w:t>
      </w:r>
      <w:r w:rsidRPr="0005295E">
        <w:lastRenderedPageBreak/>
        <w:t>практики между регионите и държавите, например чрез платформа като INTERREG Europe; настоятелно призовава Комисията и държавите членки да засилят сътрудничеството в това отношение и призовава държавите членки да предоставят на местните и регионалните власти инструментите и ресурсите, от които се нуждаят за насърчаване на амбициозно трансгранично сътрудничество; подчертава, че публичните образователни и културни услуги следва да бъдат отворени, достъпни и финансово приемливи за гражданите и от двете страни на границите;</w:t>
      </w:r>
    </w:p>
    <w:p w:rsidR="00543BBB" w:rsidRPr="0005295E" w:rsidRDefault="00543BBB" w:rsidP="00543BBB">
      <w:pPr>
        <w:pStyle w:val="NormalHanging12a"/>
      </w:pPr>
      <w:r w:rsidRPr="0005295E">
        <w:t>64.</w:t>
      </w:r>
      <w:r w:rsidRPr="0005295E">
        <w:tab/>
        <w:t>подчертава, че в съответствие с принципа на партньорство регионалните и местните органи и представителите на гражданското общество и частния сектор следва да участват във възможно най-голяма степен в подготовката и изпълнението на проектите от самото начало; призовава Комисията да обмисли предоставянето на техническа подкрепа на местните и регионалните власти в съседните държави, така че да им се помага да разработват и изпълняват проекти за териториално сътрудничество; призовава също така за изготвянето на насоки в това отношение;</w:t>
      </w:r>
    </w:p>
    <w:p w:rsidR="00543BBB" w:rsidRPr="0005295E" w:rsidRDefault="00543BBB" w:rsidP="00543BBB">
      <w:pPr>
        <w:pStyle w:val="NormalHanging12a"/>
      </w:pPr>
      <w:r w:rsidRPr="0005295E">
        <w:t>65.</w:t>
      </w:r>
      <w:r w:rsidRPr="0005295E">
        <w:tab/>
        <w:t>призовава Комисията да продължи да интегрира Целите за устойчиво развитие в бъдещите планове за действие за трансгранично сътрудничество, така че нито едно място и нито един човек да не бъде пренебрегнат;</w:t>
      </w:r>
    </w:p>
    <w:p w:rsidR="00543BBB" w:rsidRPr="0005295E" w:rsidRDefault="00543BBB" w:rsidP="00543BBB">
      <w:pPr>
        <w:pStyle w:val="NormalHanging12a"/>
      </w:pPr>
      <w:r w:rsidRPr="0005295E">
        <w:t>66.</w:t>
      </w:r>
      <w:r w:rsidRPr="0005295E">
        <w:tab/>
        <w:t>призовава Комисията да продължи да си сътрудничи с държавите партньори за насърчаване на трансграничното сътрудничество, като предоставя, когато е необходимо, ноу-хау, за да се оказва помощ на органите партньори в държавите партньори и да се подобрява информацията, която им се предоставя, по отношение на процедурите и условията за достъп до финансиране от ЕС;</w:t>
      </w:r>
    </w:p>
    <w:p w:rsidR="00543BBB" w:rsidRPr="0005295E" w:rsidRDefault="00543BBB" w:rsidP="00543BBB">
      <w:pPr>
        <w:pStyle w:val="NormalHanging12a"/>
      </w:pPr>
      <w:r w:rsidRPr="0005295E">
        <w:t>67.</w:t>
      </w:r>
      <w:r w:rsidRPr="0005295E">
        <w:tab/>
        <w:t>призовава за увеличаване на цялостния бюджет за трансгранично териториално сътрудничество;</w:t>
      </w:r>
    </w:p>
    <w:p w:rsidR="00543BBB" w:rsidRPr="0005295E" w:rsidRDefault="00543BBB" w:rsidP="00543BBB">
      <w:pPr>
        <w:pStyle w:val="NormalHanging12a"/>
      </w:pPr>
      <w:r w:rsidRPr="0005295E">
        <w:t>68.</w:t>
      </w:r>
      <w:r w:rsidRPr="0005295E">
        <w:tab/>
        <w:t>счита, че създаването на съвместни трансгранични съвети на местните правителства, като тези, които са основани между Румъния и Молдова в помощ на разработването на съвместни проекти от взаимен интерес, може да послужи за пример;</w:t>
      </w:r>
    </w:p>
    <w:p w:rsidR="00543BBB" w:rsidRPr="0005295E" w:rsidRDefault="00543BBB" w:rsidP="00543BBB">
      <w:pPr>
        <w:pStyle w:val="NormalHanging12a"/>
      </w:pPr>
      <w:r w:rsidRPr="0005295E">
        <w:t>69.</w:t>
      </w:r>
      <w:r w:rsidRPr="0005295E">
        <w:tab/>
        <w:t>насърчава усилията за сближаване на държавите партньори с ЕС, стимулиране на вътрешните реформи и изграждането на капацитет на местно и регионално равнище и насърчаване на местната демокрация, многостепенното управление и децентрализираното сътрудничество, включително чрез сътрудничество в рамките на Евронест и Конференцията на регионалните и местните власти за Източното партньорство (CORLEAP) за Източното съседство и Евро-средиземноморската асамблея на регионалните и местните власти (ARLEM) и Парламентарната асамблея на Съюза за Средиземноморието (PA-UfM) за Южното съседство;</w:t>
      </w:r>
    </w:p>
    <w:p w:rsidR="00543BBB" w:rsidRPr="0005295E" w:rsidRDefault="00543BBB" w:rsidP="00543BBB">
      <w:pPr>
        <w:pStyle w:val="NormalHanging12a"/>
      </w:pPr>
      <w:r w:rsidRPr="0005295E">
        <w:t>70.</w:t>
      </w:r>
      <w:r w:rsidRPr="0005295E">
        <w:tab/>
        <w:t xml:space="preserve">подчертава необходимостта от повишаване на усилията и да от разпределяне на по-големи ресурси по отношение на трансграничните проекти, насочени към развиване на ИТ инфраструктурата и разширяване на достъпа до широколентови мрежи с цел подпомагане на икономическото и социалното сътрудничество между трансграничните региони; подчертава ключовата роля, която технологиите </w:t>
      </w:r>
      <w:r w:rsidRPr="0005295E">
        <w:lastRenderedPageBreak/>
        <w:t>и иновациите, постигнати чрез изкуствен интелект, могат да играят за засилването на връзките, насърчаването на устойчивото развитие и подобряването и опростяването на административните процедури;</w:t>
      </w:r>
    </w:p>
    <w:p w:rsidR="00543BBB" w:rsidRPr="0005295E" w:rsidRDefault="00543BBB" w:rsidP="00543BBB">
      <w:pPr>
        <w:pStyle w:val="NormalHanging12a"/>
      </w:pPr>
      <w:r w:rsidRPr="0005295E">
        <w:t>71.</w:t>
      </w:r>
      <w:r w:rsidRPr="0005295E">
        <w:tab/>
        <w:t>подчертава колко е важно да се определят и избягват припокриванията на проекти и ненужните разходи между различните европейски програми и инициативи;</w:t>
      </w:r>
    </w:p>
    <w:p w:rsidR="00543BBB" w:rsidRDefault="00543BBB" w:rsidP="00305EE4">
      <w:pPr>
        <w:pStyle w:val="NormalHanging12a"/>
        <w:rPr>
          <w:rFonts w:ascii="Calibri" w:hAnsi="Calibri"/>
          <w:sz w:val="27"/>
        </w:rPr>
      </w:pPr>
      <w:r w:rsidRPr="0005295E">
        <w:t>72.</w:t>
      </w:r>
      <w:r w:rsidRPr="0005295E">
        <w:tab/>
        <w:t>препоръчва провеждането на периодични оценки на проектите за трансгранично сътрудничество, за да се гарантира ефективното използване на финансовите ресурси на ЕС;</w:t>
      </w:r>
    </w:p>
    <w:p w:rsidR="00305EE4" w:rsidRDefault="00305EE4" w:rsidP="00305EE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:rsidR="00305EE4" w:rsidRDefault="00305EE4" w:rsidP="00305EE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:rsidR="00543BBB" w:rsidRPr="0005295E" w:rsidRDefault="00543BBB" w:rsidP="00543BBB">
      <w:pPr>
        <w:pStyle w:val="NormalHanging12a"/>
      </w:pPr>
      <w:r w:rsidRPr="0005295E">
        <w:t>73.</w:t>
      </w:r>
      <w:r w:rsidRPr="0005295E">
        <w:tab/>
        <w:t>възлага на своя председател да предаде настоящата резолюция на Европейския съвет, на Комисията, на Европейския икономически и социален комитет, на Комитета на регионите, както и на националните и регионалните парламенти на държавите членки.</w:t>
      </w:r>
    </w:p>
    <w:sectPr w:rsidR="00543BBB" w:rsidRPr="0005295E" w:rsidSect="00052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0D" w:rsidRPr="0005295E" w:rsidRDefault="00EB3A0D">
      <w:r w:rsidRPr="0005295E">
        <w:separator/>
      </w:r>
    </w:p>
  </w:endnote>
  <w:endnote w:type="continuationSeparator" w:id="0">
    <w:p w:rsidR="00EB3A0D" w:rsidRPr="0005295E" w:rsidRDefault="00EB3A0D">
      <w:r w:rsidRPr="000529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0D" w:rsidRPr="0005295E" w:rsidRDefault="00EB3A0D">
      <w:r w:rsidRPr="0005295E">
        <w:separator/>
      </w:r>
    </w:p>
  </w:footnote>
  <w:footnote w:type="continuationSeparator" w:id="0">
    <w:p w:rsidR="00EB3A0D" w:rsidRPr="0005295E" w:rsidRDefault="00EB3A0D">
      <w:r w:rsidRPr="0005295E">
        <w:continuationSeparator/>
      </w:r>
    </w:p>
  </w:footnote>
  <w:footnote w:id="1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OВ L 231, 30.6.2021 г., стр. 159.</w:t>
      </w:r>
    </w:p>
  </w:footnote>
  <w:footnote w:id="2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OВ L 231</w:t>
      </w:r>
      <w:r w:rsidR="00DC11B4">
        <w:rPr>
          <w:sz w:val="24"/>
          <w:lang w:val="bg-BG"/>
        </w:rPr>
        <w:t>,</w:t>
      </w:r>
      <w:r w:rsidRPr="0005295E">
        <w:rPr>
          <w:sz w:val="24"/>
          <w:lang w:val="bg-BG"/>
        </w:rPr>
        <w:t xml:space="preserve"> 30.6.2021 г., стp. 60.</w:t>
      </w:r>
    </w:p>
  </w:footnote>
  <w:footnote w:id="3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OВ L 231</w:t>
      </w:r>
      <w:r w:rsidR="00DC11B4">
        <w:rPr>
          <w:sz w:val="24"/>
          <w:lang w:val="bg-BG"/>
        </w:rPr>
        <w:t>,</w:t>
      </w:r>
      <w:r w:rsidRPr="0005295E">
        <w:rPr>
          <w:sz w:val="24"/>
          <w:lang w:val="bg-BG"/>
        </w:rPr>
        <w:t xml:space="preserve"> 30.6.2021 г., стp. 94.</w:t>
      </w:r>
    </w:p>
  </w:footnote>
  <w:footnote w:id="4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 L 109, 8.4.2022 г., стр. 1.</w:t>
      </w:r>
    </w:p>
  </w:footnote>
  <w:footnote w:id="5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OВ L 210</w:t>
      </w:r>
      <w:r w:rsidR="00DC11B4">
        <w:rPr>
          <w:sz w:val="24"/>
          <w:lang w:val="bg-BG"/>
        </w:rPr>
        <w:t>,</w:t>
      </w:r>
      <w:r w:rsidRPr="0005295E">
        <w:rPr>
          <w:sz w:val="24"/>
          <w:lang w:val="bg-BG"/>
        </w:rPr>
        <w:t xml:space="preserve"> 31.7.2006 г., стp. 19.</w:t>
      </w:r>
      <w:bookmarkStart w:id="8" w:name="_GoBack"/>
      <w:bookmarkEnd w:id="8"/>
    </w:p>
  </w:footnote>
  <w:footnote w:id="6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 C 111 I, 3.4.2020 г., стр. 1.</w:t>
      </w:r>
    </w:p>
  </w:footnote>
  <w:footnote w:id="7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 С 125, 5.4.2023 г., стр. 100.</w:t>
      </w:r>
    </w:p>
  </w:footnote>
  <w:footnote w:id="8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Приети текстове, P9_TA(2023)0133.</w:t>
      </w:r>
    </w:p>
  </w:footnote>
  <w:footnote w:id="9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 С 162, 10.5.2019 г., стр. 24.</w:t>
      </w:r>
    </w:p>
  </w:footnote>
  <w:footnote w:id="10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 xml:space="preserve">Проучване — „Европейски изоставащи региони: актуално състояние и бъдещи предизвикателства“, публикувано от Генералната дирекция за парламентарни изследвания на Парламента </w:t>
      </w:r>
      <w:r w:rsidR="00DC11B4">
        <w:rPr>
          <w:sz w:val="24"/>
          <w:lang w:val="bg-BG"/>
        </w:rPr>
        <w:t>септе</w:t>
      </w:r>
      <w:r w:rsidRPr="0005295E">
        <w:rPr>
          <w:sz w:val="24"/>
          <w:lang w:val="bg-BG"/>
        </w:rPr>
        <w:t>мври 2020 г.</w:t>
      </w:r>
    </w:p>
  </w:footnote>
  <w:footnote w:id="11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 C 433, 23.12.2019 г., стр. 24.</w:t>
      </w:r>
    </w:p>
  </w:footnote>
  <w:footnote w:id="12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 xml:space="preserve">Междуправителствен комитет по изменението на климата, „Изменение на климата 2022 г.: смекчаване на последствията от климатичните промени (изменението на климата“). Принос на работна група III към Шестия доклад за оценка на Междуправителствения комитет по изменение на климата, (Shukla, P.R. и др.., сътавители), Cambridge University Press, Кеймбридж, Обединено кралство, и Ню Йорк, Ню Йорк, САЩ, 2022 г. </w:t>
      </w:r>
    </w:p>
  </w:footnote>
  <w:footnote w:id="13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 С 440, 29.10.2021 г., стр. 6.</w:t>
      </w:r>
    </w:p>
  </w:footnote>
  <w:footnote w:id="14">
    <w:p w:rsidR="00543BBB" w:rsidRPr="0005295E" w:rsidRDefault="00543BBB" w:rsidP="0005295E">
      <w:pPr>
        <w:pStyle w:val="FootnoteText"/>
        <w:ind w:left="567" w:hanging="567"/>
        <w:rPr>
          <w:sz w:val="24"/>
          <w:lang w:val="bg-BG"/>
        </w:rPr>
      </w:pPr>
      <w:r w:rsidRPr="0005295E">
        <w:rPr>
          <w:rStyle w:val="FootnoteReference"/>
          <w:sz w:val="24"/>
          <w:lang w:val="bg-BG"/>
        </w:rPr>
        <w:footnoteRef/>
      </w:r>
      <w:r w:rsidR="0005295E" w:rsidRPr="0005295E">
        <w:rPr>
          <w:sz w:val="24"/>
          <w:lang w:val="bg-BG"/>
        </w:rPr>
        <w:t xml:space="preserve"> </w:t>
      </w:r>
      <w:r w:rsidR="0005295E" w:rsidRPr="0005295E">
        <w:rPr>
          <w:sz w:val="24"/>
          <w:lang w:val="bg-BG"/>
        </w:rPr>
        <w:tab/>
      </w:r>
      <w:r w:rsidRPr="0005295E">
        <w:rPr>
          <w:sz w:val="24"/>
          <w:lang w:val="bg-BG"/>
        </w:rPr>
        <w:t>ОВ C 207, 30.6.2017 г., стр. 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9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BG"/>
    <w:docVar w:name="dvnumam" w:val="0"/>
    <w:docVar w:name="dvpe" w:val="751.733"/>
    <w:docVar w:name="dvrapporteur" w:val="Докладчик: "/>
    <w:docVar w:name="dvtitre" w:val="Резолюция на Европейския парламент от ... 2024 г. относно настоящите и бъдещите предизвикателства при трансграничното сътрудничество със съседните държави(2023/2076(INI))"/>
  </w:docVars>
  <w:rsids>
    <w:rsidRoot w:val="00EB3A0D"/>
    <w:rsid w:val="00002272"/>
    <w:rsid w:val="0005295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5EE4"/>
    <w:rsid w:val="00343214"/>
    <w:rsid w:val="00361C00"/>
    <w:rsid w:val="0037107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BBB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605"/>
    <w:rsid w:val="00CC2357"/>
    <w:rsid w:val="00CF071A"/>
    <w:rsid w:val="00D058B8"/>
    <w:rsid w:val="00D56C11"/>
    <w:rsid w:val="00D834A0"/>
    <w:rsid w:val="00D872DF"/>
    <w:rsid w:val="00D91E21"/>
    <w:rsid w:val="00DA7FCD"/>
    <w:rsid w:val="00DC11B4"/>
    <w:rsid w:val="00E365E1"/>
    <w:rsid w:val="00E820A4"/>
    <w:rsid w:val="00EB006A"/>
    <w:rsid w:val="00EB3A0D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91F55"/>
  <w15:chartTrackingRefBased/>
  <w15:docId w15:val="{A725A9E8-5D13-42C3-9CE1-57E95B01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43BBB"/>
    <w:pPr>
      <w:spacing w:after="240"/>
      <w:ind w:left="567" w:hanging="567"/>
    </w:pPr>
  </w:style>
  <w:style w:type="paragraph" w:customStyle="1" w:styleId="EPComma">
    <w:name w:val="EPComma"/>
    <w:basedOn w:val="Normal"/>
    <w:rsid w:val="00543BBB"/>
    <w:pPr>
      <w:spacing w:before="480" w:after="240"/>
    </w:pPr>
  </w:style>
  <w:style w:type="character" w:customStyle="1" w:styleId="y2iqfc">
    <w:name w:val="y2iqfc"/>
    <w:basedOn w:val="DefaultParagraphFont"/>
    <w:rsid w:val="00543BBB"/>
  </w:style>
  <w:style w:type="character" w:customStyle="1" w:styleId="NormalHanging12aChar">
    <w:name w:val="NormalHanging12a Char"/>
    <w:basedOn w:val="DefaultParagraphFont"/>
    <w:link w:val="NormalHanging12a"/>
    <w:rsid w:val="00543BB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746A-7E22-44A9-8481-E46437D5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4832</Words>
  <Characters>30681</Characters>
  <Application>Microsoft Office Word</Application>
  <DocSecurity>0</DocSecurity>
  <Lines>255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2024-02-14T14:02:00Z</dcterms:created>
  <dcterms:modified xsi:type="dcterms:W3CDTF">2024-02-14T14:02:00Z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