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3577" w:rsidTr="0010095E">
        <w:trPr>
          <w:trHeight w:hRule="exact" w:val="1418"/>
        </w:trPr>
        <w:tc>
          <w:tcPr>
            <w:tcW w:w="6804" w:type="dxa"/>
            <w:shd w:val="clear" w:color="auto" w:fill="auto"/>
            <w:vAlign w:val="center"/>
          </w:tcPr>
          <w:p w:rsidR="00751A4A" w:rsidRPr="00023577" w:rsidRDefault="00925F69" w:rsidP="0010095E">
            <w:pPr>
              <w:pStyle w:val="EPName"/>
            </w:pPr>
            <w:r w:rsidRPr="00023577">
              <w:t>Parlamento Europeo</w:t>
            </w:r>
          </w:p>
          <w:p w:rsidR="00751A4A" w:rsidRPr="00023577" w:rsidRDefault="00817416" w:rsidP="00756632">
            <w:pPr>
              <w:pStyle w:val="EPTerm"/>
              <w:rPr>
                <w:rStyle w:val="HideTWBExt"/>
                <w:noProof w:val="0"/>
                <w:vanish w:val="0"/>
                <w:color w:val="auto"/>
              </w:rPr>
            </w:pPr>
            <w:r w:rsidRPr="00023577">
              <w:t>2019-2024</w:t>
            </w:r>
          </w:p>
        </w:tc>
        <w:tc>
          <w:tcPr>
            <w:tcW w:w="2268" w:type="dxa"/>
            <w:shd w:val="clear" w:color="auto" w:fill="auto"/>
          </w:tcPr>
          <w:p w:rsidR="00751A4A" w:rsidRPr="00023577" w:rsidRDefault="00187494" w:rsidP="0010095E">
            <w:pPr>
              <w:pStyle w:val="EPLogo"/>
            </w:pPr>
            <w:r w:rsidRPr="000235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3577" w:rsidRDefault="00D058B8" w:rsidP="004C5D52">
      <w:pPr>
        <w:pStyle w:val="LineTop"/>
      </w:pPr>
    </w:p>
    <w:p w:rsidR="00680577" w:rsidRPr="00023577" w:rsidRDefault="00925F69" w:rsidP="00680577">
      <w:pPr>
        <w:pStyle w:val="EPBodyTA1"/>
      </w:pPr>
      <w:r w:rsidRPr="00023577">
        <w:t>TEXTOS APROBADOS</w:t>
      </w:r>
    </w:p>
    <w:p w:rsidR="00D058B8" w:rsidRPr="00023577" w:rsidRDefault="00D058B8" w:rsidP="00D058B8">
      <w:pPr>
        <w:pStyle w:val="LineBottom"/>
      </w:pPr>
    </w:p>
    <w:p w:rsidR="00925F69" w:rsidRPr="00023577" w:rsidRDefault="00925F69" w:rsidP="00925F69">
      <w:pPr>
        <w:pStyle w:val="ATHeading1"/>
      </w:pPr>
      <w:bookmarkStart w:id="0" w:name="TANumber"/>
      <w:r w:rsidRPr="00023577">
        <w:t>P9_</w:t>
      </w:r>
      <w:proofErr w:type="gramStart"/>
      <w:r w:rsidRPr="00023577">
        <w:t>TA(</w:t>
      </w:r>
      <w:proofErr w:type="gramEnd"/>
      <w:r w:rsidRPr="00023577">
        <w:t>2024)00</w:t>
      </w:r>
      <w:r w:rsidR="000E4E0E">
        <w:t>15</w:t>
      </w:r>
      <w:bookmarkEnd w:id="0"/>
    </w:p>
    <w:p w:rsidR="00925F69" w:rsidRPr="00023577" w:rsidRDefault="00925F69" w:rsidP="00925F69">
      <w:pPr>
        <w:pStyle w:val="ATHeading2"/>
      </w:pPr>
      <w:bookmarkStart w:id="1" w:name="title"/>
      <w:r w:rsidRPr="00023577">
        <w:t>Retos actuales y futuros en relación con la cooperación transfronteriza con los países vecinos</w:t>
      </w:r>
      <w:bookmarkEnd w:id="1"/>
    </w:p>
    <w:p w:rsidR="00925F69" w:rsidRPr="00023577" w:rsidRDefault="00925F69" w:rsidP="00925F69">
      <w:pPr>
        <w:rPr>
          <w:i/>
          <w:vanish/>
        </w:rPr>
      </w:pPr>
      <w:r w:rsidRPr="00023577">
        <w:rPr>
          <w:i/>
        </w:rPr>
        <w:fldChar w:fldCharType="begin"/>
      </w:r>
      <w:r w:rsidRPr="00023577">
        <w:rPr>
          <w:i/>
        </w:rPr>
        <w:instrText xml:space="preserve"> TC"(</w:instrText>
      </w:r>
      <w:bookmarkStart w:id="2" w:name="DocNumber"/>
      <w:r w:rsidRPr="00023577">
        <w:rPr>
          <w:i/>
        </w:rPr>
        <w:instrText>A9-0415/2023</w:instrText>
      </w:r>
      <w:bookmarkEnd w:id="2"/>
      <w:r w:rsidRPr="00023577">
        <w:rPr>
          <w:i/>
        </w:rPr>
        <w:instrText xml:space="preserve"> - Ponente: Daniel Buda)"\l3 \n&gt; \* MERGEFORMAT </w:instrText>
      </w:r>
      <w:r w:rsidRPr="00023577">
        <w:rPr>
          <w:i/>
        </w:rPr>
        <w:fldChar w:fldCharType="end"/>
      </w:r>
    </w:p>
    <w:p w:rsidR="00925F69" w:rsidRPr="00023577" w:rsidRDefault="00925F69" w:rsidP="00925F69">
      <w:pPr>
        <w:rPr>
          <w:vanish/>
        </w:rPr>
      </w:pPr>
      <w:bookmarkStart w:id="3" w:name="Commission"/>
      <w:r w:rsidRPr="00023577">
        <w:rPr>
          <w:vanish/>
        </w:rPr>
        <w:t>Comisión de Desarrollo Regional</w:t>
      </w:r>
      <w:bookmarkEnd w:id="3"/>
    </w:p>
    <w:p w:rsidR="00925F69" w:rsidRPr="00023577" w:rsidRDefault="00925F69" w:rsidP="00925F69">
      <w:pPr>
        <w:rPr>
          <w:vanish/>
        </w:rPr>
      </w:pPr>
      <w:bookmarkStart w:id="4" w:name="PE"/>
      <w:r w:rsidRPr="00023577">
        <w:rPr>
          <w:vanish/>
        </w:rPr>
        <w:t>PE751.733</w:t>
      </w:r>
      <w:bookmarkEnd w:id="4"/>
    </w:p>
    <w:p w:rsidR="00925F69" w:rsidRPr="00023577" w:rsidRDefault="00925F69" w:rsidP="00925F69">
      <w:pPr>
        <w:pStyle w:val="ATHeading3"/>
      </w:pPr>
      <w:bookmarkStart w:id="5" w:name="Sujet"/>
      <w:r w:rsidRPr="00023577">
        <w:t xml:space="preserve">Resolución del Parlamento Europeo, de </w:t>
      </w:r>
      <w:r w:rsidR="000E4E0E">
        <w:t>16</w:t>
      </w:r>
      <w:r w:rsidRPr="00023577">
        <w:t xml:space="preserve"> de enero de 2024, sobre los retos actuales y futuros en relación con la cooperación transfro</w:t>
      </w:r>
      <w:bookmarkStart w:id="6" w:name="_GoBack"/>
      <w:bookmarkEnd w:id="6"/>
      <w:r w:rsidRPr="00023577">
        <w:t>nteriza con los países vecinos</w:t>
      </w:r>
      <w:bookmarkEnd w:id="5"/>
      <w:r w:rsidRPr="00023577">
        <w:t xml:space="preserve"> </w:t>
      </w:r>
      <w:bookmarkStart w:id="7" w:name="References"/>
      <w:r w:rsidRPr="00023577">
        <w:t>(2023/2076(INI))</w:t>
      </w:r>
      <w:bookmarkEnd w:id="7"/>
    </w:p>
    <w:p w:rsidR="00925F69" w:rsidRPr="00023577" w:rsidRDefault="00925F69" w:rsidP="00925F69"/>
    <w:p w:rsidR="0033594A" w:rsidRPr="00023577" w:rsidRDefault="0033594A" w:rsidP="008D3EA2">
      <w:pPr>
        <w:pStyle w:val="EPComma"/>
        <w:spacing w:before="120"/>
      </w:pPr>
      <w:bookmarkStart w:id="8" w:name="TextBodyBegin"/>
      <w:bookmarkEnd w:id="8"/>
      <w:r w:rsidRPr="00023577">
        <w:rPr>
          <w:i/>
          <w:iCs/>
        </w:rPr>
        <w:t>El Parlamento Europeo</w:t>
      </w:r>
      <w:r w:rsidRPr="00023577">
        <w:t>,</w:t>
      </w:r>
    </w:p>
    <w:p w:rsidR="0033594A" w:rsidRPr="00023577" w:rsidRDefault="0033594A" w:rsidP="0033594A">
      <w:pPr>
        <w:pStyle w:val="NormalHanging12a"/>
        <w:rPr>
          <w:snapToGrid w:val="0"/>
        </w:rPr>
      </w:pPr>
      <w:r w:rsidRPr="00023577">
        <w:t>–</w:t>
      </w:r>
      <w:r w:rsidRPr="00023577">
        <w:tab/>
        <w:t>Vistos el artículo 3 del Tratado de la Unión Europea</w:t>
      </w:r>
      <w:r w:rsidR="008D3EA2">
        <w:t xml:space="preserve"> (TUE)</w:t>
      </w:r>
      <w:r w:rsidRPr="00023577">
        <w:t xml:space="preserve"> y los artículos 4, 162, 174 a 178 y 349 del Tratado de Funcionamiento de la Unión Europea,</w:t>
      </w:r>
    </w:p>
    <w:p w:rsidR="0033594A" w:rsidRPr="00023577" w:rsidRDefault="0033594A" w:rsidP="0033594A">
      <w:pPr>
        <w:pStyle w:val="NormalHanging12a"/>
        <w:rPr>
          <w:snapToGrid w:val="0"/>
        </w:rPr>
      </w:pPr>
      <w:r w:rsidRPr="00023577">
        <w:t>–</w:t>
      </w:r>
      <w:r w:rsidRPr="00023577">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023577">
        <w:rPr>
          <w:rStyle w:val="FootnoteReference"/>
        </w:rPr>
        <w:footnoteReference w:id="1"/>
      </w:r>
      <w:r w:rsidRPr="00023577">
        <w:t>,</w:t>
      </w:r>
    </w:p>
    <w:p w:rsidR="0033594A" w:rsidRPr="00023577" w:rsidRDefault="0033594A" w:rsidP="0033594A">
      <w:pPr>
        <w:pStyle w:val="NormalHanging12a"/>
        <w:rPr>
          <w:snapToGrid w:val="0"/>
        </w:rPr>
      </w:pPr>
      <w:r w:rsidRPr="00023577">
        <w:t>–</w:t>
      </w:r>
      <w:r w:rsidRPr="00023577">
        <w:tab/>
        <w:t>Visto el Reglamento (UE) 2021/1058 del Parlamento Europeo y del Consejo, de 24 de junio de 2021, relativo al Fondo Europeo de Desarrollo Regional y al Fondo de Cohesión</w:t>
      </w:r>
      <w:r w:rsidRPr="00023577">
        <w:rPr>
          <w:rStyle w:val="FootnoteReference"/>
        </w:rPr>
        <w:footnoteReference w:id="2"/>
      </w:r>
      <w:r w:rsidRPr="00023577">
        <w:t>,</w:t>
      </w:r>
    </w:p>
    <w:p w:rsidR="0033594A" w:rsidRPr="00023577" w:rsidRDefault="0033594A" w:rsidP="0033594A">
      <w:pPr>
        <w:pStyle w:val="NormalHanging12a"/>
        <w:rPr>
          <w:snapToGrid w:val="0"/>
        </w:rPr>
      </w:pPr>
      <w:r w:rsidRPr="00023577">
        <w:t>–</w:t>
      </w:r>
      <w:r w:rsidRPr="00023577">
        <w:tab/>
        <w:t>Visto el Reglamento (UE) 2021/1059 del Parlamento Europeo y del Consejo, de 24 de junio de 2021, sobre disposiciones específicas para el objetivo de cooperación territorial europea (Interreg) que recibe apoyo del Fondo Europeo de Desarrollo Regional y de los instrumentos de financiación exterior</w:t>
      </w:r>
      <w:r w:rsidRPr="00023577">
        <w:rPr>
          <w:rStyle w:val="FootnoteReference"/>
        </w:rPr>
        <w:footnoteReference w:id="3"/>
      </w:r>
      <w:r w:rsidRPr="00023577">
        <w:t>,</w:t>
      </w:r>
    </w:p>
    <w:p w:rsidR="0033594A" w:rsidRPr="00023577" w:rsidRDefault="0033594A" w:rsidP="0033594A">
      <w:pPr>
        <w:pStyle w:val="NormalHanging12a"/>
        <w:rPr>
          <w:snapToGrid w:val="0"/>
        </w:rPr>
      </w:pPr>
      <w:r w:rsidRPr="00023577">
        <w:t>–</w:t>
      </w:r>
      <w:r w:rsidRPr="00023577">
        <w:tab/>
        <w:t xml:space="preserve">Visto el Reglamento (UE) 2022/562 del Parlamento Europeo y del Consejo, de 6 de abril de 2022, por el que se modifican los Reglamentos (UE) n.º 1303/2013 y (UE) n.º 223/2014 en lo que atañe a la Acción de Cohesión para los Refugiados en Europa </w:t>
      </w:r>
      <w:r w:rsidRPr="00023577">
        <w:lastRenderedPageBreak/>
        <w:t>(CARE)</w:t>
      </w:r>
      <w:r w:rsidRPr="00023577">
        <w:rPr>
          <w:rStyle w:val="FootnoteReference"/>
        </w:rPr>
        <w:footnoteReference w:id="4"/>
      </w:r>
      <w:r w:rsidRPr="00023577">
        <w:t>,</w:t>
      </w:r>
    </w:p>
    <w:p w:rsidR="0033594A" w:rsidRPr="00023577" w:rsidRDefault="0033594A" w:rsidP="0033594A">
      <w:pPr>
        <w:pStyle w:val="NormalHanging12a"/>
        <w:rPr>
          <w:snapToGrid w:val="0"/>
        </w:rPr>
      </w:pPr>
      <w:r w:rsidRPr="00023577">
        <w:t>–</w:t>
      </w:r>
      <w:r w:rsidRPr="00023577">
        <w:tab/>
        <w:t>Visto el Reglamento (CE) n.º 1082/2006 del Parlamento Europeo y del Consejo, de 5 de julio de 2006, sobre la Agrupación europea de cooperación territorial (AECT)</w:t>
      </w:r>
      <w:r w:rsidRPr="00023577">
        <w:rPr>
          <w:rStyle w:val="FootnoteReference"/>
        </w:rPr>
        <w:footnoteReference w:id="5"/>
      </w:r>
      <w:r w:rsidRPr="00023577">
        <w:t>,</w:t>
      </w:r>
    </w:p>
    <w:p w:rsidR="0033594A" w:rsidRPr="00023577" w:rsidRDefault="0033594A" w:rsidP="0033594A">
      <w:pPr>
        <w:pStyle w:val="NormalHanging12a"/>
        <w:rPr>
          <w:snapToGrid w:val="0"/>
        </w:rPr>
      </w:pPr>
      <w:r w:rsidRPr="00023577">
        <w:t>–</w:t>
      </w:r>
      <w:r w:rsidRPr="00023577">
        <w:tab/>
        <w:t>Vista la propuesta de la Comisión, de 29 de mayo de 2018, de Reglamento del Parlamento Europeo y del Consejo relativo a un mecanismo para superar los obstáculos jurídicos y administrativos en un contexto transfronterizo (</w:t>
      </w:r>
      <w:proofErr w:type="gramStart"/>
      <w:r w:rsidRPr="00023577">
        <w:t>COM(</w:t>
      </w:r>
      <w:proofErr w:type="gramEnd"/>
      <w:r w:rsidRPr="00023577">
        <w:t>2018)0373),</w:t>
      </w:r>
    </w:p>
    <w:p w:rsidR="0033594A" w:rsidRPr="00023577" w:rsidRDefault="0033594A" w:rsidP="0033594A">
      <w:pPr>
        <w:pStyle w:val="NormalHanging12a"/>
        <w:widowControl/>
        <w:rPr>
          <w:snapToGrid w:val="0"/>
        </w:rPr>
      </w:pPr>
      <w:r w:rsidRPr="00023577">
        <w:t>–</w:t>
      </w:r>
      <w:r w:rsidRPr="00023577">
        <w:tab/>
        <w:t>Vista la Comunicación de la Comisión, de 20 de septiembre de 2017, titulada «Impulsar el crecimiento y la cohesión en las regiones fronterizas de la UE» (</w:t>
      </w:r>
      <w:proofErr w:type="gramStart"/>
      <w:r w:rsidRPr="00023577">
        <w:t>COM(</w:t>
      </w:r>
      <w:proofErr w:type="gramEnd"/>
      <w:r w:rsidRPr="00023577">
        <w:t>2017)0534),</w:t>
      </w:r>
    </w:p>
    <w:p w:rsidR="0033594A" w:rsidRPr="00023577" w:rsidRDefault="0033594A" w:rsidP="0033594A">
      <w:pPr>
        <w:pStyle w:val="NormalHanging12a"/>
        <w:rPr>
          <w:snapToGrid w:val="0"/>
        </w:rPr>
      </w:pPr>
      <w:r w:rsidRPr="00023577">
        <w:t>–</w:t>
      </w:r>
      <w:r w:rsidRPr="00023577">
        <w:tab/>
        <w:t>Vista la Comunicación de la Comisión, de 3 de abril de 2020, titulada «Directrices sobre la ayuda de emergencia de la UE en la cooperación transfronteriza en materia de asistencia sanitaria relacionada con la crisis de la COVID-19»</w:t>
      </w:r>
      <w:r w:rsidRPr="00023577">
        <w:rPr>
          <w:rStyle w:val="FootnoteReference"/>
        </w:rPr>
        <w:footnoteReference w:id="6"/>
      </w:r>
      <w:r w:rsidRPr="00023577">
        <w:t>,</w:t>
      </w:r>
    </w:p>
    <w:p w:rsidR="0033594A" w:rsidRPr="00023577" w:rsidRDefault="0033594A" w:rsidP="0033594A">
      <w:pPr>
        <w:pStyle w:val="NormalHanging12a"/>
        <w:rPr>
          <w:snapToGrid w:val="0"/>
        </w:rPr>
      </w:pPr>
      <w:r w:rsidRPr="00023577">
        <w:t>–</w:t>
      </w:r>
      <w:r w:rsidRPr="00023577">
        <w:tab/>
        <w:t>Vista la Comunicación de la Comisión, de 30 de septiembre de 2020, relativa a la consecución del Espacio Europeo de Educación de aquí a 2025 (</w:t>
      </w:r>
      <w:proofErr w:type="gramStart"/>
      <w:r w:rsidRPr="00023577">
        <w:t>COM(</w:t>
      </w:r>
      <w:proofErr w:type="gramEnd"/>
      <w:r w:rsidRPr="00023577">
        <w:t>2020)0625),</w:t>
      </w:r>
    </w:p>
    <w:p w:rsidR="0033594A" w:rsidRPr="00023577" w:rsidRDefault="0033594A" w:rsidP="0033594A">
      <w:pPr>
        <w:pStyle w:val="NormalHanging12a"/>
      </w:pPr>
      <w:r w:rsidRPr="00023577">
        <w:t>–</w:t>
      </w:r>
      <w:r w:rsidRPr="00023577">
        <w:tab/>
        <w:t>Vista su Resolución, de 15 de septiembre de 2022, sobre la cohesión económica, social y territorial en la UE: octavo informe sobre la cohesión</w:t>
      </w:r>
      <w:r w:rsidRPr="00023577">
        <w:rPr>
          <w:rStyle w:val="FootnoteReference"/>
        </w:rPr>
        <w:footnoteReference w:id="7"/>
      </w:r>
      <w:r w:rsidRPr="00023577">
        <w:t>,</w:t>
      </w:r>
    </w:p>
    <w:p w:rsidR="0033594A" w:rsidRPr="00023577" w:rsidRDefault="0033594A" w:rsidP="0033594A">
      <w:pPr>
        <w:pStyle w:val="NormalHanging12a"/>
      </w:pPr>
      <w:r w:rsidRPr="00023577">
        <w:t>–</w:t>
      </w:r>
      <w:r w:rsidRPr="00023577">
        <w:tab/>
        <w:t>Vista su Resolución, de 9 de mayo de 2023, sobre la función de la política de cohesión frente a los desafíos medioambientales multidimensionales de la cuenca mediterránea</w:t>
      </w:r>
      <w:r w:rsidRPr="00023577">
        <w:rPr>
          <w:rStyle w:val="FootnoteReference"/>
        </w:rPr>
        <w:footnoteReference w:id="8"/>
      </w:r>
      <w:r w:rsidRPr="00023577">
        <w:t>,</w:t>
      </w:r>
    </w:p>
    <w:p w:rsidR="0033594A" w:rsidRPr="00023577" w:rsidRDefault="0033594A" w:rsidP="0033594A">
      <w:pPr>
        <w:pStyle w:val="NormalHanging12a"/>
      </w:pPr>
      <w:r w:rsidRPr="00023577">
        <w:t>–</w:t>
      </w:r>
      <w:r w:rsidRPr="00023577">
        <w:tab/>
        <w:t>Vista su Resolución, de 13 de marzo de 2018, sobre las regiones menos desarrolladas de la UE</w:t>
      </w:r>
      <w:r w:rsidRPr="00023577">
        <w:rPr>
          <w:rStyle w:val="FootnoteReference"/>
        </w:rPr>
        <w:footnoteReference w:id="9"/>
      </w:r>
      <w:r w:rsidRPr="00023577">
        <w:t>,</w:t>
      </w:r>
    </w:p>
    <w:p w:rsidR="0033594A" w:rsidRPr="00023577" w:rsidRDefault="0033594A" w:rsidP="0033594A">
      <w:pPr>
        <w:pStyle w:val="NormalHanging12a"/>
      </w:pPr>
      <w:r w:rsidRPr="00023577">
        <w:t>–</w:t>
      </w:r>
      <w:r w:rsidRPr="00023577">
        <w:tab/>
        <w:t>Visto el estudio titulado «Regiones rezagadas de la UE: situación actual y retos de futuro», publicado por su Dirección General de Servicios de Estudios Parlamentarios el 26 de octubre de 2020</w:t>
      </w:r>
      <w:r w:rsidRPr="00023577">
        <w:rPr>
          <w:rStyle w:val="FootnoteReference"/>
        </w:rPr>
        <w:footnoteReference w:id="10"/>
      </w:r>
      <w:r w:rsidRPr="00023577">
        <w:t>,</w:t>
      </w:r>
    </w:p>
    <w:p w:rsidR="0033594A" w:rsidRPr="00023577" w:rsidRDefault="0033594A" w:rsidP="0033594A">
      <w:pPr>
        <w:pStyle w:val="NormalHanging12a"/>
      </w:pPr>
      <w:r w:rsidRPr="00023577">
        <w:t>–</w:t>
      </w:r>
      <w:r w:rsidRPr="00023577">
        <w:tab/>
        <w:t>Vista su Resolución, de 11 de septiembre de 2018, sobre el impulso al crecimiento y la cohesión en las regiones fronterizas de la UE</w:t>
      </w:r>
      <w:r w:rsidRPr="00023577">
        <w:rPr>
          <w:rStyle w:val="FootnoteReference"/>
        </w:rPr>
        <w:footnoteReference w:id="11"/>
      </w:r>
      <w:r w:rsidRPr="00023577">
        <w:t>,</w:t>
      </w:r>
    </w:p>
    <w:p w:rsidR="0033594A" w:rsidRPr="00023577" w:rsidRDefault="0033594A" w:rsidP="0033594A">
      <w:pPr>
        <w:pStyle w:val="NormalHanging12a"/>
      </w:pPr>
      <w:r w:rsidRPr="00023577">
        <w:t>–</w:t>
      </w:r>
      <w:r w:rsidRPr="00023577">
        <w:tab/>
        <w:t>Visto el informe de 2022 del Grupo Intergubernamental de Expertos sobre el Cambio Climático de las Naciones Unidas titulado «</w:t>
      </w:r>
      <w:proofErr w:type="spellStart"/>
      <w:r w:rsidRPr="00023577">
        <w:t>Climate</w:t>
      </w:r>
      <w:proofErr w:type="spellEnd"/>
      <w:r w:rsidRPr="00023577">
        <w:t xml:space="preserve"> </w:t>
      </w:r>
      <w:proofErr w:type="spellStart"/>
      <w:r w:rsidRPr="00023577">
        <w:t>Change</w:t>
      </w:r>
      <w:proofErr w:type="spellEnd"/>
      <w:r w:rsidRPr="00023577">
        <w:t xml:space="preserve"> 2022: </w:t>
      </w:r>
      <w:proofErr w:type="spellStart"/>
      <w:r w:rsidRPr="00023577">
        <w:t>Mitigation</w:t>
      </w:r>
      <w:proofErr w:type="spellEnd"/>
      <w:r w:rsidRPr="00023577">
        <w:t xml:space="preserve"> of </w:t>
      </w:r>
      <w:proofErr w:type="spellStart"/>
      <w:r w:rsidRPr="00023577">
        <w:t>Climate</w:t>
      </w:r>
      <w:proofErr w:type="spellEnd"/>
      <w:r w:rsidRPr="00023577">
        <w:t xml:space="preserve"> </w:t>
      </w:r>
      <w:proofErr w:type="spellStart"/>
      <w:r w:rsidRPr="00023577">
        <w:t>Change</w:t>
      </w:r>
      <w:proofErr w:type="spellEnd"/>
      <w:r w:rsidRPr="00023577">
        <w:t xml:space="preserve">. </w:t>
      </w:r>
      <w:r w:rsidRPr="00013F99">
        <w:rPr>
          <w:lang w:val="en-GB"/>
        </w:rPr>
        <w:t xml:space="preserve">Contribution of Working Group III to the Sixth Assessment Report of </w:t>
      </w:r>
      <w:r w:rsidRPr="00013F99">
        <w:rPr>
          <w:lang w:val="en-GB"/>
        </w:rPr>
        <w:lastRenderedPageBreak/>
        <w:t>the Intergovernmental Panel on Climate Change»</w:t>
      </w:r>
      <w:r w:rsidRPr="00023577">
        <w:rPr>
          <w:rStyle w:val="FootnoteReference"/>
        </w:rPr>
        <w:footnoteReference w:id="12"/>
      </w:r>
      <w:r w:rsidRPr="00013F99">
        <w:rPr>
          <w:lang w:val="en-GB"/>
        </w:rPr>
        <w:t xml:space="preserve"> (Cambio climático 2022: mitigación </w:t>
      </w:r>
      <w:proofErr w:type="gramStart"/>
      <w:r w:rsidRPr="00013F99">
        <w:rPr>
          <w:lang w:val="en-GB"/>
        </w:rPr>
        <w:t>del</w:t>
      </w:r>
      <w:proofErr w:type="gramEnd"/>
      <w:r w:rsidRPr="00013F99">
        <w:rPr>
          <w:lang w:val="en-GB"/>
        </w:rPr>
        <w:t xml:space="preserve"> cambio climático. </w:t>
      </w:r>
      <w:r w:rsidRPr="00023577">
        <w:t>Contribución del Grupo de Trabajo III al sexto Informe de Evaluación del Grupo Intergubernamental de Expertos sobre el Cambio Climático),</w:t>
      </w:r>
    </w:p>
    <w:p w:rsidR="0033594A" w:rsidRPr="00023577" w:rsidRDefault="0033594A" w:rsidP="0033594A">
      <w:pPr>
        <w:pStyle w:val="NormalHanging12a"/>
      </w:pPr>
      <w:r w:rsidRPr="00023577">
        <w:t>–</w:t>
      </w:r>
      <w:r w:rsidRPr="00023577">
        <w:tab/>
        <w:t>Visto el Acuerdo adoptado en París en la 21.ª Conferencia de las Partes en la Convención Marco de las Naciones Unidas sobre el Cambio Climático (COP21) el 12 de diciembre de 2015 (en lo sucesivo, «Acuerdo de París»),</w:t>
      </w:r>
    </w:p>
    <w:p w:rsidR="0033594A" w:rsidRPr="00023577" w:rsidRDefault="0033594A" w:rsidP="0033594A">
      <w:pPr>
        <w:pStyle w:val="NormalHanging12a"/>
        <w:widowControl/>
      </w:pPr>
      <w:r w:rsidRPr="00023577">
        <w:t>–</w:t>
      </w:r>
      <w:r w:rsidRPr="00023577">
        <w:tab/>
        <w:t>Vistas las Conclusiones del Consejo, de 19 de abril de 2021, sobre una asociación renovada con los países vecinos meridionales: una nueva Agenda para el Mediterráneo,</w:t>
      </w:r>
    </w:p>
    <w:p w:rsidR="0033594A" w:rsidRPr="00023577" w:rsidRDefault="0033594A" w:rsidP="0033594A">
      <w:pPr>
        <w:pStyle w:val="NormalHanging12a"/>
      </w:pPr>
      <w:r w:rsidRPr="00023577">
        <w:t>–</w:t>
      </w:r>
      <w:r w:rsidRPr="00023577">
        <w:tab/>
        <w:t>Vista la Resolución del Comité Europeo de las Regiones, de 1 de julio de 2021, sobre el tema «Una visión para Europa: el futuro de la cooperación transfronteriza»</w:t>
      </w:r>
      <w:r w:rsidRPr="00023577">
        <w:rPr>
          <w:rStyle w:val="FootnoteReference"/>
        </w:rPr>
        <w:footnoteReference w:id="13"/>
      </w:r>
      <w:r w:rsidRPr="00023577">
        <w:t>,</w:t>
      </w:r>
    </w:p>
    <w:p w:rsidR="0033594A" w:rsidRPr="00023577" w:rsidRDefault="0033594A" w:rsidP="0033594A">
      <w:pPr>
        <w:pStyle w:val="NormalHanging12a"/>
      </w:pPr>
      <w:r w:rsidRPr="00023577">
        <w:t>–</w:t>
      </w:r>
      <w:r w:rsidRPr="00023577">
        <w:tab/>
        <w:t>Visto el Dictamen del Comité de las Regiones, de 8 de febrero de 2017, titulado «Falta de conexiones de transporte en las regiones fronterizas»</w:t>
      </w:r>
      <w:r w:rsidRPr="00023577">
        <w:rPr>
          <w:rStyle w:val="FootnoteReference"/>
        </w:rPr>
        <w:footnoteReference w:id="14"/>
      </w:r>
      <w:r w:rsidRPr="00023577">
        <w:t>,</w:t>
      </w:r>
    </w:p>
    <w:p w:rsidR="0033594A" w:rsidRPr="00023577" w:rsidRDefault="0033594A" w:rsidP="0033594A">
      <w:pPr>
        <w:pStyle w:val="NormalHanging12a"/>
      </w:pPr>
      <w:r w:rsidRPr="00023577">
        <w:t>–</w:t>
      </w:r>
      <w:r w:rsidRPr="00023577">
        <w:tab/>
        <w:t>Visto el artículo 54 de su Reglamento interno,</w:t>
      </w:r>
    </w:p>
    <w:p w:rsidR="0033594A" w:rsidRPr="00023577" w:rsidRDefault="0033594A" w:rsidP="0033594A">
      <w:pPr>
        <w:pStyle w:val="NormalHanging12a"/>
      </w:pPr>
      <w:r w:rsidRPr="00023577">
        <w:t>–</w:t>
      </w:r>
      <w:r w:rsidRPr="00023577">
        <w:tab/>
        <w:t>Visto el informe de la Comisión de Desarrollo Regional (A9-0415/2023),</w:t>
      </w:r>
    </w:p>
    <w:p w:rsidR="0033594A" w:rsidRPr="00023577" w:rsidRDefault="0033594A" w:rsidP="0033594A">
      <w:pPr>
        <w:pStyle w:val="NormalHanging12a"/>
        <w:rPr>
          <w:szCs w:val="24"/>
        </w:rPr>
      </w:pPr>
      <w:r w:rsidRPr="00023577">
        <w:t>A.</w:t>
      </w:r>
      <w:r w:rsidRPr="00023577">
        <w:tab/>
        <w:t>Considerando que la cooperación transfronteriza de la Unión con los países vecinos, ya sea en las fronteras terrestres o marítimas, que abarca 184 regiones, 33 países y 260 millones de habitantes, es un elemento clave de las políticas de la Unión;</w:t>
      </w:r>
    </w:p>
    <w:p w:rsidR="0033594A" w:rsidRPr="00023577" w:rsidRDefault="0033594A" w:rsidP="0033594A">
      <w:pPr>
        <w:pStyle w:val="NormalHanging12a"/>
      </w:pPr>
      <w:r w:rsidRPr="00023577">
        <w:t>B.</w:t>
      </w:r>
      <w:r w:rsidRPr="00023577">
        <w:tab/>
        <w:t>Considerando que el artículo 8 del T</w:t>
      </w:r>
      <w:r w:rsidR="008D3EA2">
        <w:t>UE</w:t>
      </w:r>
      <w:r w:rsidRPr="00023577">
        <w:t xml:space="preserve"> dispone que la Unión desarrollará con los países vecinos relaciones preferentes, con el objetivo de establecer un espacio de prosperidad y de buena vecindad basado en los valores de la Unión y caracterizado por unas relaciones estrechas y pacíficas fundadas en la cooperación;</w:t>
      </w:r>
    </w:p>
    <w:p w:rsidR="0033594A" w:rsidRPr="00023577" w:rsidRDefault="0033594A" w:rsidP="0033594A">
      <w:pPr>
        <w:pStyle w:val="NormalHanging12a"/>
        <w:rPr>
          <w:szCs w:val="24"/>
        </w:rPr>
      </w:pPr>
      <w:r w:rsidRPr="00023577">
        <w:t>C.</w:t>
      </w:r>
      <w:r w:rsidRPr="00023577">
        <w:tab/>
        <w:t>Considerando que la cooperación transfronteriza es un paso importante en el proceso de preadhesión de la Unión de los países candidatos;</w:t>
      </w:r>
    </w:p>
    <w:p w:rsidR="0033594A" w:rsidRPr="00023577" w:rsidRDefault="0033594A" w:rsidP="0033594A">
      <w:pPr>
        <w:pStyle w:val="NormalHanging12a"/>
      </w:pPr>
      <w:r w:rsidRPr="00023577">
        <w:t>D.</w:t>
      </w:r>
      <w:r w:rsidRPr="00023577">
        <w:tab/>
        <w:t>Considerando que la cooperación transfronteriza contribuye a la paz y al desarrollo sostenible a lo largo de las fronteras exteriores de la Unión, apoya las reformas democráticas, el respeto de los valores europeos, el desarrollo económico y social de las zonas fronterizas, incluida la protección del medio ambiente, los servicios de salud pública y las medidas de seguridad y protección, contribuye a los objetivos de la UE en favor de una Unión y una vecindad más inteligentes, ecológicas y conectadas, así como a abordar las necesidades regionales en materia de buena cooperación, gobernanza y retos comunes, contribuye a promover el entendimiento y la confianza mutuos y ayuda a prevenir futuros conflictos y guerras a través de instrumentos como el programa PEACE+;</w:t>
      </w:r>
    </w:p>
    <w:p w:rsidR="0033594A" w:rsidRPr="00023577" w:rsidRDefault="0033594A" w:rsidP="0033594A">
      <w:pPr>
        <w:pStyle w:val="NormalHanging12a"/>
        <w:rPr>
          <w:szCs w:val="24"/>
        </w:rPr>
      </w:pPr>
      <w:r w:rsidRPr="00023577">
        <w:lastRenderedPageBreak/>
        <w:t>E.</w:t>
      </w:r>
      <w:r w:rsidRPr="00023577">
        <w:tab/>
        <w:t>Considerando que la actual situación geopolítica confirma la importancia de la estabilidad y el desarrollo democrático en los países y regiones situados en las fronteras exteriores de la Unión;</w:t>
      </w:r>
    </w:p>
    <w:p w:rsidR="0033594A" w:rsidRPr="00023577" w:rsidRDefault="0033594A" w:rsidP="0033594A">
      <w:pPr>
        <w:pStyle w:val="NormalHanging12a"/>
        <w:widowControl/>
      </w:pPr>
      <w:r w:rsidRPr="00023577">
        <w:t>F.</w:t>
      </w:r>
      <w:r w:rsidRPr="00023577">
        <w:tab/>
        <w:t>Considerando que la pandemia de COVID-19 y, en particular, la guerra de agresión de Rusia contra Ucrania han tenido una profunda repercusión en todos los programas de cooperación transfronteriza apoyados por el Instrumento Europeo de Vecindad (IEV), que incluyen a Rusia y Bielorrusia, con un gran impacto en la mitad de los programas propuestos para el período 2021-2027; que la política de cohesión puede contribuir a la cooperación transfronteriza, siempre que se mantenga su enfoque estratégico y se acuerde un presupuesto sólido;</w:t>
      </w:r>
    </w:p>
    <w:p w:rsidR="0033594A" w:rsidRPr="00023577" w:rsidRDefault="0033594A" w:rsidP="0033594A">
      <w:pPr>
        <w:pStyle w:val="NormalHanging12a"/>
        <w:rPr>
          <w:szCs w:val="24"/>
        </w:rPr>
      </w:pPr>
      <w:r w:rsidRPr="00023577">
        <w:t>G</w:t>
      </w:r>
      <w:r w:rsidR="00F339C7">
        <w:t>.</w:t>
      </w:r>
      <w:r w:rsidRPr="00023577">
        <w:tab/>
        <w:t>Considerando que la fuga de cerebros afecta de forma desproporcionada a algunas regiones fronterizas menos desarrolladas y que, si no se hace frente a este fenómeno, tendrá efectos negativos a largo plazo en el futuro de la Unión;</w:t>
      </w:r>
    </w:p>
    <w:p w:rsidR="0033594A" w:rsidRPr="00023577" w:rsidRDefault="0033594A" w:rsidP="0033594A">
      <w:pPr>
        <w:pStyle w:val="NormalHanging12a"/>
        <w:rPr>
          <w:szCs w:val="24"/>
        </w:rPr>
      </w:pPr>
      <w:r w:rsidRPr="00023577">
        <w:t>H.</w:t>
      </w:r>
      <w:r w:rsidRPr="00023577">
        <w:tab/>
        <w:t>Considerando que en algunas regiones fronterizas existe una elevada tasa de emigración, en particular de jóvenes y trabajadores cualificados, lo que pone de relieve la falta de desarrollo económico en estas regiones; que la cooperación transfronteriza puede contribuir a crear nuevas oportunidades de empleo y desarrollo económico sostenible;</w:t>
      </w:r>
    </w:p>
    <w:p w:rsidR="0033594A" w:rsidRPr="00023577" w:rsidRDefault="0033594A" w:rsidP="0033594A">
      <w:pPr>
        <w:pStyle w:val="NormalHanging12a"/>
      </w:pPr>
      <w:r w:rsidRPr="00023577">
        <w:t>I.</w:t>
      </w:r>
      <w:r w:rsidRPr="00023577">
        <w:tab/>
        <w:t>Considerando que la frágil situación política, económica y de seguridad en el norte de África y la gestión de la crisis migratoria ponen de relieve la necesidad de cooperación en la cuenca mediterránea;</w:t>
      </w:r>
    </w:p>
    <w:p w:rsidR="0033594A" w:rsidRPr="00023577" w:rsidRDefault="0033594A" w:rsidP="0033594A">
      <w:pPr>
        <w:pStyle w:val="NormalHanging12a"/>
        <w:rPr>
          <w:szCs w:val="24"/>
        </w:rPr>
      </w:pPr>
      <w:r w:rsidRPr="00023577">
        <w:t>J.</w:t>
      </w:r>
      <w:r w:rsidRPr="00023577">
        <w:tab/>
        <w:t>Considerando que las regiones fronterizas suelen ser sensibles a las tensiones y los conflictos, y que la cooperación transfronteriza y la diplomacia regional tienen un impacto positivo en la prevención y resolución de diferencias y posibles crisis;</w:t>
      </w:r>
    </w:p>
    <w:p w:rsidR="0033594A" w:rsidRPr="00023577" w:rsidRDefault="0033594A" w:rsidP="0033594A">
      <w:pPr>
        <w:pStyle w:val="NormalHanging12a"/>
        <w:rPr>
          <w:rStyle w:val="y2iqfc"/>
          <w:b/>
          <w:i/>
        </w:rPr>
      </w:pPr>
      <w:r w:rsidRPr="00023577">
        <w:rPr>
          <w:rStyle w:val="y2iqfc"/>
          <w:b/>
          <w:i/>
        </w:rPr>
        <w:t>Consideraciones generales sobre los programas Interreg NEXT</w:t>
      </w:r>
    </w:p>
    <w:p w:rsidR="0033594A" w:rsidRPr="00023577" w:rsidRDefault="0033594A" w:rsidP="0033594A">
      <w:pPr>
        <w:pStyle w:val="NormalHanging12a"/>
        <w:ind w:hanging="570"/>
      </w:pPr>
      <w:r w:rsidRPr="00023577">
        <w:t>1.</w:t>
      </w:r>
      <w:r w:rsidRPr="00023577">
        <w:tab/>
        <w:t>Acoge con satisfacción la armonización de los programas Interreg NEXT con los programas Interreg, ya que esto puede simplificar los procedimientos, mejorar las sinergias entre los programas y aumentar la eficacia de las inversiones europeas; destaca, no obstante, la necesidad de procedimientos más simplificados tanto en la fase de evaluación como en la fase de ejecución de los proyectos, prestando mayor atención a los resultados cuantificables, cuando proceda, y al impacto global en el desarrollo de las regiones y la vida de los ciudadanos;</w:t>
      </w:r>
    </w:p>
    <w:p w:rsidR="0033594A" w:rsidRPr="00023577" w:rsidRDefault="0033594A" w:rsidP="0033594A">
      <w:pPr>
        <w:pStyle w:val="NormalHanging12a"/>
      </w:pPr>
      <w:r w:rsidRPr="00023577">
        <w:t>2.</w:t>
      </w:r>
      <w:r w:rsidRPr="00023577">
        <w:tab/>
        <w:t>Subraya que las autoridades locales y regionales desempeñan un papel clave en la cooperación transfronteriza con los países vecinos a través de su conocimiento de la situación geográfica, cultural, lingüística y social, las oportunidades, las limitaciones y los retos compartidos;</w:t>
      </w:r>
    </w:p>
    <w:p w:rsidR="0033594A" w:rsidRPr="00023577" w:rsidRDefault="0033594A" w:rsidP="0033594A">
      <w:pPr>
        <w:pStyle w:val="NormalHanging12a"/>
      </w:pPr>
      <w:r w:rsidRPr="00023577">
        <w:t>3.</w:t>
      </w:r>
      <w:r w:rsidRPr="00023577">
        <w:tab/>
        <w:t xml:space="preserve">Hace hincapié en la importancia de los proyectos transfronterizos, incluidos los proyectos interpersonales, para unir a las personas y, de esta forma, abrir nuevas posibilidades de desarrollo local sostenible y cooperación transfronteriza; destaca la importancia de las inversiones transfronterizas para fomentar las innovaciones, las transferencias tecnológicas, las soluciones comunes y las sinergias entre los distintos programas y, de esta forma, aumentar la cohesión territorial más allá de las fronteras </w:t>
      </w:r>
      <w:r w:rsidRPr="00023577">
        <w:lastRenderedPageBreak/>
        <w:t>administrativas y reforzar la solidaridad;</w:t>
      </w:r>
    </w:p>
    <w:p w:rsidR="0033594A" w:rsidRPr="00023577" w:rsidRDefault="0033594A" w:rsidP="0033594A">
      <w:pPr>
        <w:pStyle w:val="NormalHanging12a"/>
        <w:widowControl/>
        <w:ind w:hanging="573"/>
      </w:pPr>
      <w:r w:rsidRPr="00023577">
        <w:t>4.</w:t>
      </w:r>
      <w:r w:rsidRPr="00023577">
        <w:tab/>
        <w:t>Destaca que la asignación para el período 2021-2027 dista mucho de ser óptima, por lo que subraya la importancia del refuerzo financiero de estos programas; celebra el aumento de la rendición de cuentas de terceros países por las recuperaciones de beneficiarios del sector privado; hace hincapié en la importancia del Estado de Derecho y la igualdad de condiciones para todos los beneficiarios, ya sean públicos o privados, y subraya la necesidad de fomentar la participación de los inversores privados, junto con la inversión pública, en el desarrollo sostenible de las regiones fronterizas y terceros países, poniendo a disposición más fondos;</w:t>
      </w:r>
    </w:p>
    <w:p w:rsidR="0033594A" w:rsidRPr="00023577" w:rsidRDefault="0033594A" w:rsidP="0033594A">
      <w:pPr>
        <w:pStyle w:val="NormalHanging12a"/>
        <w:ind w:hanging="570"/>
      </w:pPr>
      <w:r w:rsidRPr="00023577">
        <w:t>5.</w:t>
      </w:r>
      <w:r w:rsidRPr="00023577">
        <w:tab/>
        <w:t>Acoge con satisfacción la posibilidad de que las autoridades de gestión transmitan datos por vía electrónica a la Comisión, pero señala al mismo tiempo que una transmisión de datos más frecuente no debe dar lugar a una mayor burocratización; destaca, por tanto, la importancia de los sistemas interoperables que podrían enviar automáticamente datos a una base de datos común, y anima a la Comisión a seguir desarrollando la cooperación con terceros países a este respecto;</w:t>
      </w:r>
    </w:p>
    <w:p w:rsidR="0033594A" w:rsidRPr="00023577" w:rsidRDefault="0033594A" w:rsidP="0033594A">
      <w:pPr>
        <w:pStyle w:val="NormalHanging12a"/>
      </w:pPr>
      <w:r w:rsidRPr="00023577">
        <w:t>6.</w:t>
      </w:r>
      <w:r w:rsidRPr="00023577">
        <w:tab/>
        <w:t>Expresa su preocupación por el hecho de que los grandes proyectos de infraestructuras dejen de estar sujetos a la aprobación de la Comisión;</w:t>
      </w:r>
    </w:p>
    <w:p w:rsidR="0033594A" w:rsidRPr="00023577" w:rsidRDefault="0033594A" w:rsidP="0033594A">
      <w:pPr>
        <w:pStyle w:val="NormalHanging12a"/>
      </w:pPr>
      <w:r w:rsidRPr="00023577">
        <w:t>7.</w:t>
      </w:r>
      <w:r w:rsidRPr="00023577">
        <w:tab/>
        <w:t>Acoge con satisfacción la supresión del límite de financiación de la Unión para grandes proyectos de infraestructuras y considera que el desarrollo de infraestructuras sostenibles contribuye al crecimiento socioeconómico en las regiones transfronterizas; subraya, al mismo tiempo, la necesidad de implicar a los sectores público y privado, lo que podría dar lugar a una mayor innovación y al desarrollo de las infraestructuras relacionadas con el sector de la energía, el transporte, la comunicación y la digitalización;</w:t>
      </w:r>
    </w:p>
    <w:p w:rsidR="0033594A" w:rsidRPr="00023577" w:rsidRDefault="0033594A" w:rsidP="0033594A">
      <w:pPr>
        <w:pStyle w:val="NormalHanging12a"/>
        <w:rPr>
          <w:szCs w:val="24"/>
        </w:rPr>
      </w:pPr>
      <w:r w:rsidRPr="00023577">
        <w:t>8.</w:t>
      </w:r>
      <w:r w:rsidRPr="00023577">
        <w:tab/>
        <w:t>Plantea la cuestión de que los grandes retos de la Unión Europea también pueden afrontarse promoviendo la cooperación transfronteriza entre regiones vecinas (por ejemplo, un futuro sostenible para el Mediterráneo, el mar Negro, el mar Báltico y otras cuencas marítimas; un futuro sostenible de los Alpes, los Pirineos, los Cárpatos y otras cadenas montañosas; un futuro sostenible para las grandes cuencas fluviales del Rin, el Danubio, el Mosa, etc.);</w:t>
      </w:r>
    </w:p>
    <w:p w:rsidR="0033594A" w:rsidRPr="00023577" w:rsidRDefault="0033594A" w:rsidP="0033594A">
      <w:pPr>
        <w:pStyle w:val="NormalHanging12a"/>
        <w:rPr>
          <w:szCs w:val="24"/>
        </w:rPr>
      </w:pPr>
      <w:r w:rsidRPr="00023577">
        <w:t>9.</w:t>
      </w:r>
      <w:r w:rsidRPr="00023577">
        <w:tab/>
        <w:t>Hace hincapié en que la cooperación transfronteriza es un paso importante en los procesos de preadhesión a la Unión, lo que anima a los países candidatos a compartir experiencias y aprender sobre el funcionamiento interno de la Unión; subraya que esto contribuye a acercar las iniciativas y los objetivos de la Unión a los países candidatos, compartir experiencias e iniciar el proceso de convergencia económica y social; destaca que, en el momento de la adhesión a la Unión, los países candidatos que hayan participado en la cooperación transfronteriza ya estarán familiarizados con los programas y proyectos de la Unión;</w:t>
      </w:r>
    </w:p>
    <w:p w:rsidR="0033594A" w:rsidRPr="00023577" w:rsidRDefault="0033594A" w:rsidP="0033594A">
      <w:pPr>
        <w:pStyle w:val="NormalHanging12a"/>
        <w:rPr>
          <w:szCs w:val="24"/>
        </w:rPr>
      </w:pPr>
      <w:r w:rsidRPr="00023577">
        <w:t>10.</w:t>
      </w:r>
      <w:r w:rsidRPr="00023577">
        <w:tab/>
        <w:t xml:space="preserve">Destaca el papel crucial de la cooperación transfronteriza en la gestión sostenible de los recursos naturales y los retos relacionados con el cambio climático, incluidas las catástrofes naturales, el medio ambiente, la biodiversidad y la seguridad alimentaria, así como los ecosistemas en las zonas fronterizas; hace hincapié, en este contexto, en la importancia de la prevención y el desarrollo de planes locales y regionales para medidas de adaptación al cambio climático que trasciendan las fronteras; destaca la necesidad de </w:t>
      </w:r>
      <w:r w:rsidRPr="00023577">
        <w:lastRenderedPageBreak/>
        <w:t>redoblar los esfuerzos para combatir el cambio climático y reforzar la mitigación del mismo en esas regiones, particularmente con fines de adaptación a los objetivos climáticos de la Unión;</w:t>
      </w:r>
    </w:p>
    <w:p w:rsidR="0033594A" w:rsidRPr="00023577" w:rsidRDefault="0033594A" w:rsidP="0033594A">
      <w:pPr>
        <w:pStyle w:val="NormalHanging12a"/>
        <w:rPr>
          <w:szCs w:val="24"/>
        </w:rPr>
      </w:pPr>
      <w:r w:rsidRPr="00023577">
        <w:t>11.</w:t>
      </w:r>
      <w:r w:rsidRPr="00023577">
        <w:tab/>
        <w:t>Subraya el potencial de la cooperación transfronteriza, en particular en las zonas transfronterizas más escasamente pobladas, en ámbitos como las energías renovables y la economía circular, y pide que se aprovechen mejor las oportunidades existentes para desarrollar una economía sostenible y empleos de calidad;</w:t>
      </w:r>
    </w:p>
    <w:p w:rsidR="0033594A" w:rsidRPr="00023577" w:rsidRDefault="0033594A" w:rsidP="0033594A">
      <w:pPr>
        <w:pStyle w:val="NormalHanging12a"/>
        <w:ind w:left="0" w:firstLine="0"/>
        <w:rPr>
          <w:b/>
          <w:i/>
        </w:rPr>
      </w:pPr>
      <w:r w:rsidRPr="00023577">
        <w:rPr>
          <w:b/>
          <w:i/>
        </w:rPr>
        <w:t>Cooperación transfronteriza con los países vecinos del Este</w:t>
      </w:r>
    </w:p>
    <w:p w:rsidR="0033594A" w:rsidRPr="00023577" w:rsidRDefault="0033594A" w:rsidP="0033594A">
      <w:pPr>
        <w:pStyle w:val="NormalHanging12a"/>
      </w:pPr>
      <w:r w:rsidRPr="00023577">
        <w:t>12.</w:t>
      </w:r>
      <w:r w:rsidRPr="00023577">
        <w:tab/>
        <w:t>Acoge con satisfacción la suspensión de la cooperación transfronteriza con Rusia y Bielorrusia como consecuencia de la guerra de agresión de Rusia contra Ucrania, así como la reasignación de fondos a Ucrania y la República de Moldavia, lo que ha cambiado radicalmente la arquitectura de seguridad europea; hace hincapié, por consiguiente, en la necesidad de cooperación en materia de política de seguridad para alcanzar los objetivos comunes de disuasión y defensa colectivas fiables en el marco de la cooperación transfronteriza;</w:t>
      </w:r>
    </w:p>
    <w:p w:rsidR="0033594A" w:rsidRPr="00023577" w:rsidRDefault="0033594A" w:rsidP="0033594A">
      <w:pPr>
        <w:pStyle w:val="NormalHanging12a"/>
        <w:rPr>
          <w:szCs w:val="24"/>
        </w:rPr>
      </w:pPr>
      <w:r w:rsidRPr="00023577">
        <w:t>13.</w:t>
      </w:r>
      <w:r w:rsidRPr="00023577">
        <w:tab/>
        <w:t>Llama la atención sobre la difícil situación de las regiones que comparten frontera con Rusia y Bielorrusia tras la suspensión de los programas de cooperación transfronteriza con estos países, y anima a la Comisión a que colabore estrechamente con los Estados miembros afectados para encontrar soluciones sostenibles que aborden los retos sociales y económicos en estas regiones;</w:t>
      </w:r>
    </w:p>
    <w:p w:rsidR="0033594A" w:rsidRPr="00023577" w:rsidRDefault="0033594A" w:rsidP="0033594A">
      <w:pPr>
        <w:pStyle w:val="NormalHanging12a"/>
      </w:pPr>
      <w:r w:rsidRPr="00023577">
        <w:t>14.</w:t>
      </w:r>
      <w:r w:rsidRPr="00023577">
        <w:tab/>
        <w:t>Pide que los fondos de los programas transfronterizos se utilicen para el desarrollo de infraestructuras de transporte sostenibles, incluida la construcción de conexiones ferroviarias e instalaciones de almacenamiento cerca de las fronteras de la Unión con Ucrania y la República de Moldavia, con el fin de integrar el flujo de mercancías y cereales a fin de garantizar la seguridad alimentaria mundial, contribuir a fomentar el desarrollo de una economía sostenible para ambos países y ayudar a los Estados miembros situados en primera línea, así como a Moldavia y Ucrania, a hacer frente a estos retos;</w:t>
      </w:r>
    </w:p>
    <w:p w:rsidR="0033594A" w:rsidRPr="00023577" w:rsidRDefault="0033594A" w:rsidP="0033594A">
      <w:pPr>
        <w:pStyle w:val="NormalHanging12a"/>
      </w:pPr>
      <w:r w:rsidRPr="00023577">
        <w:t>15.</w:t>
      </w:r>
      <w:r w:rsidRPr="00023577">
        <w:tab/>
        <w:t>Reconoce la importancia de promover la cultura local y regional y la conservación del patrimonio, así como los intercambios educativos y económicos entre las regiones fronterizas, con el fin de reforzar la comprensión mutua de las costumbres de los vecinos y crear importantes motivaciones para la educación multilingüe; subraya la importancia de una educación inclusiva con respecto a los valores democráticos y la necesidad de apoyar una mayor calidad en este ámbito;</w:t>
      </w:r>
    </w:p>
    <w:p w:rsidR="0033594A" w:rsidRPr="00023577" w:rsidRDefault="0033594A" w:rsidP="0033594A">
      <w:pPr>
        <w:pStyle w:val="NormalHanging12a"/>
      </w:pPr>
      <w:r w:rsidRPr="00023577">
        <w:t>16.</w:t>
      </w:r>
      <w:r w:rsidRPr="00023577">
        <w:tab/>
        <w:t>Pide que se apoyen proyectos de infraestructuras más sostenibles que contribuyan a mejorar la conectividad de las regiones transfronterizas, impulsando la movilidad dentro de estas regiones y entre ellas y mejorando la calidad de vida y las oportunidades para los residentes de las regiones, junto con proyectos que aborden la necesidad de infraestructuras;</w:t>
      </w:r>
    </w:p>
    <w:p w:rsidR="0033594A" w:rsidRPr="00023577" w:rsidRDefault="0033594A" w:rsidP="0033594A">
      <w:pPr>
        <w:pStyle w:val="NormalHanging12a"/>
        <w:rPr>
          <w:szCs w:val="24"/>
        </w:rPr>
      </w:pPr>
      <w:r w:rsidRPr="00023577">
        <w:t>17.</w:t>
      </w:r>
      <w:r w:rsidRPr="00023577">
        <w:tab/>
        <w:t xml:space="preserve">Reconoce los inmensos esfuerzos realizados por los Gobiernos nacionales, las autoridades regionales y locales y la sociedad civil de los Estados miembros de la Unión situados en las inmediaciones de Ucrania, así como los esfuerzos de la República de Moldavia para acoger a las personas ucranianas desplazadas y responder a todos los </w:t>
      </w:r>
      <w:r w:rsidRPr="00023577">
        <w:lastRenderedPageBreak/>
        <w:t>retos causados por la guerra de agresión rusa, incluidas la cuestión de los cereales ucranianos y la falta de infraestructuras de transporte; pide, a este respecto, un apoyo adecuado, también a través de programas de cooperación transfronteriza, con el fin de atender a las necesidades surgidas;</w:t>
      </w:r>
    </w:p>
    <w:p w:rsidR="0033594A" w:rsidRPr="00023577" w:rsidRDefault="0033594A" w:rsidP="0033594A">
      <w:pPr>
        <w:pStyle w:val="NormalHanging12a"/>
        <w:rPr>
          <w:szCs w:val="24"/>
        </w:rPr>
      </w:pPr>
      <w:r w:rsidRPr="00023577">
        <w:t>18.</w:t>
      </w:r>
      <w:r w:rsidRPr="00023577">
        <w:tab/>
        <w:t>Subraya que, aunque no se encuentra en una guerra abierta con Rusia, la República de Moldavia también cuenta con zonas de conflicto apoyadas por Rusia y ha acogido a un gran número de refugiados ucranianos, y que la situación económica y social de Moldavia se ha visto muy afectada por el cese de sus relaciones comerciales con Rusia; subraya, por tanto, que las inversiones sólidas y un mercado abierto son muy necesarios y que los proyectos comunes son más que bienvenidos en todos los ámbitos económicos y sociales;</w:t>
      </w:r>
    </w:p>
    <w:p w:rsidR="0033594A" w:rsidRPr="00023577" w:rsidRDefault="0033594A" w:rsidP="0033594A">
      <w:pPr>
        <w:pStyle w:val="NormalHanging12a"/>
      </w:pPr>
      <w:r w:rsidRPr="00023577">
        <w:t>19.</w:t>
      </w:r>
      <w:r w:rsidRPr="00023577">
        <w:tab/>
        <w:t>Expresa su indignación por la pérdida de vidas humanas y la destrucción de viviendas y de infraestructuras en Ucrania; destaca el papel activo que deben desempeñar los programas de cooperación transfronteriza y la Nueva Bauhaus Europea en la reconstrucción sostenible tras la guerra y subraya la urgente necesidad de apoyar a las autoridades locales y regionales de Ucrania, al tiempo que se sigue ayudando a las regiones vecinas y se fomenta una mayor cooperación;</w:t>
      </w:r>
    </w:p>
    <w:p w:rsidR="0033594A" w:rsidRPr="00023577" w:rsidRDefault="0033594A" w:rsidP="0033594A">
      <w:pPr>
        <w:pStyle w:val="NormalHanging12a"/>
        <w:rPr>
          <w:szCs w:val="24"/>
        </w:rPr>
      </w:pPr>
      <w:r w:rsidRPr="00023577">
        <w:t>20.</w:t>
      </w:r>
      <w:r w:rsidRPr="00023577">
        <w:tab/>
        <w:t>Acoge con satisfacción las iniciativas para incluir a Ucrania en el programa de cooperación territorial europea URBACT y la adhesión de Ucrania y la República de Moldavia como miembros observadores de la Red Europea de Observación del Desarrollo y la Cohesión Territorial (ESPON);</w:t>
      </w:r>
    </w:p>
    <w:p w:rsidR="0033594A" w:rsidRPr="00023577" w:rsidRDefault="0033594A" w:rsidP="0033594A">
      <w:pPr>
        <w:pStyle w:val="NormalHanging12a"/>
        <w:rPr>
          <w:szCs w:val="24"/>
        </w:rPr>
      </w:pPr>
      <w:r w:rsidRPr="00023577">
        <w:t>21.</w:t>
      </w:r>
      <w:r w:rsidRPr="00023577">
        <w:tab/>
        <w:t>Lamenta que Rusia utilice sus fuentes de energía como medio para ejercer presión política y económica; pide investigaciones rápidas sobre la cooperación económica con Rusia en los sectores energéticos de algunos Estados miembros, junto con nuevas medidas para reforzar las energías renovables y mejorar la eficiencia energética con el fin de reducir la dependencia de Rusia en aquellos Estados miembros que han reducido drásticamente su cooperación con el agresor y se vieron afectados por las sanciones, incluidos los países vecinos;</w:t>
      </w:r>
    </w:p>
    <w:p w:rsidR="0033594A" w:rsidRPr="00023577" w:rsidRDefault="0033594A" w:rsidP="0033594A">
      <w:pPr>
        <w:pStyle w:val="NormalHanging12a"/>
        <w:rPr>
          <w:szCs w:val="24"/>
        </w:rPr>
      </w:pPr>
      <w:r w:rsidRPr="00023577">
        <w:t>22.</w:t>
      </w:r>
      <w:r w:rsidRPr="00023577">
        <w:tab/>
        <w:t>Lamenta el aumento de la influencia de Rusia en los países vecinos, en particular mediante el uso de la manipulación y la desinformación tanto en los medios de comunicación tradicionales como en las redes sociales en línea, y subraya la importancia de reforzar la cooperación con estos países, en particular en los sectores educativo y cultural, con el fin de mantener a sus ciudadanos informados e instruidos en los valores democráticos;</w:t>
      </w:r>
    </w:p>
    <w:p w:rsidR="0033594A" w:rsidRPr="00023577" w:rsidRDefault="0033594A" w:rsidP="0033594A">
      <w:pPr>
        <w:pStyle w:val="NormalHanging12a"/>
        <w:rPr>
          <w:b/>
          <w:i/>
        </w:rPr>
      </w:pPr>
      <w:r w:rsidRPr="00023577">
        <w:rPr>
          <w:b/>
          <w:i/>
        </w:rPr>
        <w:t>Cooperación relativa a las cuencas marítimas</w:t>
      </w:r>
    </w:p>
    <w:p w:rsidR="0033594A" w:rsidRPr="00023577" w:rsidRDefault="0033594A" w:rsidP="0033594A">
      <w:pPr>
        <w:pStyle w:val="NormalHanging12a"/>
        <w:rPr>
          <w:i/>
        </w:rPr>
      </w:pPr>
      <w:r w:rsidRPr="00023577">
        <w:rPr>
          <w:i/>
        </w:rPr>
        <w:t>Cuenca del mar Negro</w:t>
      </w:r>
    </w:p>
    <w:p w:rsidR="0033594A" w:rsidRPr="00023577" w:rsidRDefault="0033594A" w:rsidP="0033594A">
      <w:pPr>
        <w:pStyle w:val="NormalHanging12a"/>
        <w:rPr>
          <w:szCs w:val="24"/>
        </w:rPr>
      </w:pPr>
      <w:r w:rsidRPr="00023577">
        <w:t>23.</w:t>
      </w:r>
      <w:r w:rsidRPr="00023577">
        <w:tab/>
        <w:t>Destaca la importancia de conceder un mayor apoyo financiero al programa, habida cuenta de los retos en materia de seguridad existentes en el mar Negro derivados de los ataques rusos y del bloqueo en los puertos marítimos y del Danubio, cuyo objetivo es evitar los envíos de cereales que son esenciales para la economía ucraniana; destaca el riesgo para la seguridad que suponen estos ataques para los Estados miembros que tienen fronteras con Ucrania;</w:t>
      </w:r>
    </w:p>
    <w:p w:rsidR="0033594A" w:rsidRPr="00023577" w:rsidRDefault="0033594A" w:rsidP="0033594A">
      <w:pPr>
        <w:pStyle w:val="NormalHanging12a"/>
        <w:rPr>
          <w:szCs w:val="24"/>
        </w:rPr>
      </w:pPr>
      <w:r w:rsidRPr="00023577">
        <w:lastRenderedPageBreak/>
        <w:t>24.</w:t>
      </w:r>
      <w:r w:rsidRPr="00023577">
        <w:tab/>
        <w:t>Destaca el potencial de las fuentes de energía del mar Negro, que también pueden contribuir a un futuro energético sostenible en la Unión Europea; destaca que, a pesar de su potencial, las fuentes de energía renovables siguen en gran medida desaprovechadas;</w:t>
      </w:r>
    </w:p>
    <w:p w:rsidR="0033594A" w:rsidRPr="00023577" w:rsidRDefault="0033594A" w:rsidP="0033594A">
      <w:pPr>
        <w:pStyle w:val="NormalHanging12a"/>
      </w:pPr>
      <w:r w:rsidRPr="00023577">
        <w:t>25.</w:t>
      </w:r>
      <w:r w:rsidRPr="00023577">
        <w:tab/>
        <w:t xml:space="preserve">Considera que el programa Interreg NEXT de la cuenca del mar Negro debe facilitar el desarrollo económico sostenible y la gestión eficiente de los recursos compartidos; </w:t>
      </w:r>
    </w:p>
    <w:p w:rsidR="0033594A" w:rsidRPr="00023577" w:rsidRDefault="0033594A" w:rsidP="0033594A">
      <w:pPr>
        <w:pStyle w:val="NormalHanging12a"/>
        <w:widowControl/>
        <w:rPr>
          <w:szCs w:val="24"/>
        </w:rPr>
      </w:pPr>
      <w:r w:rsidRPr="00023577">
        <w:t>26.</w:t>
      </w:r>
      <w:r w:rsidRPr="00023577">
        <w:tab/>
        <w:t>Hace hincapié en la importancia de desarrollar un turismo sostenible en las regiones costeras del mar Negro y defiende que todos los actores implicados adopten un enfoque responsable sobre la protección del medio ambiente;</w:t>
      </w:r>
    </w:p>
    <w:p w:rsidR="0033594A" w:rsidRPr="00023577" w:rsidRDefault="0033594A" w:rsidP="0033594A">
      <w:pPr>
        <w:pStyle w:val="NormalHanging12a"/>
        <w:rPr>
          <w:szCs w:val="24"/>
        </w:rPr>
      </w:pPr>
      <w:r w:rsidRPr="00023577">
        <w:t>27.</w:t>
      </w:r>
      <w:r w:rsidRPr="00023577">
        <w:tab/>
        <w:t>Pide que se preste especial atención al mar Negro, mejorando la cooperación regional para abordar las cuestiones de seguridad, incluidas las relacionadas con los conflictos regionales y la seguridad energética, y alentando proyectos para modernizar los puertos y las infraestructuras conexas y aumentar sus conexiones con los centros de transporte existentes; pide, en particular, que se conecten a los corredores de la RTE</w:t>
      </w:r>
      <w:r w:rsidRPr="00023577">
        <w:noBreakHyphen/>
        <w:t>T;</w:t>
      </w:r>
    </w:p>
    <w:p w:rsidR="0033594A" w:rsidRPr="00023577" w:rsidRDefault="0033594A" w:rsidP="0033594A">
      <w:pPr>
        <w:pStyle w:val="NormalHanging12a"/>
        <w:rPr>
          <w:szCs w:val="24"/>
        </w:rPr>
      </w:pPr>
      <w:r w:rsidRPr="00023577">
        <w:t>28.</w:t>
      </w:r>
      <w:r w:rsidRPr="00023577">
        <w:tab/>
        <w:t>Insiste en que debe adoptarse una estrategia coherente para la zona del mar Negro y en que deben establecerse sinergias con el programa para el Danubio 2021-2027;</w:t>
      </w:r>
    </w:p>
    <w:p w:rsidR="0033594A" w:rsidRPr="00023577" w:rsidRDefault="0033594A" w:rsidP="0033594A">
      <w:pPr>
        <w:pStyle w:val="NormalHanging12a"/>
        <w:rPr>
          <w:i/>
        </w:rPr>
      </w:pPr>
      <w:r w:rsidRPr="00023577">
        <w:rPr>
          <w:i/>
        </w:rPr>
        <w:t>Cuenca mediterránea</w:t>
      </w:r>
    </w:p>
    <w:p w:rsidR="0033594A" w:rsidRPr="00023577" w:rsidRDefault="0033594A" w:rsidP="0033594A">
      <w:pPr>
        <w:pStyle w:val="NormalHanging12a"/>
        <w:rPr>
          <w:szCs w:val="24"/>
        </w:rPr>
      </w:pPr>
      <w:r w:rsidRPr="00023577">
        <w:t>29.</w:t>
      </w:r>
      <w:r w:rsidRPr="00023577">
        <w:tab/>
        <w:t>Subraya la importancia de unas asociaciones económicas y sociales sólidas con terceros países de la cuenca mediterránea; acoge con satisfacción el aumento del número de países que participan en los programas Interreg Euro-MED 2021-2027;</w:t>
      </w:r>
    </w:p>
    <w:p w:rsidR="0033594A" w:rsidRPr="00023577" w:rsidRDefault="0033594A" w:rsidP="0033594A">
      <w:pPr>
        <w:pStyle w:val="NormalHanging12a"/>
      </w:pPr>
      <w:r w:rsidRPr="00023577">
        <w:t>30.</w:t>
      </w:r>
      <w:r w:rsidRPr="00023577">
        <w:tab/>
        <w:t>Pide un uso más coordinado y eficiente de los fondos existentes, en el marco de las normas sociales, climáticas y medioambientales actuales, para aumentar la competitividad de la cuenca mediterránea, fomentando al mismo tiempo el potencial de las energías renovables terrestres y marinas;</w:t>
      </w:r>
    </w:p>
    <w:p w:rsidR="0033594A" w:rsidRPr="00023577" w:rsidRDefault="0033594A" w:rsidP="0033594A">
      <w:pPr>
        <w:pStyle w:val="NormalHanging12a"/>
        <w:rPr>
          <w:szCs w:val="24"/>
        </w:rPr>
      </w:pPr>
      <w:r w:rsidRPr="00023577">
        <w:t>31.</w:t>
      </w:r>
      <w:r w:rsidRPr="00023577">
        <w:tab/>
        <w:t>Considera que los programas transfronterizos deben desempeñar un papel activo a la hora de abordar los retos comunes en materia de seguridad y aspirar a la estabilidad regional;</w:t>
      </w:r>
    </w:p>
    <w:p w:rsidR="0033594A" w:rsidRPr="00023577" w:rsidRDefault="0033594A" w:rsidP="0033594A">
      <w:pPr>
        <w:pStyle w:val="NormalHanging12a"/>
        <w:rPr>
          <w:szCs w:val="24"/>
        </w:rPr>
      </w:pPr>
      <w:r w:rsidRPr="00023577">
        <w:t>32.</w:t>
      </w:r>
      <w:r w:rsidRPr="00023577">
        <w:tab/>
        <w:t>Pide que se gestionen los flujos migratorios y se luche contra la migración irregular y la trata de seres humanos, también mediante la financiación de proyectos destinados a recibir, cuidar y proporcionar formación a los migrantes para ayudarles a hacer frente a los retos de un entorno económico competitivo y comprender y respetar mejor los valores europeos, fomentando al mismo tiempo la inclusión a ambos lados del Mediterráneo;</w:t>
      </w:r>
    </w:p>
    <w:p w:rsidR="0033594A" w:rsidRPr="00023577" w:rsidRDefault="0033594A" w:rsidP="0033594A">
      <w:pPr>
        <w:pStyle w:val="NormalHanging12a"/>
        <w:rPr>
          <w:szCs w:val="24"/>
        </w:rPr>
      </w:pPr>
      <w:r w:rsidRPr="00023577">
        <w:t>33.</w:t>
      </w:r>
      <w:r w:rsidRPr="00023577">
        <w:tab/>
        <w:t>Reconoce el papel crucial de la investigación y la innovación en la prevención del riesgo de catástrofes naturales, la gestión sostenible del agua y la reducción del CO</w:t>
      </w:r>
      <w:r w:rsidRPr="00023577">
        <w:rPr>
          <w:vertAlign w:val="subscript"/>
        </w:rPr>
        <w:t>2</w:t>
      </w:r>
      <w:r w:rsidRPr="00023577">
        <w:t xml:space="preserve">, y subraya la necesidad de dar prioridad a los proyectos que tengan objetivos cuantificables en términos de impacto económico, social y medioambiental; </w:t>
      </w:r>
    </w:p>
    <w:p w:rsidR="0033594A" w:rsidRPr="00023577" w:rsidRDefault="0033594A" w:rsidP="0033594A">
      <w:pPr>
        <w:pStyle w:val="NormalHanging12a"/>
      </w:pPr>
      <w:r w:rsidRPr="00023577">
        <w:t>34.</w:t>
      </w:r>
      <w:r w:rsidRPr="00023577">
        <w:tab/>
        <w:t>Destaca que, a pesar de su potencial, las fuentes de energía renovables siguen sin aprovecharse en gran medida y que este potencial debe estimularse, también mediante la participación de las pymes y las empresas de mediana capitalización;</w:t>
      </w:r>
    </w:p>
    <w:p w:rsidR="0033594A" w:rsidRPr="00023577" w:rsidRDefault="0033594A" w:rsidP="0033594A">
      <w:pPr>
        <w:pStyle w:val="NormalHanging12a"/>
      </w:pPr>
      <w:r w:rsidRPr="00023577">
        <w:t>35.</w:t>
      </w:r>
      <w:r w:rsidRPr="00023577">
        <w:tab/>
        <w:t xml:space="preserve">Acoge con satisfacción la estrategia para la cuenca del Mediterráneo occidental </w:t>
      </w:r>
      <w:r w:rsidRPr="00023577">
        <w:lastRenderedPageBreak/>
        <w:t>(</w:t>
      </w:r>
      <w:proofErr w:type="spellStart"/>
      <w:r w:rsidRPr="00023577">
        <w:t>WestMed</w:t>
      </w:r>
      <w:proofErr w:type="spellEnd"/>
      <w:r w:rsidRPr="00023577">
        <w:t>), así como programas Interreg como MARITTIMO, considerándolos buenos ejemplos de cooperación directa y diversificada, también a nivel regional, con objetivos compartidos;</w:t>
      </w:r>
    </w:p>
    <w:p w:rsidR="0033594A" w:rsidRPr="00023577" w:rsidRDefault="0033594A" w:rsidP="0033594A">
      <w:pPr>
        <w:pStyle w:val="NormalHanging12a"/>
        <w:widowControl/>
      </w:pPr>
      <w:r w:rsidRPr="00023577">
        <w:t>36.</w:t>
      </w:r>
      <w:r w:rsidRPr="00023577">
        <w:tab/>
        <w:t>Celebra los avances de la estrategia macrorregional Adriático-Jónico (EUSAIR), que ha movilizado a los países miembros y a sus regiones, a terceros países y a sus autoridades locales; considera que EUSAIR es un ejemplo de éxito en el que la Unión ha demostrado ser una fuerza motriz y un vector de apertura; sostiene que estos mismos principios y un enfoque común similar deben aplicarse a las demás zonas del Mediterráneo;</w:t>
      </w:r>
    </w:p>
    <w:p w:rsidR="0033594A" w:rsidRPr="00023577" w:rsidRDefault="0033594A" w:rsidP="0033594A">
      <w:pPr>
        <w:pStyle w:val="NormalHanging12a"/>
        <w:rPr>
          <w:szCs w:val="24"/>
        </w:rPr>
      </w:pPr>
      <w:r w:rsidRPr="00023577">
        <w:t>37.</w:t>
      </w:r>
      <w:r w:rsidRPr="00023577">
        <w:tab/>
        <w:t>Invita al Consejo Europeo a pedir a la Comisión que presente una estrategia macrorregional detallada para el Mediterráneo, teniendo en cuenta su nueva Agenda para el Mediterráneo, en particular su sección 5 («Transición ecológica: resiliencia climática, energía y medio ambiente»), y a adoptarla; lamenta la continua degradación del medio ambiente en toda la cuenca marítima mediterránea, la pérdida de biodiversidad y el aumento de la contaminación atmosférica y marina, en particular por plásticos y residuos domésticos, y pide que se eviten, limiten y gestionen mediante la promoción de la economía circular;</w:t>
      </w:r>
    </w:p>
    <w:p w:rsidR="0033594A" w:rsidRPr="00023577" w:rsidRDefault="0033594A" w:rsidP="0033594A">
      <w:pPr>
        <w:pStyle w:val="NormalHanging12a"/>
        <w:rPr>
          <w:b/>
          <w:i/>
        </w:rPr>
      </w:pPr>
      <w:r w:rsidRPr="00023577">
        <w:rPr>
          <w:b/>
          <w:i/>
        </w:rPr>
        <w:t>Retos en el ámbito de la cooperación transfronteriza</w:t>
      </w:r>
    </w:p>
    <w:p w:rsidR="0033594A" w:rsidRPr="00023577" w:rsidRDefault="0033594A" w:rsidP="0033594A">
      <w:pPr>
        <w:pStyle w:val="NormalHanging12a"/>
        <w:rPr>
          <w:szCs w:val="24"/>
        </w:rPr>
      </w:pPr>
      <w:r w:rsidRPr="00023577">
        <w:t>38.</w:t>
      </w:r>
      <w:r w:rsidRPr="00023577">
        <w:tab/>
        <w:t>Observa que la existencia de diferentes marcos jurídicos e institucionales crea obstáculos adicionales a la ejecución de los proyectos y, por lo tanto, dificulta la ejecución de proyectos; recuerda que los procedimientos administrativos pueden ser complejos y dilatados, lo que puede disuadir a las autoridades locales y regionales de participar en la cooperación territorial; pide a la Comisión que contribuya a simplificar estos procedimientos haciéndolos más accesibles y transparentes;</w:t>
      </w:r>
    </w:p>
    <w:p w:rsidR="0033594A" w:rsidRPr="00023577" w:rsidRDefault="0033594A" w:rsidP="0033594A">
      <w:pPr>
        <w:pStyle w:val="NormalHanging12a"/>
      </w:pPr>
      <w:r w:rsidRPr="00023577">
        <w:t>39.</w:t>
      </w:r>
      <w:r w:rsidRPr="00023577">
        <w:tab/>
        <w:t>Señala que las barreras lingüísticas y las diferencias culturales dificultan la comunicación y pueden dar lugar a cargas administrativas que deben superarse mediante medidas adecuadas;</w:t>
      </w:r>
    </w:p>
    <w:p w:rsidR="0033594A" w:rsidRPr="00023577" w:rsidRDefault="0033594A" w:rsidP="0033594A">
      <w:pPr>
        <w:pStyle w:val="NormalHanging12a"/>
      </w:pPr>
      <w:r w:rsidRPr="00023577">
        <w:t>40.</w:t>
      </w:r>
      <w:r w:rsidRPr="00023577">
        <w:tab/>
        <w:t>Subraya que existen diferencias entre los Estados en lo que respecta a las competencias de las autoridades, así como cambios en las autoridades regionales, lo que puede provocar retrasos; considera que debe fomentarse el diálogo entre las autoridades locales y promoverse la participación de la sociedad civil en los proyectos de cooperación territorial, con la participación de organizaciones no gubernamentales, empresas sociales y otros agentes;</w:t>
      </w:r>
    </w:p>
    <w:p w:rsidR="0033594A" w:rsidRPr="00023577" w:rsidRDefault="0033594A" w:rsidP="0033594A">
      <w:pPr>
        <w:pStyle w:val="NormalHanging12a"/>
        <w:rPr>
          <w:szCs w:val="24"/>
        </w:rPr>
      </w:pPr>
      <w:r w:rsidRPr="00023577">
        <w:t>41.</w:t>
      </w:r>
      <w:r w:rsidRPr="00023577">
        <w:tab/>
        <w:t>Destaca la necesidad de desarrollar programas de intercambio y colaboración empresarial a largo plazo entre las instituciones y las empresas en las regiones transfronterizas para promover el desarrollo económico sostenible y mejorar la coordinación administrativa entre los Estados participantes mediante el desarrollo, la reorganización o, en su caso, el establecimiento de estructuras funcionales sostenibles para la cooperación y las redes transfronterizas;</w:t>
      </w:r>
    </w:p>
    <w:p w:rsidR="0033594A" w:rsidRPr="00023577" w:rsidRDefault="0033594A" w:rsidP="0033594A">
      <w:pPr>
        <w:pStyle w:val="NormalHanging12a"/>
      </w:pPr>
      <w:r w:rsidRPr="00023577">
        <w:t>42.</w:t>
      </w:r>
      <w:r w:rsidRPr="00023577">
        <w:tab/>
        <w:t xml:space="preserve">Subraya la importancia de establecer un sistema de intercambio intercultural a corto y medio plazo para promover el aprendizaje de lenguas comunes y una comprensión más profunda de las culturas regionales y facilitar la colaboración entre las comunidades transfronterizas, y subraya que este sistema debe incluir también aspectos empresariales </w:t>
      </w:r>
      <w:r w:rsidRPr="00023577">
        <w:lastRenderedPageBreak/>
        <w:t>y administrativos para estimular el desarrollo económico y administrativo;</w:t>
      </w:r>
    </w:p>
    <w:p w:rsidR="0033594A" w:rsidRPr="00023577" w:rsidRDefault="0033594A" w:rsidP="0033594A">
      <w:pPr>
        <w:pStyle w:val="NormalHanging12a"/>
        <w:widowControl/>
      </w:pPr>
      <w:r w:rsidRPr="00023577">
        <w:t>43.</w:t>
      </w:r>
      <w:r w:rsidRPr="00023577">
        <w:tab/>
        <w:t>Señala la necesidad de adaptar los programas a las necesidades individuales y a las especificidades de cada país o región participante; pide esfuerzos adicionales en este sentido;</w:t>
      </w:r>
    </w:p>
    <w:p w:rsidR="0033594A" w:rsidRPr="00023577" w:rsidRDefault="0033594A" w:rsidP="0033594A">
      <w:pPr>
        <w:pStyle w:val="NormalHanging12a"/>
      </w:pPr>
      <w:r w:rsidRPr="00023577">
        <w:t>44.</w:t>
      </w:r>
      <w:r w:rsidRPr="00023577">
        <w:tab/>
        <w:t>Observa que la pandemia de COVID-19 ha tenido un impacto negativo en las regiones fronterizas y ha afectado a la ejecución de los programas y los proyectos actuales;</w:t>
      </w:r>
    </w:p>
    <w:p w:rsidR="0033594A" w:rsidRPr="00023577" w:rsidRDefault="0033594A" w:rsidP="0033594A">
      <w:pPr>
        <w:pStyle w:val="NormalHanging12a"/>
        <w:rPr>
          <w:szCs w:val="24"/>
        </w:rPr>
      </w:pPr>
      <w:r w:rsidRPr="00023577">
        <w:t>45.</w:t>
      </w:r>
      <w:r w:rsidRPr="00023577">
        <w:tab/>
        <w:t>Señala que la falta de infraestructuras y redes de transporte adecuadas, particularmente en lo que se refiere a la cooperación transfronteriza marítima e insular, obstaculiza el comercio y la movilidad y complica la cooperación;</w:t>
      </w:r>
    </w:p>
    <w:p w:rsidR="0033594A" w:rsidRPr="00023577" w:rsidRDefault="0033594A" w:rsidP="0033594A">
      <w:pPr>
        <w:pStyle w:val="NormalHanging12a"/>
        <w:rPr>
          <w:szCs w:val="24"/>
        </w:rPr>
      </w:pPr>
      <w:r w:rsidRPr="00023577">
        <w:t>46.</w:t>
      </w:r>
      <w:r w:rsidRPr="00023577">
        <w:tab/>
        <w:t>Pone de relieve los retos específicos de las fronteras marítimas y la necesidad de reconocerlas como fronteras específicas con sus propias necesidades, particularmente a la luz de las diferencias lingüísticas y culturales, las cargas administrativas y jurídicas, las disparidades socioeconómicas y las cuestiones medioambientales;</w:t>
      </w:r>
    </w:p>
    <w:p w:rsidR="0033594A" w:rsidRPr="00023577" w:rsidRDefault="0033594A" w:rsidP="0033594A">
      <w:pPr>
        <w:pStyle w:val="NormalHanging12a"/>
        <w:rPr>
          <w:b/>
          <w:i/>
        </w:rPr>
      </w:pPr>
      <w:r w:rsidRPr="00023577">
        <w:rPr>
          <w:b/>
          <w:i/>
        </w:rPr>
        <w:t>Oportunidades de cooperación transfronteriza</w:t>
      </w:r>
    </w:p>
    <w:p w:rsidR="0033594A" w:rsidRPr="00023577" w:rsidRDefault="0033594A" w:rsidP="0033594A">
      <w:pPr>
        <w:pStyle w:val="NormalHanging12a"/>
      </w:pPr>
      <w:r w:rsidRPr="00023577">
        <w:t>47.</w:t>
      </w:r>
      <w:r w:rsidRPr="00023577">
        <w:tab/>
        <w:t>Destaca que, en vista de las múltiples crisis y conflictos, la cooperación transfronteriza con los países vecinos requiere inversiones en la resiliencia de los países y las sociedades, y que las prioridades de la asociación deben contribuir a mejorar sustancialmente las condiciones de vida a ambos lados de la frontera, en particular garantizando un desarrollo sostenible inclusivo, la justicia social, las oportunidades de empleo y la prosperidad económica;</w:t>
      </w:r>
    </w:p>
    <w:p w:rsidR="0033594A" w:rsidRPr="00023577" w:rsidRDefault="0033594A" w:rsidP="0033594A">
      <w:pPr>
        <w:pStyle w:val="NormalHanging12a"/>
        <w:rPr>
          <w:szCs w:val="24"/>
        </w:rPr>
      </w:pPr>
      <w:r w:rsidRPr="00023577">
        <w:t>48.</w:t>
      </w:r>
      <w:r w:rsidRPr="00023577">
        <w:tab/>
        <w:t>Considera que la cooperación transfronteriza puede contribuir considerablemente a reforzar la democracia local y regional y las capacidades administrativas de los países socios; destaca la importancia de las Agrupaciones Europeas de Cooperación Territorial (AECT) para facilitar y promover la cooperación territorial, en particular en la gestión de los servicios de transporte transfronterizo o los hospitales, la ejecución o la gestión de proyectos de desarrollo transfronterizo y el intercambio de conocimientos y mejores prácticas;</w:t>
      </w:r>
    </w:p>
    <w:p w:rsidR="0033594A" w:rsidRPr="00023577" w:rsidRDefault="0033594A" w:rsidP="0033594A">
      <w:pPr>
        <w:pStyle w:val="NormalHanging12a"/>
        <w:rPr>
          <w:szCs w:val="24"/>
        </w:rPr>
      </w:pPr>
      <w:r w:rsidRPr="00023577">
        <w:t>49.</w:t>
      </w:r>
      <w:r w:rsidRPr="00023577">
        <w:tab/>
        <w:t>Destaca la importancia de que los programas transfronterizos de la Unión incluyan la cultura como indicador importante del desarrollo regional, en particular en zonas fronterizas en las que la población que habita a ambos lados de la frontera comparte el mismo trasfondo cultural y lingüístico, para garantizar el dinamismo de las regiones y aumentar su atractivo, incrementar el intercambio cultural y promover la diversidad y la solidaridad más allá de las fronteras de la Unión;</w:t>
      </w:r>
    </w:p>
    <w:p w:rsidR="0033594A" w:rsidRPr="00023577" w:rsidRDefault="0033594A" w:rsidP="0033594A">
      <w:pPr>
        <w:pStyle w:val="NormalHanging12a"/>
      </w:pPr>
      <w:r w:rsidRPr="00023577">
        <w:t>50.</w:t>
      </w:r>
      <w:r w:rsidRPr="00023577">
        <w:tab/>
        <w:t>Destaca que los programas ofrecen oportunidades para un diálogo en profundidad con una serie de partes interesadas, incluidos los representantes de la sociedad civil, las autoridades locales y regionales, el mundo académico, los ciudadanos, las ONG y el sector privado; destaca, en particular, la importancia de los programas transfronterizos para los países candidatos a la adhesión a la Unión, pues proporcionan a las autoridades locales y nacionales la oportunidad de familiarizarse con la legislación de la Unión;</w:t>
      </w:r>
    </w:p>
    <w:p w:rsidR="0033594A" w:rsidRPr="00023577" w:rsidRDefault="0033594A" w:rsidP="0033594A">
      <w:pPr>
        <w:pStyle w:val="NormalHanging12a"/>
        <w:widowControl/>
      </w:pPr>
      <w:r w:rsidRPr="00023577">
        <w:t>51.</w:t>
      </w:r>
      <w:r w:rsidRPr="00023577">
        <w:tab/>
        <w:t xml:space="preserve">Señala que la cooperación transfronteriza puede contribuir aún más a reducir las disparidades regionales, promover el desarrollo económico y social, la integración de la </w:t>
      </w:r>
      <w:r w:rsidRPr="00023577">
        <w:lastRenderedPageBreak/>
        <w:t>perspectiva de género, el empleo, el comercio y la cohesión territorial, y mejorar la movilidad de las personas y la conectividad de las regiones;</w:t>
      </w:r>
    </w:p>
    <w:p w:rsidR="0033594A" w:rsidRPr="00023577" w:rsidRDefault="0033594A" w:rsidP="0033594A">
      <w:pPr>
        <w:pStyle w:val="NormalHanging12a"/>
      </w:pPr>
      <w:r w:rsidRPr="00023577">
        <w:t>52.</w:t>
      </w:r>
      <w:r w:rsidRPr="00023577">
        <w:tab/>
        <w:t>Destaca la importancia de la cooperación transfronteriza en materia de digitalización y subraya la necesidad de proyectos comunes sobre infraestructura digital, especialmente en los servicios públicos, con el fin de proporcionar un sector público coherente y eficiente centrado en las necesidades de todos;</w:t>
      </w:r>
    </w:p>
    <w:p w:rsidR="0033594A" w:rsidRPr="00023577" w:rsidRDefault="0033594A" w:rsidP="0033594A">
      <w:pPr>
        <w:pStyle w:val="NormalHanging12a"/>
        <w:rPr>
          <w:szCs w:val="24"/>
        </w:rPr>
      </w:pPr>
      <w:r w:rsidRPr="00023577">
        <w:t>53.</w:t>
      </w:r>
      <w:r w:rsidRPr="00023577">
        <w:tab/>
        <w:t>Destaca que la Unión y los Estados miembros deben cooperar más estrechamente con los países vecinos en el ámbito de la asistencia sanitaria y los servicios de emergencia y mejorar la capacidad de las pymes y las empresas de mediana capitalización para ejercer su actividad más allá de las fronteras;</w:t>
      </w:r>
    </w:p>
    <w:p w:rsidR="0033594A" w:rsidRPr="00023577" w:rsidRDefault="0033594A" w:rsidP="0033594A">
      <w:pPr>
        <w:pStyle w:val="NormalHanging12a"/>
      </w:pPr>
      <w:r w:rsidRPr="00023577">
        <w:t>54.</w:t>
      </w:r>
      <w:r w:rsidRPr="00023577">
        <w:tab/>
        <w:t>Destaca la importancia de la creación de redes y de la evaluación comparativa a la hora de eliminar los obstáculos a la cooperación transfronteriza, y señala que esto debería permitir un mejor uso de herramientas, como las AECT, la herramienta de inversión territorial integrada y la estrategia de desarrollo local participativo;</w:t>
      </w:r>
    </w:p>
    <w:p w:rsidR="0033594A" w:rsidRPr="00023577" w:rsidRDefault="0033594A" w:rsidP="0033594A">
      <w:pPr>
        <w:pStyle w:val="NormalHanging12a"/>
      </w:pPr>
      <w:r w:rsidRPr="00023577">
        <w:t>55.</w:t>
      </w:r>
      <w:r w:rsidRPr="00023577">
        <w:tab/>
        <w:t>Destaca el papel fundamental que desempeñan las inversiones en servicios públicos de alta calidad a la hora de generar resiliencia social y hacer frente a las crisis económicas, sanitarias y sociales;</w:t>
      </w:r>
    </w:p>
    <w:p w:rsidR="0033594A" w:rsidRPr="00023577" w:rsidRDefault="0033594A" w:rsidP="0033594A">
      <w:pPr>
        <w:pStyle w:val="NormalHanging12a"/>
      </w:pPr>
      <w:r w:rsidRPr="00023577">
        <w:t>56.</w:t>
      </w:r>
      <w:r w:rsidRPr="00023577">
        <w:tab/>
        <w:t>Acoge con satisfacción el compromiso continuado del Gobierno del Reino Unido con el programa PEACE, que desempeña un papel clave en la cooperación entre las regiones fronterizas de Irlanda e Irlanda del Norte;</w:t>
      </w:r>
    </w:p>
    <w:p w:rsidR="0033594A" w:rsidRPr="00023577" w:rsidRDefault="0033594A" w:rsidP="0033594A">
      <w:pPr>
        <w:pStyle w:val="NormalHanging12a"/>
      </w:pPr>
      <w:r w:rsidRPr="00023577">
        <w:t>57.</w:t>
      </w:r>
      <w:r w:rsidRPr="00023577">
        <w:tab/>
        <w:t>Subraya el papel esencial del programa PEACE PLUS para mantener buenas relaciones de vecindad en las regiones y garantizar su desarrollo socioeconómico;</w:t>
      </w:r>
    </w:p>
    <w:p w:rsidR="0033594A" w:rsidRPr="00023577" w:rsidRDefault="0033594A" w:rsidP="0033594A">
      <w:pPr>
        <w:pStyle w:val="NormalHanging12a"/>
        <w:rPr>
          <w:rFonts w:eastAsiaTheme="majorEastAsia"/>
          <w:b/>
          <w:bCs/>
          <w:i/>
          <w:kern w:val="32"/>
        </w:rPr>
      </w:pPr>
      <w:r w:rsidRPr="00023577">
        <w:rPr>
          <w:b/>
          <w:i/>
        </w:rPr>
        <w:t>Recomendaciones de actuación</w:t>
      </w:r>
    </w:p>
    <w:p w:rsidR="0033594A" w:rsidRPr="00023577" w:rsidRDefault="0033594A" w:rsidP="0033594A">
      <w:pPr>
        <w:pStyle w:val="NormalHanging12a"/>
      </w:pPr>
      <w:r w:rsidRPr="00023577">
        <w:t>58.</w:t>
      </w:r>
      <w:r w:rsidRPr="00023577">
        <w:tab/>
        <w:t>Recomienda una mayor complementariedad entre los proyectos y subraya la necesidad de establecer sinergias con otras herramientas de financiación de la Unión con la misma cobertura geográfica y temática, a fin de evitar una doble financiación; hace hincapié en la necesidad de que, durante el período de programación 2021-2027, los programas específicos identifiquen claramente los requisitos y prioridades comunes a las regiones situadas a lo largo de las fronteras exteriores de la Unión y complementen otras iniciativas financiadas por la Unión, sin solaparse con ellas;</w:t>
      </w:r>
    </w:p>
    <w:p w:rsidR="0033594A" w:rsidRPr="00023577" w:rsidRDefault="0033594A" w:rsidP="0033594A">
      <w:pPr>
        <w:pStyle w:val="NormalHanging12a"/>
      </w:pPr>
      <w:r w:rsidRPr="00023577">
        <w:t>59.</w:t>
      </w:r>
      <w:r w:rsidRPr="00023577">
        <w:tab/>
        <w:t>Considera que debe seguir potenciándose el papel de las estrategias macrorregionales de la Unión con miras a abordar los desafíos relacionados con las regiones fronterizas;</w:t>
      </w:r>
    </w:p>
    <w:p w:rsidR="0033594A" w:rsidRPr="00023577" w:rsidRDefault="0033594A" w:rsidP="0033594A">
      <w:pPr>
        <w:pStyle w:val="NormalHanging12a"/>
        <w:rPr>
          <w:szCs w:val="24"/>
        </w:rPr>
      </w:pPr>
      <w:r w:rsidRPr="00023577">
        <w:t>60.</w:t>
      </w:r>
      <w:r w:rsidRPr="00023577">
        <w:tab/>
        <w:t xml:space="preserve">Recomienda, en el ámbito de la gobernanza transfronteriza, el desarrollo de una estrategia de infraestructuras plenamente integrada (carretera, ferrocarril, agua) que tenga en cuenta la región transfronteriza en su conjunto; pone de relieve la importancia de desarrollar unas soluciones de movilidad más sostenibles en todas las zonas transfronterizas, también a través de la política de la RTE-T; pide a la Comisión y a los Estados miembros que promuevan la movilidad inteligente; </w:t>
      </w:r>
    </w:p>
    <w:p w:rsidR="0033594A" w:rsidRPr="00023577" w:rsidRDefault="0033594A" w:rsidP="0033594A">
      <w:pPr>
        <w:pStyle w:val="NormalHanging12a"/>
        <w:widowControl/>
      </w:pPr>
      <w:r w:rsidRPr="00023577">
        <w:t>61.</w:t>
      </w:r>
      <w:r w:rsidRPr="00023577">
        <w:tab/>
        <w:t>Recomienda que se promuevan instrumentos financieros de la Unión con valor social y económico añadido, con el fin de aumentar el nivel de sensibilización sobre los beneficios de la Unión;</w:t>
      </w:r>
    </w:p>
    <w:p w:rsidR="0033594A" w:rsidRPr="00023577" w:rsidRDefault="0033594A" w:rsidP="0033594A">
      <w:pPr>
        <w:pStyle w:val="NormalHanging12a"/>
      </w:pPr>
      <w:r w:rsidRPr="00023577">
        <w:lastRenderedPageBreak/>
        <w:t>62.</w:t>
      </w:r>
      <w:r w:rsidRPr="00023577">
        <w:tab/>
        <w:t>Pide a la Comisión que reduzca la carga burocrática, simplifique considerablemente los procedimientos y reduzca los obstáculos relacionados con las diferentes legislaciones; insiste en que esto debe permitir satisfacer las necesidades reales de las zonas transfronterizas; destaca que el desarrollo sostenible e integrador requiere una actuación a todos los niveles; reconoce explícitamente la importancia de prestar atención a las zonas rurales de las regiones transfronterizas, dado que se ven especialmente afectadas por los retos demográficos;</w:t>
      </w:r>
    </w:p>
    <w:p w:rsidR="0033594A" w:rsidRPr="00023577" w:rsidRDefault="0033594A" w:rsidP="0033594A">
      <w:pPr>
        <w:pStyle w:val="NormalHanging12a"/>
      </w:pPr>
      <w:r w:rsidRPr="00023577">
        <w:t>63.</w:t>
      </w:r>
      <w:r w:rsidRPr="00023577">
        <w:tab/>
        <w:t>Pide una mejor coordinación, diálogo y un mayor intercambio de mejores prácticas entre regiones y Estados, por ejemplo, a través de una plataforma como Interreg Europa; insta a la Comisión y a los Estados miembros a que refuercen la cooperación a este respecto y pide a los Estados miembros que proporcionen a las autoridades locales y regionales los instrumentos y recursos que necesitan para fomentar una cooperación transfronteriza ambiciosa; afirma que los servicios educativos y culturales públicos deben ser abiertos, accesibles y asequibles para los ciudadanos de ambos lados de las fronteras;</w:t>
      </w:r>
    </w:p>
    <w:p w:rsidR="0033594A" w:rsidRPr="00023577" w:rsidRDefault="0033594A" w:rsidP="0033594A">
      <w:pPr>
        <w:pStyle w:val="NormalHanging12a"/>
      </w:pPr>
      <w:r w:rsidRPr="00023577">
        <w:t>64.</w:t>
      </w:r>
      <w:r w:rsidRPr="00023577">
        <w:tab/>
        <w:t>Subraya que, de conformidad con el principio de asociación, las autoridades regionales y locales y los representantes de la sociedad civil y del sector privado deben participar, en la mayor medida posible, en la preparación y ejecución de los proyectos desde el principio; pide a la Comisión que considere la posibilidad de prestar apoyo técnico a las autoridades locales y regionales de los países vecinos para ayudarles a desarrollar y ejecutar proyectos de cooperación territorial; pide, asimismo, que se elaboren directrices en este sentido;</w:t>
      </w:r>
    </w:p>
    <w:p w:rsidR="0033594A" w:rsidRPr="00023577" w:rsidRDefault="0033594A" w:rsidP="0033594A">
      <w:pPr>
        <w:pStyle w:val="NormalHanging12a"/>
      </w:pPr>
      <w:r w:rsidRPr="00023577">
        <w:t>65.</w:t>
      </w:r>
      <w:r w:rsidRPr="00023577">
        <w:tab/>
        <w:t>Pide a la Comisión que siga integrando los Objetivos de Desarrollo Sostenible en los futuros planes de acción de cooperación transfronteriza, de modo que ningún lugar ni nadie quede atrás;</w:t>
      </w:r>
    </w:p>
    <w:p w:rsidR="0033594A" w:rsidRPr="00023577" w:rsidRDefault="0033594A" w:rsidP="0033594A">
      <w:pPr>
        <w:pStyle w:val="NormalHanging12a"/>
      </w:pPr>
      <w:r w:rsidRPr="00023577">
        <w:t>66.</w:t>
      </w:r>
      <w:r w:rsidRPr="00023577">
        <w:tab/>
        <w:t>Pide a la Comisión que siga cooperando con los Estados socios para promover la cooperación transfronteriza ofreciendo, en caso necesario, los conocimientos técnicos para ayudar a las autoridades homólogas de los países socios y mejorar la información que se les facilita sobre los procedimientos y las condiciones de acceso a la financiación de la Unión;</w:t>
      </w:r>
    </w:p>
    <w:p w:rsidR="0033594A" w:rsidRPr="00023577" w:rsidRDefault="0033594A" w:rsidP="0033594A">
      <w:pPr>
        <w:pStyle w:val="NormalHanging12a"/>
      </w:pPr>
      <w:r w:rsidRPr="00023577">
        <w:t>67.</w:t>
      </w:r>
      <w:r w:rsidRPr="00023577">
        <w:tab/>
        <w:t>Pide que se incremente el presupuesto global para la cooperación territorial transfronteriza;</w:t>
      </w:r>
    </w:p>
    <w:p w:rsidR="0033594A" w:rsidRPr="00023577" w:rsidRDefault="0033594A" w:rsidP="0033594A">
      <w:pPr>
        <w:pStyle w:val="NormalHanging12a"/>
      </w:pPr>
      <w:r w:rsidRPr="00023577">
        <w:t>68.</w:t>
      </w:r>
      <w:r w:rsidRPr="00023577">
        <w:tab/>
        <w:t>Considera que la creación de consejos conjuntos de gobierno local de carácter transfronterizo, como el creado entre Rumanía y Moldavia para contribuir al desarrollo de proyectos conjuntos de interés mutuo, podría servir de ejemplo;</w:t>
      </w:r>
    </w:p>
    <w:p w:rsidR="0033594A" w:rsidRPr="00023577" w:rsidRDefault="0033594A" w:rsidP="0033594A">
      <w:pPr>
        <w:pStyle w:val="NormalHanging12a"/>
      </w:pPr>
      <w:r w:rsidRPr="00023577">
        <w:t>69.</w:t>
      </w:r>
      <w:r w:rsidRPr="00023577">
        <w:tab/>
        <w:t xml:space="preserve">Alienta los esfuerzos por acercar los países socios a la Unión, estimular la reforma interna y el desarrollo de capacidades a nivel local y regional y promover la democracia local, la gobernanza multinivel y la cooperación descentralizada, también a través de la cooperación en el marco de </w:t>
      </w:r>
      <w:proofErr w:type="spellStart"/>
      <w:r w:rsidRPr="00023577">
        <w:t>EuroNest</w:t>
      </w:r>
      <w:proofErr w:type="spellEnd"/>
      <w:r w:rsidRPr="00023577">
        <w:t xml:space="preserve"> y la Conferencia de Entes Regionales y Locales de la Asociación Oriental (</w:t>
      </w:r>
      <w:proofErr w:type="spellStart"/>
      <w:r w:rsidRPr="00023577">
        <w:t>Corleap</w:t>
      </w:r>
      <w:proofErr w:type="spellEnd"/>
      <w:r w:rsidRPr="00023577">
        <w:t>) para la Vecindad Oriental y la Asamblea Regional y Local Euromediterránea (ARLEM) y la Asamblea Parlamentaria de la Unión por el Mediterráneo (AP-UPM) para los países vecinos meridionales;</w:t>
      </w:r>
    </w:p>
    <w:p w:rsidR="0033594A" w:rsidRPr="00023577" w:rsidRDefault="0033594A" w:rsidP="0033594A">
      <w:pPr>
        <w:pStyle w:val="NormalHanging12a"/>
      </w:pPr>
      <w:r w:rsidRPr="00023577">
        <w:t>70.</w:t>
      </w:r>
      <w:r w:rsidRPr="00023577">
        <w:tab/>
        <w:t xml:space="preserve">Subraya la necesidad de intensificar los esfuerzos y aumentar la asignación de recursos </w:t>
      </w:r>
      <w:r w:rsidRPr="00023577">
        <w:lastRenderedPageBreak/>
        <w:t>para proyectos transfronterizos destinados a desarrollar infraestructuras informáticas y ampliar el acceso a las redes de banda ancha, con el fin de apoyar la colaboración económica y social entre las regiones transfronterizas; destaca el papel clave que pueden desempeñar la tecnología y las innovaciones derivadas de la inteligencia artificial en la consolidación de vínculos, la promoción del desarrollo sostenible y la mejora y simplificación de los procedimientos administrativos;</w:t>
      </w:r>
    </w:p>
    <w:p w:rsidR="0033594A" w:rsidRPr="00023577" w:rsidRDefault="0033594A" w:rsidP="0033594A">
      <w:pPr>
        <w:pStyle w:val="NormalHanging12a"/>
      </w:pPr>
      <w:r w:rsidRPr="00023577">
        <w:t>71.</w:t>
      </w:r>
      <w:r w:rsidRPr="00023577">
        <w:tab/>
        <w:t>Hace hincapié en la importancia de detectar y evitar solapamientos de proyectos y gastos innecesarios entre los distintos programas e iniciativas europeos;</w:t>
      </w:r>
    </w:p>
    <w:p w:rsidR="0033594A" w:rsidRPr="00023577" w:rsidRDefault="0033594A" w:rsidP="0033594A">
      <w:pPr>
        <w:pStyle w:val="NormalHanging12a"/>
        <w:rPr>
          <w:szCs w:val="24"/>
        </w:rPr>
      </w:pPr>
      <w:r w:rsidRPr="00023577">
        <w:t>72.</w:t>
      </w:r>
      <w:r w:rsidRPr="00023577">
        <w:tab/>
        <w:t>Recomienda que se lleven a cabo evaluaciones periódicas de los proyectos de cooperación transfronteriza para garantizar el uso eficiente de los recursos financieros de la Unión;</w:t>
      </w:r>
    </w:p>
    <w:p w:rsidR="0033594A" w:rsidRPr="00023577" w:rsidRDefault="0033594A" w:rsidP="0033594A">
      <w:pPr>
        <w:pStyle w:val="NormalHanging12a"/>
        <w:jc w:val="center"/>
        <w:rPr>
          <w:rFonts w:ascii="Calibri" w:hAnsi="Calibri" w:cs="Calibri"/>
          <w:sz w:val="27"/>
          <w:szCs w:val="27"/>
        </w:rPr>
      </w:pPr>
      <w:r w:rsidRPr="00023577">
        <w:rPr>
          <w:rFonts w:ascii="Calibri" w:hAnsi="Calibri"/>
          <w:sz w:val="27"/>
        </w:rPr>
        <w:t>°</w:t>
      </w:r>
    </w:p>
    <w:p w:rsidR="0033594A" w:rsidRPr="00023577" w:rsidRDefault="0033594A" w:rsidP="0033594A">
      <w:pPr>
        <w:pStyle w:val="NormalHanging12a"/>
        <w:jc w:val="center"/>
        <w:rPr>
          <w:szCs w:val="24"/>
        </w:rPr>
      </w:pPr>
      <w:r w:rsidRPr="00023577">
        <w:rPr>
          <w:rFonts w:ascii="Calibri" w:hAnsi="Calibri"/>
          <w:sz w:val="27"/>
        </w:rPr>
        <w:t>°</w:t>
      </w:r>
      <w:r w:rsidRPr="00023577">
        <w:rPr>
          <w:rFonts w:ascii="Calibri" w:hAnsi="Calibri"/>
          <w:sz w:val="27"/>
        </w:rPr>
        <w:tab/>
        <w:t>°</w:t>
      </w:r>
    </w:p>
    <w:p w:rsidR="0033594A" w:rsidRPr="00023577" w:rsidRDefault="0033594A" w:rsidP="0033594A">
      <w:pPr>
        <w:pStyle w:val="NormalHanging12a"/>
      </w:pPr>
      <w:r w:rsidRPr="00023577">
        <w:t>73.</w:t>
      </w:r>
      <w:r w:rsidRPr="00023577">
        <w:tab/>
        <w:t>Encarga a su presidenta que transmita la presente Resolución al Consejo Europeo, al Consejo, a la Comisión, al Comité Económico y Social Europeo y al Comité de las Regiones, así como a los Parlamentos nacionales y regionales de los Estados miembros.</w:t>
      </w:r>
    </w:p>
    <w:sectPr w:rsidR="0033594A" w:rsidRPr="00023577" w:rsidSect="0002357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F69" w:rsidRPr="00023577" w:rsidRDefault="00925F69">
      <w:r w:rsidRPr="00023577">
        <w:separator/>
      </w:r>
    </w:p>
  </w:endnote>
  <w:endnote w:type="continuationSeparator" w:id="0">
    <w:p w:rsidR="00925F69" w:rsidRPr="00023577" w:rsidRDefault="00925F69">
      <w:r w:rsidRPr="000235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357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357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35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F69" w:rsidRPr="00023577" w:rsidRDefault="00925F69">
      <w:r w:rsidRPr="00023577">
        <w:separator/>
      </w:r>
    </w:p>
  </w:footnote>
  <w:footnote w:type="continuationSeparator" w:id="0">
    <w:p w:rsidR="00925F69" w:rsidRPr="00023577" w:rsidRDefault="00925F69">
      <w:r w:rsidRPr="00023577">
        <w:continuationSeparator/>
      </w:r>
    </w:p>
  </w:footnote>
  <w:footnote w:id="1">
    <w:p w:rsidR="0033594A" w:rsidRPr="00013F99" w:rsidRDefault="0033594A" w:rsidP="00023577">
      <w:pPr>
        <w:pStyle w:val="FootnoteText"/>
        <w:ind w:left="567" w:hanging="567"/>
        <w:rPr>
          <w:sz w:val="24"/>
          <w:lang w:val="pt-PT"/>
        </w:rPr>
      </w:pPr>
      <w:r w:rsidRPr="00023577">
        <w:rPr>
          <w:rStyle w:val="FootnoteReference"/>
          <w:sz w:val="24"/>
          <w:lang w:val="es-ES_tradnl"/>
        </w:rPr>
        <w:footnoteRef/>
      </w:r>
      <w:r w:rsidR="00023577" w:rsidRPr="00013F99">
        <w:rPr>
          <w:sz w:val="24"/>
          <w:lang w:val="pt-PT"/>
        </w:rPr>
        <w:t xml:space="preserve"> </w:t>
      </w:r>
      <w:r w:rsidR="00023577" w:rsidRPr="00013F99">
        <w:rPr>
          <w:sz w:val="24"/>
          <w:lang w:val="pt-PT"/>
        </w:rPr>
        <w:tab/>
      </w:r>
      <w:r w:rsidRPr="00013F99">
        <w:rPr>
          <w:sz w:val="24"/>
          <w:lang w:val="pt-PT"/>
        </w:rPr>
        <w:t>DO L 231 de 30.6.2021, p. 159.</w:t>
      </w:r>
    </w:p>
  </w:footnote>
  <w:footnote w:id="2">
    <w:p w:rsidR="0033594A" w:rsidRPr="00013F99" w:rsidRDefault="0033594A" w:rsidP="00023577">
      <w:pPr>
        <w:pStyle w:val="FootnoteText"/>
        <w:ind w:left="567" w:hanging="567"/>
        <w:rPr>
          <w:sz w:val="24"/>
          <w:lang w:val="pt-PT"/>
        </w:rPr>
      </w:pPr>
      <w:r w:rsidRPr="00023577">
        <w:rPr>
          <w:rStyle w:val="FootnoteReference"/>
          <w:sz w:val="24"/>
          <w:lang w:val="es-ES_tradnl"/>
        </w:rPr>
        <w:footnoteRef/>
      </w:r>
      <w:r w:rsidR="00023577" w:rsidRPr="00013F99">
        <w:rPr>
          <w:sz w:val="24"/>
          <w:lang w:val="pt-PT"/>
        </w:rPr>
        <w:t xml:space="preserve"> </w:t>
      </w:r>
      <w:r w:rsidR="00023577" w:rsidRPr="00013F99">
        <w:rPr>
          <w:sz w:val="24"/>
          <w:lang w:val="pt-PT"/>
        </w:rPr>
        <w:tab/>
      </w:r>
      <w:r w:rsidRPr="00013F99">
        <w:rPr>
          <w:sz w:val="24"/>
          <w:lang w:val="pt-PT"/>
        </w:rPr>
        <w:t>DO L 231 de 30.6.2021, p. 60.</w:t>
      </w:r>
    </w:p>
  </w:footnote>
  <w:footnote w:id="3">
    <w:p w:rsidR="0033594A" w:rsidRPr="00013F99" w:rsidRDefault="0033594A" w:rsidP="00023577">
      <w:pPr>
        <w:pStyle w:val="FootnoteText"/>
        <w:ind w:left="567" w:hanging="567"/>
        <w:rPr>
          <w:sz w:val="24"/>
          <w:lang w:val="pt-PT"/>
        </w:rPr>
      </w:pPr>
      <w:r w:rsidRPr="00023577">
        <w:rPr>
          <w:rStyle w:val="FootnoteReference"/>
          <w:sz w:val="24"/>
          <w:lang w:val="es-ES_tradnl"/>
        </w:rPr>
        <w:footnoteRef/>
      </w:r>
      <w:r w:rsidR="00023577" w:rsidRPr="00013F99">
        <w:rPr>
          <w:sz w:val="24"/>
          <w:lang w:val="pt-PT"/>
        </w:rPr>
        <w:t xml:space="preserve"> </w:t>
      </w:r>
      <w:r w:rsidR="00023577" w:rsidRPr="00013F99">
        <w:rPr>
          <w:sz w:val="24"/>
          <w:lang w:val="pt-PT"/>
        </w:rPr>
        <w:tab/>
      </w:r>
      <w:r w:rsidRPr="00013F99">
        <w:rPr>
          <w:sz w:val="24"/>
          <w:lang w:val="pt-PT"/>
        </w:rPr>
        <w:t>DO L 231 de 30.6.2021, p. 94.</w:t>
      </w:r>
    </w:p>
  </w:footnote>
  <w:footnote w:id="4">
    <w:p w:rsidR="0033594A" w:rsidRPr="00013F99" w:rsidRDefault="0033594A" w:rsidP="00023577">
      <w:pPr>
        <w:pStyle w:val="FootnoteText"/>
        <w:ind w:left="567" w:hanging="567"/>
        <w:rPr>
          <w:sz w:val="24"/>
          <w:lang w:val="pt-PT"/>
        </w:rPr>
      </w:pPr>
      <w:r w:rsidRPr="00023577">
        <w:rPr>
          <w:rStyle w:val="FootnoteReference"/>
          <w:sz w:val="24"/>
          <w:lang w:val="es-ES_tradnl"/>
        </w:rPr>
        <w:footnoteRef/>
      </w:r>
      <w:r w:rsidR="00023577" w:rsidRPr="00013F99">
        <w:rPr>
          <w:sz w:val="24"/>
          <w:lang w:val="pt-PT"/>
        </w:rPr>
        <w:t xml:space="preserve"> </w:t>
      </w:r>
      <w:r w:rsidR="00023577" w:rsidRPr="00013F99">
        <w:rPr>
          <w:sz w:val="24"/>
          <w:lang w:val="pt-PT"/>
        </w:rPr>
        <w:tab/>
      </w:r>
      <w:r w:rsidRPr="00013F99">
        <w:rPr>
          <w:sz w:val="24"/>
          <w:lang w:val="pt-PT"/>
        </w:rPr>
        <w:t>DO L 109 de 8.4.2022, p. 1.</w:t>
      </w:r>
    </w:p>
  </w:footnote>
  <w:footnote w:id="5">
    <w:p w:rsidR="0033594A" w:rsidRPr="00013F99" w:rsidRDefault="0033594A" w:rsidP="00023577">
      <w:pPr>
        <w:pStyle w:val="FootnoteText"/>
        <w:ind w:left="567" w:hanging="567"/>
        <w:rPr>
          <w:sz w:val="24"/>
          <w:lang w:val="pt-PT"/>
        </w:rPr>
      </w:pPr>
      <w:r w:rsidRPr="00023577">
        <w:rPr>
          <w:rStyle w:val="FootnoteReference"/>
          <w:sz w:val="24"/>
          <w:lang w:val="es-ES_tradnl"/>
        </w:rPr>
        <w:footnoteRef/>
      </w:r>
      <w:r w:rsidR="00023577" w:rsidRPr="00013F99">
        <w:rPr>
          <w:sz w:val="24"/>
          <w:lang w:val="pt-PT"/>
        </w:rPr>
        <w:t xml:space="preserve"> </w:t>
      </w:r>
      <w:r w:rsidR="00023577" w:rsidRPr="00013F99">
        <w:rPr>
          <w:sz w:val="24"/>
          <w:lang w:val="pt-PT"/>
        </w:rPr>
        <w:tab/>
      </w:r>
      <w:r w:rsidRPr="00013F99">
        <w:rPr>
          <w:sz w:val="24"/>
          <w:lang w:val="pt-PT"/>
        </w:rPr>
        <w:t>DO L 210 de 31.7.2006, p. 19.</w:t>
      </w:r>
    </w:p>
  </w:footnote>
  <w:footnote w:id="6">
    <w:p w:rsidR="0033594A" w:rsidRPr="00013F99" w:rsidRDefault="0033594A" w:rsidP="00023577">
      <w:pPr>
        <w:pStyle w:val="FootnoteText"/>
        <w:ind w:left="567" w:hanging="567"/>
        <w:rPr>
          <w:sz w:val="24"/>
          <w:lang w:val="pt-PT"/>
        </w:rPr>
      </w:pPr>
      <w:r w:rsidRPr="00023577">
        <w:rPr>
          <w:rStyle w:val="FootnoteReference"/>
          <w:sz w:val="24"/>
          <w:lang w:val="es-ES_tradnl"/>
        </w:rPr>
        <w:footnoteRef/>
      </w:r>
      <w:r w:rsidR="00023577" w:rsidRPr="00013F99">
        <w:rPr>
          <w:sz w:val="24"/>
          <w:lang w:val="pt-PT"/>
        </w:rPr>
        <w:t xml:space="preserve"> </w:t>
      </w:r>
      <w:r w:rsidR="00023577" w:rsidRPr="00013F99">
        <w:rPr>
          <w:sz w:val="24"/>
          <w:lang w:val="pt-PT"/>
        </w:rPr>
        <w:tab/>
      </w:r>
      <w:r w:rsidRPr="00013F99">
        <w:rPr>
          <w:sz w:val="24"/>
          <w:lang w:val="pt-PT"/>
        </w:rPr>
        <w:t>DO C 111 I de 3.4.2020, p. 1.</w:t>
      </w:r>
    </w:p>
  </w:footnote>
  <w:footnote w:id="7">
    <w:p w:rsidR="0033594A" w:rsidRPr="00013F99" w:rsidRDefault="0033594A" w:rsidP="00023577">
      <w:pPr>
        <w:pStyle w:val="FootnoteText"/>
        <w:ind w:left="567" w:hanging="567"/>
        <w:rPr>
          <w:sz w:val="24"/>
          <w:lang w:val="pt-PT"/>
        </w:rPr>
      </w:pPr>
      <w:r w:rsidRPr="00023577">
        <w:rPr>
          <w:rStyle w:val="FootnoteReference"/>
          <w:sz w:val="24"/>
          <w:lang w:val="es-ES_tradnl"/>
        </w:rPr>
        <w:footnoteRef/>
      </w:r>
      <w:r w:rsidR="00023577" w:rsidRPr="00013F99">
        <w:rPr>
          <w:sz w:val="24"/>
          <w:lang w:val="pt-PT"/>
        </w:rPr>
        <w:t xml:space="preserve"> </w:t>
      </w:r>
      <w:r w:rsidR="00023577" w:rsidRPr="00013F99">
        <w:rPr>
          <w:sz w:val="24"/>
          <w:lang w:val="pt-PT"/>
        </w:rPr>
        <w:tab/>
      </w:r>
      <w:r w:rsidRPr="00013F99">
        <w:rPr>
          <w:sz w:val="24"/>
          <w:lang w:val="pt-PT"/>
        </w:rPr>
        <w:t>DO C 125 de 5.4.2023, p. 100.</w:t>
      </w:r>
    </w:p>
  </w:footnote>
  <w:footnote w:id="8">
    <w:p w:rsidR="0033594A" w:rsidRPr="00013F99" w:rsidRDefault="0033594A" w:rsidP="00023577">
      <w:pPr>
        <w:pStyle w:val="FootnoteText"/>
        <w:ind w:left="567" w:hanging="567"/>
        <w:rPr>
          <w:sz w:val="24"/>
          <w:lang w:val="pt-PT"/>
        </w:rPr>
      </w:pPr>
      <w:r w:rsidRPr="00023577">
        <w:rPr>
          <w:rStyle w:val="FootnoteReference"/>
          <w:sz w:val="24"/>
          <w:lang w:val="es-ES_tradnl"/>
        </w:rPr>
        <w:footnoteRef/>
      </w:r>
      <w:r w:rsidR="00023577" w:rsidRPr="00013F99">
        <w:rPr>
          <w:sz w:val="24"/>
          <w:lang w:val="pt-PT"/>
        </w:rPr>
        <w:t xml:space="preserve"> </w:t>
      </w:r>
      <w:r w:rsidR="00023577" w:rsidRPr="00013F99">
        <w:rPr>
          <w:sz w:val="24"/>
          <w:lang w:val="pt-PT"/>
        </w:rPr>
        <w:tab/>
      </w:r>
      <w:r w:rsidRPr="00013F99">
        <w:rPr>
          <w:sz w:val="24"/>
          <w:lang w:val="pt-PT"/>
        </w:rPr>
        <w:t>Textos Aprobados, P9_TA(2023)0133.</w:t>
      </w:r>
    </w:p>
  </w:footnote>
  <w:footnote w:id="9">
    <w:p w:rsidR="0033594A" w:rsidRPr="00013F99" w:rsidRDefault="0033594A" w:rsidP="00023577">
      <w:pPr>
        <w:pStyle w:val="FootnoteText"/>
        <w:ind w:left="567" w:hanging="567"/>
        <w:rPr>
          <w:sz w:val="24"/>
          <w:lang w:val="pt-PT"/>
        </w:rPr>
      </w:pPr>
      <w:r w:rsidRPr="00023577">
        <w:rPr>
          <w:rStyle w:val="FootnoteReference"/>
          <w:sz w:val="24"/>
          <w:lang w:val="es-ES_tradnl"/>
        </w:rPr>
        <w:footnoteRef/>
      </w:r>
      <w:r w:rsidR="00023577" w:rsidRPr="00013F99">
        <w:rPr>
          <w:sz w:val="24"/>
          <w:lang w:val="pt-PT"/>
        </w:rPr>
        <w:t xml:space="preserve"> </w:t>
      </w:r>
      <w:r w:rsidR="00023577" w:rsidRPr="00013F99">
        <w:rPr>
          <w:sz w:val="24"/>
          <w:lang w:val="pt-PT"/>
        </w:rPr>
        <w:tab/>
      </w:r>
      <w:r w:rsidRPr="00013F99">
        <w:rPr>
          <w:sz w:val="24"/>
          <w:lang w:val="pt-PT"/>
        </w:rPr>
        <w:t>DO C 162 de 10.5.2019, p. 24.</w:t>
      </w:r>
    </w:p>
  </w:footnote>
  <w:footnote w:id="10">
    <w:p w:rsidR="0033594A" w:rsidRPr="00023577" w:rsidRDefault="0033594A" w:rsidP="00023577">
      <w:pPr>
        <w:pStyle w:val="FootnoteText"/>
        <w:ind w:left="567" w:hanging="567"/>
        <w:rPr>
          <w:sz w:val="24"/>
          <w:lang w:val="es-ES_tradnl"/>
        </w:rPr>
      </w:pPr>
      <w:r w:rsidRPr="00023577">
        <w:rPr>
          <w:rStyle w:val="FootnoteReference"/>
          <w:sz w:val="24"/>
          <w:lang w:val="es-ES_tradnl"/>
        </w:rPr>
        <w:footnoteRef/>
      </w:r>
      <w:r w:rsidR="00023577" w:rsidRPr="00023577">
        <w:rPr>
          <w:sz w:val="24"/>
          <w:lang w:val="es-ES_tradnl"/>
        </w:rPr>
        <w:t xml:space="preserve"> </w:t>
      </w:r>
      <w:r w:rsidR="00023577" w:rsidRPr="00023577">
        <w:rPr>
          <w:sz w:val="24"/>
          <w:lang w:val="es-ES_tradnl"/>
        </w:rPr>
        <w:tab/>
      </w:r>
      <w:r w:rsidRPr="00023577">
        <w:rPr>
          <w:sz w:val="24"/>
          <w:lang w:val="es-ES_tradnl"/>
        </w:rPr>
        <w:t>Estudio — Regiones rezagadas de la UE: situación actual y retos de futuro, Parlamento Europeo, Dirección General de Servicios de Estudios Parlamentarios, septiembre de 2020.</w:t>
      </w:r>
    </w:p>
  </w:footnote>
  <w:footnote w:id="11">
    <w:p w:rsidR="0033594A" w:rsidRPr="00023577" w:rsidRDefault="0033594A" w:rsidP="00023577">
      <w:pPr>
        <w:pStyle w:val="FootnoteText"/>
        <w:ind w:left="567" w:hanging="567"/>
        <w:rPr>
          <w:sz w:val="24"/>
          <w:lang w:val="es-ES_tradnl"/>
        </w:rPr>
      </w:pPr>
      <w:r w:rsidRPr="00023577">
        <w:rPr>
          <w:rStyle w:val="FootnoteReference"/>
          <w:sz w:val="24"/>
          <w:lang w:val="es-ES_tradnl"/>
        </w:rPr>
        <w:footnoteRef/>
      </w:r>
      <w:r w:rsidR="00023577" w:rsidRPr="00023577">
        <w:rPr>
          <w:sz w:val="24"/>
          <w:lang w:val="es-ES_tradnl"/>
        </w:rPr>
        <w:t xml:space="preserve"> </w:t>
      </w:r>
      <w:r w:rsidR="00023577" w:rsidRPr="00023577">
        <w:rPr>
          <w:sz w:val="24"/>
          <w:lang w:val="es-ES_tradnl"/>
        </w:rPr>
        <w:tab/>
      </w:r>
      <w:r w:rsidRPr="00023577">
        <w:rPr>
          <w:sz w:val="24"/>
          <w:lang w:val="es-ES_tradnl"/>
        </w:rPr>
        <w:t>DO C 433 de 23.12.2019, p. 24.</w:t>
      </w:r>
    </w:p>
  </w:footnote>
  <w:footnote w:id="12">
    <w:p w:rsidR="0033594A" w:rsidRPr="00023577" w:rsidRDefault="0033594A" w:rsidP="00023577">
      <w:pPr>
        <w:pStyle w:val="FootnoteText"/>
        <w:ind w:left="567" w:hanging="567"/>
        <w:rPr>
          <w:sz w:val="24"/>
          <w:lang w:val="es-ES_tradnl"/>
        </w:rPr>
      </w:pPr>
      <w:r w:rsidRPr="00023577">
        <w:rPr>
          <w:rStyle w:val="FootnoteReference"/>
          <w:sz w:val="24"/>
          <w:lang w:val="es-ES_tradnl"/>
        </w:rPr>
        <w:footnoteRef/>
      </w:r>
      <w:r w:rsidR="00023577" w:rsidRPr="00023577">
        <w:rPr>
          <w:sz w:val="24"/>
          <w:lang w:val="es-ES_tradnl"/>
        </w:rPr>
        <w:t xml:space="preserve"> </w:t>
      </w:r>
      <w:r w:rsidR="00023577" w:rsidRPr="00023577">
        <w:rPr>
          <w:sz w:val="24"/>
          <w:lang w:val="es-ES_tradnl"/>
        </w:rPr>
        <w:tab/>
      </w:r>
      <w:r w:rsidRPr="00023577">
        <w:rPr>
          <w:sz w:val="24"/>
          <w:lang w:val="es-ES_tradnl"/>
        </w:rPr>
        <w:t xml:space="preserve">Grupo Intergubernamental de Expertos sobre el Cambio Climático, </w:t>
      </w:r>
      <w:proofErr w:type="spellStart"/>
      <w:r w:rsidRPr="00023577">
        <w:rPr>
          <w:sz w:val="24"/>
          <w:lang w:val="es-ES_tradnl"/>
        </w:rPr>
        <w:t>Climate</w:t>
      </w:r>
      <w:proofErr w:type="spellEnd"/>
      <w:r w:rsidRPr="00023577">
        <w:rPr>
          <w:sz w:val="24"/>
          <w:lang w:val="es-ES_tradnl"/>
        </w:rPr>
        <w:t xml:space="preserve"> </w:t>
      </w:r>
      <w:proofErr w:type="spellStart"/>
      <w:r w:rsidRPr="00023577">
        <w:rPr>
          <w:sz w:val="24"/>
          <w:lang w:val="es-ES_tradnl"/>
        </w:rPr>
        <w:t>Change</w:t>
      </w:r>
      <w:proofErr w:type="spellEnd"/>
      <w:r w:rsidRPr="00023577">
        <w:rPr>
          <w:sz w:val="24"/>
          <w:lang w:val="es-ES_tradnl"/>
        </w:rPr>
        <w:t xml:space="preserve"> 2022: </w:t>
      </w:r>
      <w:proofErr w:type="spellStart"/>
      <w:r w:rsidRPr="00023577">
        <w:rPr>
          <w:sz w:val="24"/>
          <w:lang w:val="es-ES_tradnl"/>
        </w:rPr>
        <w:t>Mitigation</w:t>
      </w:r>
      <w:proofErr w:type="spellEnd"/>
      <w:r w:rsidRPr="00023577">
        <w:rPr>
          <w:sz w:val="24"/>
          <w:lang w:val="es-ES_tradnl"/>
        </w:rPr>
        <w:t xml:space="preserve"> of </w:t>
      </w:r>
      <w:proofErr w:type="spellStart"/>
      <w:r w:rsidRPr="00023577">
        <w:rPr>
          <w:sz w:val="24"/>
          <w:lang w:val="es-ES_tradnl"/>
        </w:rPr>
        <w:t>Climate</w:t>
      </w:r>
      <w:proofErr w:type="spellEnd"/>
      <w:r w:rsidRPr="00023577">
        <w:rPr>
          <w:sz w:val="24"/>
          <w:lang w:val="es-ES_tradnl"/>
        </w:rPr>
        <w:t xml:space="preserve"> </w:t>
      </w:r>
      <w:proofErr w:type="spellStart"/>
      <w:r w:rsidRPr="00023577">
        <w:rPr>
          <w:sz w:val="24"/>
          <w:lang w:val="es-ES_tradnl"/>
        </w:rPr>
        <w:t>Change</w:t>
      </w:r>
      <w:proofErr w:type="spellEnd"/>
      <w:r w:rsidRPr="00023577">
        <w:rPr>
          <w:sz w:val="24"/>
          <w:lang w:val="es-ES_tradnl"/>
        </w:rPr>
        <w:t xml:space="preserve">. </w:t>
      </w:r>
      <w:proofErr w:type="spellStart"/>
      <w:r w:rsidRPr="00023577">
        <w:rPr>
          <w:sz w:val="24"/>
          <w:lang w:val="es-ES_tradnl"/>
        </w:rPr>
        <w:t>Contribution</w:t>
      </w:r>
      <w:proofErr w:type="spellEnd"/>
      <w:r w:rsidRPr="00023577">
        <w:rPr>
          <w:sz w:val="24"/>
          <w:lang w:val="es-ES_tradnl"/>
        </w:rPr>
        <w:t xml:space="preserve"> of </w:t>
      </w:r>
      <w:proofErr w:type="spellStart"/>
      <w:r w:rsidRPr="00023577">
        <w:rPr>
          <w:sz w:val="24"/>
          <w:lang w:val="es-ES_tradnl"/>
        </w:rPr>
        <w:t>Working</w:t>
      </w:r>
      <w:proofErr w:type="spellEnd"/>
      <w:r w:rsidRPr="00023577">
        <w:rPr>
          <w:sz w:val="24"/>
          <w:lang w:val="es-ES_tradnl"/>
        </w:rPr>
        <w:t xml:space="preserve"> </w:t>
      </w:r>
      <w:proofErr w:type="spellStart"/>
      <w:r w:rsidRPr="00023577">
        <w:rPr>
          <w:sz w:val="24"/>
          <w:lang w:val="es-ES_tradnl"/>
        </w:rPr>
        <w:t>Group</w:t>
      </w:r>
      <w:proofErr w:type="spellEnd"/>
      <w:r w:rsidRPr="00023577">
        <w:rPr>
          <w:sz w:val="24"/>
          <w:lang w:val="es-ES_tradnl"/>
        </w:rPr>
        <w:t xml:space="preserve"> III to the </w:t>
      </w:r>
      <w:proofErr w:type="spellStart"/>
      <w:r w:rsidRPr="00023577">
        <w:rPr>
          <w:sz w:val="24"/>
          <w:lang w:val="es-ES_tradnl"/>
        </w:rPr>
        <w:t>Sixth</w:t>
      </w:r>
      <w:proofErr w:type="spellEnd"/>
      <w:r w:rsidRPr="00023577">
        <w:rPr>
          <w:sz w:val="24"/>
          <w:lang w:val="es-ES_tradnl"/>
        </w:rPr>
        <w:t xml:space="preserve"> </w:t>
      </w:r>
      <w:proofErr w:type="spellStart"/>
      <w:r w:rsidRPr="00023577">
        <w:rPr>
          <w:sz w:val="24"/>
          <w:lang w:val="es-ES_tradnl"/>
        </w:rPr>
        <w:t>Assessment</w:t>
      </w:r>
      <w:proofErr w:type="spellEnd"/>
      <w:r w:rsidRPr="00023577">
        <w:rPr>
          <w:sz w:val="24"/>
          <w:lang w:val="es-ES_tradnl"/>
        </w:rPr>
        <w:t xml:space="preserve"> </w:t>
      </w:r>
      <w:proofErr w:type="spellStart"/>
      <w:r w:rsidRPr="00023577">
        <w:rPr>
          <w:sz w:val="24"/>
          <w:lang w:val="es-ES_tradnl"/>
        </w:rPr>
        <w:t>Report</w:t>
      </w:r>
      <w:proofErr w:type="spellEnd"/>
      <w:r w:rsidRPr="00023577">
        <w:rPr>
          <w:sz w:val="24"/>
          <w:lang w:val="es-ES_tradnl"/>
        </w:rPr>
        <w:t xml:space="preserve"> of the </w:t>
      </w:r>
      <w:proofErr w:type="spellStart"/>
      <w:r w:rsidRPr="00023577">
        <w:rPr>
          <w:sz w:val="24"/>
          <w:lang w:val="es-ES_tradnl"/>
        </w:rPr>
        <w:t>Intergovernmental</w:t>
      </w:r>
      <w:proofErr w:type="spellEnd"/>
      <w:r w:rsidRPr="00023577">
        <w:rPr>
          <w:sz w:val="24"/>
          <w:lang w:val="es-ES_tradnl"/>
        </w:rPr>
        <w:t xml:space="preserve"> Panel </w:t>
      </w:r>
      <w:proofErr w:type="spellStart"/>
      <w:r w:rsidRPr="00023577">
        <w:rPr>
          <w:sz w:val="24"/>
          <w:lang w:val="es-ES_tradnl"/>
        </w:rPr>
        <w:t>on</w:t>
      </w:r>
      <w:proofErr w:type="spellEnd"/>
      <w:r w:rsidRPr="00023577">
        <w:rPr>
          <w:sz w:val="24"/>
          <w:lang w:val="es-ES_tradnl"/>
        </w:rPr>
        <w:t xml:space="preserve"> </w:t>
      </w:r>
      <w:proofErr w:type="spellStart"/>
      <w:r w:rsidRPr="00023577">
        <w:rPr>
          <w:sz w:val="24"/>
          <w:lang w:val="es-ES_tradnl"/>
        </w:rPr>
        <w:t>Climate</w:t>
      </w:r>
      <w:proofErr w:type="spellEnd"/>
      <w:r w:rsidRPr="00023577">
        <w:rPr>
          <w:sz w:val="24"/>
          <w:lang w:val="es-ES_tradnl"/>
        </w:rPr>
        <w:t xml:space="preserve"> </w:t>
      </w:r>
      <w:proofErr w:type="spellStart"/>
      <w:r w:rsidRPr="00023577">
        <w:rPr>
          <w:sz w:val="24"/>
          <w:lang w:val="es-ES_tradnl"/>
        </w:rPr>
        <w:t>Change</w:t>
      </w:r>
      <w:proofErr w:type="spellEnd"/>
      <w:r w:rsidRPr="00023577">
        <w:rPr>
          <w:sz w:val="24"/>
          <w:lang w:val="es-ES_tradnl"/>
        </w:rPr>
        <w:t xml:space="preserve"> (</w:t>
      </w:r>
      <w:proofErr w:type="spellStart"/>
      <w:r w:rsidRPr="00023577">
        <w:rPr>
          <w:sz w:val="24"/>
          <w:lang w:val="es-ES_tradnl"/>
        </w:rPr>
        <w:t>Shukla</w:t>
      </w:r>
      <w:proofErr w:type="spellEnd"/>
      <w:r w:rsidRPr="00023577">
        <w:rPr>
          <w:sz w:val="24"/>
          <w:lang w:val="es-ES_tradnl"/>
        </w:rPr>
        <w:t xml:space="preserve">, P. R. y otros, eds.), Cambridge </w:t>
      </w:r>
      <w:proofErr w:type="spellStart"/>
      <w:r w:rsidRPr="00023577">
        <w:rPr>
          <w:sz w:val="24"/>
          <w:lang w:val="es-ES_tradnl"/>
        </w:rPr>
        <w:t>University</w:t>
      </w:r>
      <w:proofErr w:type="spellEnd"/>
      <w:r w:rsidRPr="00023577">
        <w:rPr>
          <w:sz w:val="24"/>
          <w:lang w:val="es-ES_tradnl"/>
        </w:rPr>
        <w:t xml:space="preserve"> </w:t>
      </w:r>
      <w:proofErr w:type="spellStart"/>
      <w:r w:rsidRPr="00023577">
        <w:rPr>
          <w:sz w:val="24"/>
          <w:lang w:val="es-ES_tradnl"/>
        </w:rPr>
        <w:t>Press</w:t>
      </w:r>
      <w:proofErr w:type="spellEnd"/>
      <w:r w:rsidRPr="00023577">
        <w:rPr>
          <w:sz w:val="24"/>
          <w:lang w:val="es-ES_tradnl"/>
        </w:rPr>
        <w:t xml:space="preserve">, Cambridge (Reino Unido) y Nueva York (NY, EE. UU.), 2022. </w:t>
      </w:r>
    </w:p>
  </w:footnote>
  <w:footnote w:id="13">
    <w:p w:rsidR="0033594A" w:rsidRPr="00013F99" w:rsidRDefault="0033594A" w:rsidP="00023577">
      <w:pPr>
        <w:pStyle w:val="FootnoteText"/>
        <w:ind w:left="567" w:hanging="567"/>
        <w:rPr>
          <w:sz w:val="24"/>
          <w:lang w:val="pt-PT"/>
        </w:rPr>
      </w:pPr>
      <w:r w:rsidRPr="00023577">
        <w:rPr>
          <w:rStyle w:val="FootnoteReference"/>
          <w:sz w:val="24"/>
          <w:lang w:val="es-ES_tradnl"/>
        </w:rPr>
        <w:footnoteRef/>
      </w:r>
      <w:r w:rsidR="00023577" w:rsidRPr="00013F99">
        <w:rPr>
          <w:sz w:val="24"/>
          <w:lang w:val="pt-PT"/>
        </w:rPr>
        <w:t xml:space="preserve"> </w:t>
      </w:r>
      <w:r w:rsidR="00023577" w:rsidRPr="00013F99">
        <w:rPr>
          <w:sz w:val="24"/>
          <w:lang w:val="pt-PT"/>
        </w:rPr>
        <w:tab/>
      </w:r>
      <w:r w:rsidRPr="00013F99">
        <w:rPr>
          <w:sz w:val="24"/>
          <w:lang w:val="pt-PT"/>
        </w:rPr>
        <w:t>DO C 440 de 29.10.2021, p. 6.</w:t>
      </w:r>
    </w:p>
  </w:footnote>
  <w:footnote w:id="14">
    <w:p w:rsidR="0033594A" w:rsidRPr="00013F99" w:rsidRDefault="0033594A" w:rsidP="00023577">
      <w:pPr>
        <w:pStyle w:val="FootnoteText"/>
        <w:ind w:left="567" w:hanging="567"/>
        <w:rPr>
          <w:sz w:val="24"/>
          <w:lang w:val="pt-PT"/>
        </w:rPr>
      </w:pPr>
      <w:r w:rsidRPr="00023577">
        <w:rPr>
          <w:rStyle w:val="FootnoteReference"/>
          <w:sz w:val="24"/>
          <w:lang w:val="es-ES_tradnl"/>
        </w:rPr>
        <w:footnoteRef/>
      </w:r>
      <w:r w:rsidR="00023577" w:rsidRPr="00013F99">
        <w:rPr>
          <w:sz w:val="24"/>
          <w:lang w:val="pt-PT"/>
        </w:rPr>
        <w:t xml:space="preserve"> </w:t>
      </w:r>
      <w:r w:rsidR="00023577" w:rsidRPr="00013F99">
        <w:rPr>
          <w:sz w:val="24"/>
          <w:lang w:val="pt-PT"/>
        </w:rPr>
        <w:tab/>
      </w:r>
      <w:r w:rsidRPr="00013F99">
        <w:rPr>
          <w:sz w:val="24"/>
          <w:lang w:val="pt-PT"/>
        </w:rPr>
        <w:t>DO C 207 de 30.6.2017, p.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35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35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35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ES"/>
    <w:docVar w:name="dvnumam" w:val="0"/>
    <w:docVar w:name="dvpe" w:val="751.733"/>
    <w:docVar w:name="dvrapporteur" w:val="Ponente: "/>
    <w:docVar w:name="dvtitre" w:val="Resolución del Parlamento Europeo, de x de enero de 2024, sobre los retos actuales y futuros en relación con la cooperación transfronteriza con los países vecinos(2023/2076(INI))"/>
  </w:docVars>
  <w:rsids>
    <w:rsidRoot w:val="00925F69"/>
    <w:rsid w:val="00002272"/>
    <w:rsid w:val="00013F99"/>
    <w:rsid w:val="00023577"/>
    <w:rsid w:val="00064002"/>
    <w:rsid w:val="000677B9"/>
    <w:rsid w:val="000831BA"/>
    <w:rsid w:val="000A42CC"/>
    <w:rsid w:val="000E4E0E"/>
    <w:rsid w:val="000E7DD9"/>
    <w:rsid w:val="0010095E"/>
    <w:rsid w:val="00125B37"/>
    <w:rsid w:val="00187494"/>
    <w:rsid w:val="001F32AE"/>
    <w:rsid w:val="002767FF"/>
    <w:rsid w:val="002B18FE"/>
    <w:rsid w:val="002B5493"/>
    <w:rsid w:val="0033594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3EA2"/>
    <w:rsid w:val="00925F6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9C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5438438-33FC-455C-9C2B-6878A6293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3594A"/>
    <w:pPr>
      <w:spacing w:after="240"/>
      <w:ind w:left="567" w:hanging="567"/>
    </w:pPr>
  </w:style>
  <w:style w:type="paragraph" w:customStyle="1" w:styleId="EPComma">
    <w:name w:val="EPComma"/>
    <w:basedOn w:val="Normal"/>
    <w:rsid w:val="0033594A"/>
    <w:pPr>
      <w:spacing w:before="480" w:after="240"/>
    </w:pPr>
  </w:style>
  <w:style w:type="character" w:customStyle="1" w:styleId="y2iqfc">
    <w:name w:val="y2iqfc"/>
    <w:basedOn w:val="DefaultParagraphFont"/>
    <w:rsid w:val="0033594A"/>
  </w:style>
  <w:style w:type="character" w:customStyle="1" w:styleId="NormalHanging12aChar">
    <w:name w:val="NormalHanging12a Char"/>
    <w:basedOn w:val="DefaultParagraphFont"/>
    <w:link w:val="NormalHanging12a"/>
    <w:rsid w:val="0033594A"/>
    <w:rPr>
      <w:sz w:val="24"/>
      <w:lang w:val="es-ES_tradnl"/>
    </w:rPr>
  </w:style>
  <w:style w:type="paragraph" w:styleId="BalloonText">
    <w:name w:val="Balloon Text"/>
    <w:basedOn w:val="Normal"/>
    <w:link w:val="BalloonTextChar"/>
    <w:rsid w:val="008D3EA2"/>
    <w:rPr>
      <w:rFonts w:ascii="Segoe UI" w:hAnsi="Segoe UI" w:cs="Segoe UI"/>
      <w:sz w:val="18"/>
      <w:szCs w:val="18"/>
    </w:rPr>
  </w:style>
  <w:style w:type="character" w:customStyle="1" w:styleId="BalloonTextChar">
    <w:name w:val="Balloon Text Char"/>
    <w:basedOn w:val="DefaultParagraphFont"/>
    <w:link w:val="BalloonText"/>
    <w:rsid w:val="008D3EA2"/>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493D4-D940-429A-B41D-B28A06659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5569</Words>
  <Characters>30877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SEMEDO Teresa_RELEC</cp:lastModifiedBy>
  <cp:revision>3</cp:revision>
  <cp:lastPrinted>2004-11-19T15:42:00Z</cp:lastPrinted>
  <dcterms:created xsi:type="dcterms:W3CDTF">2024-02-23T11:50:00Z</dcterms:created>
  <dcterms:modified xsi:type="dcterms:W3CDTF">2024-07-12T14:34:00Z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A9-0415/2023</vt:lpwstr>
  </property>
  <property fmtid="{D5CDD505-2E9C-101B-9397-08002B2CF9AE}" pid="4" name="&lt;Type&gt;">
    <vt:lpwstr>RR</vt:lpwstr>
  </property>
</Properties>
</file>