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3A681C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3A681C" w:rsidRDefault="005A51D1" w:rsidP="0010095E">
            <w:pPr>
              <w:pStyle w:val="EPName"/>
            </w:pPr>
            <w:r w:rsidRPr="003A681C">
              <w:t>Europski parlament</w:t>
            </w:r>
          </w:p>
          <w:p w:rsidR="00751A4A" w:rsidRPr="003A681C" w:rsidRDefault="00817416" w:rsidP="00756632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3A681C">
              <w:t>2019-2024</w:t>
            </w:r>
          </w:p>
        </w:tc>
        <w:tc>
          <w:tcPr>
            <w:tcW w:w="2268" w:type="dxa"/>
            <w:shd w:val="clear" w:color="auto" w:fill="auto"/>
          </w:tcPr>
          <w:p w:rsidR="00751A4A" w:rsidRPr="003A681C" w:rsidRDefault="00187494" w:rsidP="0010095E">
            <w:pPr>
              <w:pStyle w:val="EPLogo"/>
            </w:pPr>
            <w:r w:rsidRPr="003A681C">
              <w:rPr>
                <w:noProof/>
                <w:lang w:val="en-GB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3A681C" w:rsidRDefault="00D058B8" w:rsidP="004C5D52">
      <w:pPr>
        <w:pStyle w:val="LineTop"/>
      </w:pPr>
    </w:p>
    <w:p w:rsidR="00680577" w:rsidRPr="003A681C" w:rsidRDefault="005A51D1" w:rsidP="00680577">
      <w:pPr>
        <w:pStyle w:val="EPBodyTA1"/>
      </w:pPr>
      <w:r w:rsidRPr="003A681C">
        <w:t>USVOJENI TEKSTOVI</w:t>
      </w:r>
    </w:p>
    <w:p w:rsidR="00D058B8" w:rsidRPr="003A681C" w:rsidRDefault="00D058B8" w:rsidP="00D058B8">
      <w:pPr>
        <w:pStyle w:val="LineBottom"/>
      </w:pPr>
    </w:p>
    <w:p w:rsidR="005A51D1" w:rsidRPr="003A681C" w:rsidRDefault="005A51D1" w:rsidP="005A51D1">
      <w:pPr>
        <w:pStyle w:val="ATHeading1"/>
      </w:pPr>
      <w:bookmarkStart w:id="0" w:name="TANumber"/>
      <w:r w:rsidRPr="003A681C">
        <w:t>P9_TA(2024)00</w:t>
      </w:r>
      <w:r w:rsidR="004669FF">
        <w:t>15</w:t>
      </w:r>
      <w:bookmarkEnd w:id="0"/>
    </w:p>
    <w:p w:rsidR="005A51D1" w:rsidRPr="003A681C" w:rsidRDefault="005A51D1" w:rsidP="005A51D1">
      <w:pPr>
        <w:pStyle w:val="ATHeading2"/>
      </w:pPr>
      <w:bookmarkStart w:id="1" w:name="title"/>
      <w:r w:rsidRPr="003A681C">
        <w:t>Aktualni i budući izazovi u pogledu prekogranične suradnje sa susjednim zemljama</w:t>
      </w:r>
      <w:bookmarkEnd w:id="1"/>
    </w:p>
    <w:p w:rsidR="005A51D1" w:rsidRPr="003A681C" w:rsidRDefault="005A51D1" w:rsidP="005A51D1">
      <w:pPr>
        <w:rPr>
          <w:i/>
          <w:vanish/>
        </w:rPr>
      </w:pPr>
      <w:r w:rsidRPr="003A681C">
        <w:rPr>
          <w:i/>
        </w:rPr>
        <w:fldChar w:fldCharType="begin"/>
      </w:r>
      <w:r w:rsidRPr="003A681C">
        <w:rPr>
          <w:i/>
        </w:rPr>
        <w:instrText xml:space="preserve"> TC"(</w:instrText>
      </w:r>
      <w:bookmarkStart w:id="2" w:name="DocNumber"/>
      <w:r w:rsidRPr="003A681C">
        <w:rPr>
          <w:i/>
        </w:rPr>
        <w:instrText>A9-0415/2023</w:instrText>
      </w:r>
      <w:bookmarkEnd w:id="2"/>
      <w:r w:rsidRPr="003A681C">
        <w:rPr>
          <w:i/>
        </w:rPr>
        <w:instrText xml:space="preserve"> - Izvjestitelj: Daniel Buda)"\l3 \n&gt; \* MERGEFORMAT </w:instrText>
      </w:r>
      <w:r w:rsidRPr="003A681C">
        <w:rPr>
          <w:i/>
        </w:rPr>
        <w:fldChar w:fldCharType="end"/>
      </w:r>
    </w:p>
    <w:p w:rsidR="005A51D1" w:rsidRPr="003A681C" w:rsidRDefault="005A51D1" w:rsidP="005A51D1">
      <w:pPr>
        <w:rPr>
          <w:vanish/>
        </w:rPr>
      </w:pPr>
      <w:bookmarkStart w:id="3" w:name="Commission"/>
      <w:r w:rsidRPr="003A681C">
        <w:rPr>
          <w:vanish/>
        </w:rPr>
        <w:t>Odbor za regionalni razvoj</w:t>
      </w:r>
      <w:bookmarkEnd w:id="3"/>
    </w:p>
    <w:p w:rsidR="005A51D1" w:rsidRPr="003A681C" w:rsidRDefault="005A51D1" w:rsidP="005A51D1">
      <w:pPr>
        <w:rPr>
          <w:vanish/>
        </w:rPr>
      </w:pPr>
      <w:bookmarkStart w:id="4" w:name="PE"/>
      <w:r w:rsidRPr="003A681C">
        <w:rPr>
          <w:vanish/>
        </w:rPr>
        <w:t>PE751.733</w:t>
      </w:r>
      <w:bookmarkEnd w:id="4"/>
    </w:p>
    <w:p w:rsidR="005A51D1" w:rsidRPr="003A681C" w:rsidRDefault="005A51D1" w:rsidP="005A51D1">
      <w:pPr>
        <w:pStyle w:val="ATHeading3"/>
      </w:pPr>
      <w:bookmarkStart w:id="5" w:name="Sujet"/>
      <w:r w:rsidRPr="003A681C">
        <w:t>Rezolu</w:t>
      </w:r>
      <w:r w:rsidR="003A681C">
        <w:t>cija Europskog parlamenta od 16</w:t>
      </w:r>
      <w:r w:rsidRPr="003A681C">
        <w:t xml:space="preserve">. </w:t>
      </w:r>
      <w:r w:rsidR="003A681C">
        <w:t xml:space="preserve">siječnja </w:t>
      </w:r>
      <w:r w:rsidRPr="003A681C">
        <w:t>2024. o aktualnim i budućim izazovima u pogledu prekogranične suradnje sa susjednim zemljama</w:t>
      </w:r>
      <w:bookmarkEnd w:id="5"/>
      <w:r w:rsidRPr="003A681C">
        <w:t xml:space="preserve"> </w:t>
      </w:r>
      <w:bookmarkStart w:id="6" w:name="References"/>
      <w:r w:rsidRPr="003A681C">
        <w:t>(2023/2076(INI))</w:t>
      </w:r>
      <w:bookmarkEnd w:id="6"/>
    </w:p>
    <w:p w:rsidR="00BC6D78" w:rsidRPr="003A681C" w:rsidRDefault="00BC6D78" w:rsidP="00BC6D78">
      <w:pPr>
        <w:pStyle w:val="EPComma"/>
      </w:pPr>
      <w:bookmarkStart w:id="7" w:name="TextBodyBegin"/>
      <w:bookmarkEnd w:id="7"/>
      <w:r w:rsidRPr="003A681C">
        <w:rPr>
          <w:i/>
        </w:rPr>
        <w:t>Europski parlament</w:t>
      </w:r>
      <w:r w:rsidRPr="003A681C">
        <w:t>,</w:t>
      </w:r>
    </w:p>
    <w:p w:rsidR="00BC6D78" w:rsidRPr="003A681C" w:rsidRDefault="00BC6D78" w:rsidP="00BC6D78">
      <w:pPr>
        <w:pStyle w:val="NormalHanging12a"/>
        <w:rPr>
          <w:snapToGrid w:val="0"/>
        </w:rPr>
      </w:pPr>
      <w:r w:rsidRPr="003A681C">
        <w:t>–</w:t>
      </w:r>
      <w:r w:rsidRPr="003A681C">
        <w:tab/>
        <w:t>uzimajući u obzir članak 3. Ugovora o Europskoj uniji (UEU) te članke 4. i 162., članke od 174. do 178. i članak 349. Ugovora o funkcioniranju Europske unije,</w:t>
      </w:r>
    </w:p>
    <w:p w:rsidR="00BC6D78" w:rsidRPr="003A681C" w:rsidRDefault="00BC6D78" w:rsidP="00BC6D78">
      <w:pPr>
        <w:pStyle w:val="NormalHanging12a"/>
        <w:rPr>
          <w:snapToGrid w:val="0"/>
        </w:rPr>
      </w:pPr>
      <w:r w:rsidRPr="003A681C">
        <w:t>–</w:t>
      </w:r>
      <w:r w:rsidRPr="003A681C">
        <w:tab/>
        <w:t xml:space="preserve">uzimajući u obzir Uredbu (EU) 2021/1060 Europskog parlamenta i Vijeća od 24. lipnja 2021. o utvrđivanju zajedničkih odredaba o Europskom fondu za regionalni razvoj, Europskom socijalnom fondu plus, Kohezijskom fondu, Fondu za pravednu tranziciju i Europskom fondu za pomorstvo, ribarstvo i akvakulturu te financijskih pravila za njih i za Fond za azil, migracije i integraciju, Fond za unutarnju sigurnost i Instrument za financijsku potporu u području upravljanja granicama i </w:t>
      </w:r>
      <w:proofErr w:type="spellStart"/>
      <w:r w:rsidRPr="003A681C">
        <w:t>vizne</w:t>
      </w:r>
      <w:proofErr w:type="spellEnd"/>
      <w:r w:rsidRPr="003A681C">
        <w:t xml:space="preserve"> politike</w:t>
      </w:r>
      <w:r w:rsidRPr="003A681C">
        <w:rPr>
          <w:rStyle w:val="FootnoteReference"/>
        </w:rPr>
        <w:footnoteReference w:id="1"/>
      </w:r>
      <w:r w:rsidRPr="003A681C">
        <w:t>,</w:t>
      </w:r>
    </w:p>
    <w:p w:rsidR="00BC6D78" w:rsidRPr="003A681C" w:rsidRDefault="00BC6D78" w:rsidP="00BC6D78">
      <w:pPr>
        <w:pStyle w:val="NormalHanging12a"/>
        <w:rPr>
          <w:snapToGrid w:val="0"/>
        </w:rPr>
      </w:pPr>
      <w:r w:rsidRPr="003A681C">
        <w:t>–</w:t>
      </w:r>
      <w:r w:rsidRPr="003A681C">
        <w:tab/>
        <w:t>uzimajući u obzir Uredbu (EU) 2021/1058 Europskog parlamenta i Vijeća od 24. lipnja 2021. o Europskom fondu za regionalni razvoj i Kohezijskom fondu</w:t>
      </w:r>
      <w:r w:rsidRPr="003A681C">
        <w:rPr>
          <w:rStyle w:val="FootnoteReference"/>
        </w:rPr>
        <w:footnoteReference w:id="2"/>
      </w:r>
      <w:r w:rsidRPr="003A681C">
        <w:t>,</w:t>
      </w:r>
    </w:p>
    <w:p w:rsidR="00BC6D78" w:rsidRPr="003A681C" w:rsidRDefault="00BC6D78" w:rsidP="00BC6D78">
      <w:pPr>
        <w:pStyle w:val="NormalHanging12a"/>
        <w:rPr>
          <w:snapToGrid w:val="0"/>
        </w:rPr>
      </w:pPr>
      <w:r w:rsidRPr="003A681C">
        <w:t>–</w:t>
      </w:r>
      <w:r w:rsidRPr="003A681C">
        <w:tab/>
        <w:t>uzimajući u obzir Uredbu (EU) 2021/1059 Europskog parlamenta i Vijeća od 24. lipnja 2021. o posebnim odredbama za cilj „Europska teritorijalna suradnja (</w:t>
      </w:r>
      <w:proofErr w:type="spellStart"/>
      <w:r w:rsidRPr="003A681C">
        <w:t>Interreg</w:t>
      </w:r>
      <w:proofErr w:type="spellEnd"/>
      <w:r w:rsidRPr="003A681C">
        <w:t>)” koji se podupire iz Europskog fonda za regionalni razvoj i iz instrumenata za financiranje vanjskog djelovanja</w:t>
      </w:r>
      <w:r w:rsidRPr="003A681C">
        <w:rPr>
          <w:rStyle w:val="FootnoteReference"/>
        </w:rPr>
        <w:footnoteReference w:id="3"/>
      </w:r>
      <w:r w:rsidRPr="003A681C">
        <w:t>,</w:t>
      </w:r>
    </w:p>
    <w:p w:rsidR="00BC6D78" w:rsidRPr="003A681C" w:rsidRDefault="00BC6D78" w:rsidP="00BC6D78">
      <w:pPr>
        <w:pStyle w:val="NormalHanging12a"/>
        <w:rPr>
          <w:snapToGrid w:val="0"/>
        </w:rPr>
      </w:pPr>
      <w:r w:rsidRPr="003A681C">
        <w:t>–</w:t>
      </w:r>
      <w:r w:rsidRPr="003A681C">
        <w:tab/>
        <w:t>uzimajući u obzir Uredbu (EU) 2022/562 Europskog parlamenta i Vijeća od 6. travnja 2022. o izmjeni uredaba (EU) br. 1303/2013 i (EU) br. 223/2014 u pogledu djelovanja kohezijske politike za izbjeglice u Europi (CARE)</w:t>
      </w:r>
      <w:r w:rsidRPr="003A681C">
        <w:rPr>
          <w:rStyle w:val="FootnoteReference"/>
        </w:rPr>
        <w:footnoteReference w:id="4"/>
      </w:r>
      <w:r w:rsidRPr="003A681C">
        <w:t>,</w:t>
      </w:r>
    </w:p>
    <w:p w:rsidR="00BC6D78" w:rsidRPr="003A681C" w:rsidRDefault="00BC6D78" w:rsidP="00BC6D78">
      <w:pPr>
        <w:pStyle w:val="NormalHanging12a"/>
        <w:rPr>
          <w:snapToGrid w:val="0"/>
        </w:rPr>
      </w:pPr>
      <w:r w:rsidRPr="003A681C">
        <w:t>–</w:t>
      </w:r>
      <w:r w:rsidRPr="003A681C">
        <w:tab/>
        <w:t xml:space="preserve">uzimajući u obzir Uredbu (EZ) br. 1082/2006 Europskog parlamenta i Vijeća od </w:t>
      </w:r>
      <w:r w:rsidRPr="003A681C">
        <w:lastRenderedPageBreak/>
        <w:t>5. srpnja 2006. o Europskoj grupaciji za teritorijalnu suradnju (EGTS)</w:t>
      </w:r>
      <w:r w:rsidRPr="003A681C">
        <w:rPr>
          <w:rStyle w:val="FootnoteReference"/>
        </w:rPr>
        <w:footnoteReference w:id="5"/>
      </w:r>
      <w:r w:rsidRPr="003A681C">
        <w:t>,</w:t>
      </w:r>
    </w:p>
    <w:p w:rsidR="00BC6D78" w:rsidRPr="003A681C" w:rsidRDefault="00BC6D78" w:rsidP="00BC6D78">
      <w:pPr>
        <w:pStyle w:val="NormalHanging12a"/>
        <w:rPr>
          <w:snapToGrid w:val="0"/>
        </w:rPr>
      </w:pPr>
      <w:r w:rsidRPr="003A681C">
        <w:t>–</w:t>
      </w:r>
      <w:r w:rsidRPr="003A681C">
        <w:tab/>
        <w:t>uzimajući u obzir Komisijin prijedlog Uredbe Europskog parlamenta i Vijeća od 29. svibnja 2018. o mehanizmu za uklanjanje pravnih i administrativnih prepreka u prekograničnom kontekstu (COM(2018)0373),</w:t>
      </w:r>
    </w:p>
    <w:p w:rsidR="00BC6D78" w:rsidRPr="003A681C" w:rsidRDefault="00BC6D78" w:rsidP="00BC6D78">
      <w:pPr>
        <w:pStyle w:val="NormalHanging12a"/>
        <w:rPr>
          <w:snapToGrid w:val="0"/>
        </w:rPr>
      </w:pPr>
      <w:r w:rsidRPr="003A681C">
        <w:t>–</w:t>
      </w:r>
      <w:r w:rsidRPr="003A681C">
        <w:tab/>
        <w:t>uzimajući u obzir komunikaciju Komisije od 20. rujna 2017. naslovljenu „Poticanje rasta i kohezije u graničnim regijama EU-a” (COM(2017)0534),</w:t>
      </w:r>
    </w:p>
    <w:p w:rsidR="00BC6D78" w:rsidRPr="003A681C" w:rsidRDefault="00BC6D78" w:rsidP="00BC6D78">
      <w:pPr>
        <w:pStyle w:val="NormalHanging12a"/>
        <w:rPr>
          <w:snapToGrid w:val="0"/>
        </w:rPr>
      </w:pPr>
      <w:r w:rsidRPr="003A681C">
        <w:t>–</w:t>
      </w:r>
      <w:r w:rsidRPr="003A681C">
        <w:tab/>
        <w:t>uzimajući u obzir komunikaciju Komisije od 3. travnja 2020. naslovljenu „Smjernice za izvanrednu pomoć EU-a u području prekogranične suradnje u zdravstvenoj zaštiti u kontekstu krize izazvane bolešću COVID-19”</w:t>
      </w:r>
      <w:r w:rsidRPr="003A681C">
        <w:rPr>
          <w:rStyle w:val="FootnoteReference"/>
        </w:rPr>
        <w:footnoteReference w:id="6"/>
      </w:r>
      <w:r w:rsidRPr="003A681C">
        <w:t>,</w:t>
      </w:r>
    </w:p>
    <w:p w:rsidR="00BC6D78" w:rsidRPr="003A681C" w:rsidRDefault="00BC6D78" w:rsidP="00BC6D78">
      <w:pPr>
        <w:pStyle w:val="NormalHanging12a"/>
        <w:rPr>
          <w:snapToGrid w:val="0"/>
        </w:rPr>
      </w:pPr>
      <w:r w:rsidRPr="003A681C">
        <w:t>–</w:t>
      </w:r>
      <w:r w:rsidRPr="003A681C">
        <w:tab/>
        <w:t>uzimajući u obzir Komunikaciju Komisije od 30. rujna 2020. o uspostavi europskog prostora obrazovanja do 2025. (COM(2020)0625),</w:t>
      </w:r>
    </w:p>
    <w:p w:rsidR="00BC6D78" w:rsidRPr="003A681C" w:rsidRDefault="00BC6D78" w:rsidP="00BC6D78">
      <w:pPr>
        <w:pStyle w:val="NormalHanging12a"/>
      </w:pPr>
      <w:r w:rsidRPr="003A681C">
        <w:t>–</w:t>
      </w:r>
      <w:r w:rsidRPr="003A681C">
        <w:tab/>
        <w:t>uzimajući u obzir svoju Rezoluciju od 15. rujna 2022. o gospodarskoj, socijalnoj i teritorijalnoj koheziji u EU-u: Osmo izvješće o koheziji</w:t>
      </w:r>
      <w:r w:rsidRPr="003A681C">
        <w:rPr>
          <w:rStyle w:val="FootnoteReference"/>
        </w:rPr>
        <w:footnoteReference w:id="7"/>
      </w:r>
      <w:r w:rsidRPr="003A681C">
        <w:t>,</w:t>
      </w:r>
    </w:p>
    <w:p w:rsidR="00BC6D78" w:rsidRPr="003A681C" w:rsidRDefault="00BC6D78" w:rsidP="00BC6D78">
      <w:pPr>
        <w:pStyle w:val="NormalHanging12a"/>
      </w:pPr>
      <w:r w:rsidRPr="003A681C">
        <w:t>–</w:t>
      </w:r>
      <w:r w:rsidRPr="003A681C">
        <w:tab/>
        <w:t>uzimajući u obzir svoju Rezoluciju od 9. svibnja 2023. o ulozi kohezijske politike u suočavanju s višedimenzionalnim okolišnim izazovima u sredozemnom bazenu</w:t>
      </w:r>
      <w:r w:rsidRPr="003A681C">
        <w:rPr>
          <w:rStyle w:val="FootnoteReference"/>
        </w:rPr>
        <w:footnoteReference w:id="8"/>
      </w:r>
      <w:r w:rsidRPr="003A681C">
        <w:t>,</w:t>
      </w:r>
    </w:p>
    <w:p w:rsidR="00BC6D78" w:rsidRPr="003A681C" w:rsidRDefault="00BC6D78" w:rsidP="00BC6D78">
      <w:pPr>
        <w:pStyle w:val="NormalHanging12a"/>
      </w:pPr>
      <w:r w:rsidRPr="003A681C">
        <w:t>–</w:t>
      </w:r>
      <w:r w:rsidRPr="003A681C">
        <w:tab/>
        <w:t>uzimajući u obzir svoju Rezoluciju od 13. ožujka 2018. o regijama koje zaostaju u EU-u</w:t>
      </w:r>
      <w:r w:rsidRPr="003A681C">
        <w:rPr>
          <w:rStyle w:val="FootnoteReference"/>
        </w:rPr>
        <w:footnoteReference w:id="9"/>
      </w:r>
      <w:r w:rsidRPr="003A681C">
        <w:t>,</w:t>
      </w:r>
    </w:p>
    <w:p w:rsidR="00BC6D78" w:rsidRPr="003A681C" w:rsidRDefault="00BC6D78" w:rsidP="00BC6D78">
      <w:pPr>
        <w:pStyle w:val="NormalHanging12a"/>
      </w:pPr>
      <w:r w:rsidRPr="003A681C">
        <w:t>–</w:t>
      </w:r>
      <w:r w:rsidRPr="003A681C">
        <w:tab/>
        <w:t xml:space="preserve">uzimajući u obzir studiju naslovljenu „EU </w:t>
      </w:r>
      <w:proofErr w:type="spellStart"/>
      <w:r w:rsidRPr="003A681C">
        <w:t>lagging</w:t>
      </w:r>
      <w:proofErr w:type="spellEnd"/>
      <w:r w:rsidRPr="003A681C">
        <w:t xml:space="preserve"> </w:t>
      </w:r>
      <w:proofErr w:type="spellStart"/>
      <w:r w:rsidRPr="003A681C">
        <w:t>regions</w:t>
      </w:r>
      <w:proofErr w:type="spellEnd"/>
      <w:r w:rsidRPr="003A681C">
        <w:t xml:space="preserve">: </w:t>
      </w:r>
      <w:proofErr w:type="spellStart"/>
      <w:r w:rsidRPr="003A681C">
        <w:t>state</w:t>
      </w:r>
      <w:proofErr w:type="spellEnd"/>
      <w:r w:rsidRPr="003A681C">
        <w:t xml:space="preserve"> </w:t>
      </w:r>
      <w:proofErr w:type="spellStart"/>
      <w:r w:rsidRPr="003A681C">
        <w:t>of</w:t>
      </w:r>
      <w:proofErr w:type="spellEnd"/>
      <w:r w:rsidRPr="003A681C">
        <w:t xml:space="preserve"> </w:t>
      </w:r>
      <w:proofErr w:type="spellStart"/>
      <w:r w:rsidRPr="003A681C">
        <w:t>play</w:t>
      </w:r>
      <w:proofErr w:type="spellEnd"/>
      <w:r w:rsidRPr="003A681C">
        <w:t xml:space="preserve"> </w:t>
      </w:r>
      <w:proofErr w:type="spellStart"/>
      <w:r w:rsidRPr="003A681C">
        <w:t>and</w:t>
      </w:r>
      <w:proofErr w:type="spellEnd"/>
      <w:r w:rsidRPr="003A681C">
        <w:t xml:space="preserve"> future </w:t>
      </w:r>
      <w:proofErr w:type="spellStart"/>
      <w:r w:rsidRPr="003A681C">
        <w:t>challenges</w:t>
      </w:r>
      <w:proofErr w:type="spellEnd"/>
      <w:r w:rsidRPr="003A681C">
        <w:t>” (Regije EU-a koje zaostaju: trenutačno stanje i budući izazovi) koju je 26. listopada 2020. objavila Glavna uprava za usluge parlamentarnih istraživanja</w:t>
      </w:r>
      <w:r w:rsidRPr="003A681C">
        <w:rPr>
          <w:rStyle w:val="FootnoteReference"/>
        </w:rPr>
        <w:footnoteReference w:id="10"/>
      </w:r>
      <w:r w:rsidRPr="003A681C">
        <w:t>,</w:t>
      </w:r>
    </w:p>
    <w:p w:rsidR="00BC6D78" w:rsidRPr="003A681C" w:rsidRDefault="00BC6D78" w:rsidP="00BC6D78">
      <w:pPr>
        <w:pStyle w:val="NormalHanging12a"/>
      </w:pPr>
      <w:r w:rsidRPr="003A681C">
        <w:t>–</w:t>
      </w:r>
      <w:r w:rsidRPr="003A681C">
        <w:tab/>
        <w:t>uzimajući u obzir svoju Rezoluciju od 11. rujna 2018. o poticanju rasta i kohezije u graničnim regijama EU-a</w:t>
      </w:r>
      <w:r w:rsidRPr="003A681C">
        <w:rPr>
          <w:rStyle w:val="FootnoteReference"/>
        </w:rPr>
        <w:footnoteReference w:id="11"/>
      </w:r>
      <w:r w:rsidRPr="003A681C">
        <w:t>,</w:t>
      </w:r>
    </w:p>
    <w:p w:rsidR="00BC6D78" w:rsidRPr="003A681C" w:rsidRDefault="00BC6D78" w:rsidP="00BC6D78">
      <w:pPr>
        <w:pStyle w:val="NormalHanging12a"/>
      </w:pPr>
      <w:r w:rsidRPr="003A681C">
        <w:t>–</w:t>
      </w:r>
      <w:r w:rsidRPr="003A681C">
        <w:tab/>
        <w:t>uzimajući u obzir izvješće Međuvladinog panela UN-a o klimatskim promjenama iz 2022. naslovljeno „Klimatske promjene 2022.: Ublažavanje klimatskih promjena. Doprinos radne skupine III. Šestom izvješću o procjeni Međuvladinog panela o klimatskim promjenama”</w:t>
      </w:r>
      <w:r w:rsidRPr="003A681C">
        <w:rPr>
          <w:rStyle w:val="FootnoteReference"/>
        </w:rPr>
        <w:footnoteReference w:id="12"/>
      </w:r>
      <w:r w:rsidRPr="003A681C">
        <w:t>,</w:t>
      </w:r>
    </w:p>
    <w:p w:rsidR="00BC6D78" w:rsidRPr="003A681C" w:rsidRDefault="00BC6D78" w:rsidP="00BC6D78">
      <w:pPr>
        <w:pStyle w:val="NormalHanging12a"/>
      </w:pPr>
      <w:r w:rsidRPr="003A681C">
        <w:t>–</w:t>
      </w:r>
      <w:r w:rsidRPr="003A681C">
        <w:tab/>
        <w:t xml:space="preserve">uzimajući u obzir sporazum usvojen 12. prosinca 2015. u Parizu (Pariški sporazum) na 21. zasjedanju Konferencije stranaka Okvirne konvencije UN-a o klimatskim </w:t>
      </w:r>
      <w:r w:rsidRPr="003A681C">
        <w:lastRenderedPageBreak/>
        <w:t>promjenama (COP21),</w:t>
      </w:r>
    </w:p>
    <w:p w:rsidR="00BC6D78" w:rsidRPr="003A681C" w:rsidRDefault="00BC6D78" w:rsidP="00BC6D78">
      <w:pPr>
        <w:pStyle w:val="NormalHanging12a"/>
      </w:pPr>
      <w:r w:rsidRPr="003A681C">
        <w:t>–</w:t>
      </w:r>
      <w:r w:rsidRPr="003A681C">
        <w:tab/>
        <w:t xml:space="preserve">uzimajući u obzir zaključke Vijeća o „Obnovljenom partnerstvu s južnim susjedstvom – Nova </w:t>
      </w:r>
      <w:proofErr w:type="spellStart"/>
      <w:r w:rsidRPr="003A681C">
        <w:t>agenda</w:t>
      </w:r>
      <w:proofErr w:type="spellEnd"/>
      <w:r w:rsidRPr="003A681C">
        <w:t xml:space="preserve"> za Sredozemlje” od 19. travnja 2021.,</w:t>
      </w:r>
    </w:p>
    <w:p w:rsidR="00BC6D78" w:rsidRPr="003A681C" w:rsidRDefault="00BC6D78" w:rsidP="00BC6D78">
      <w:pPr>
        <w:pStyle w:val="NormalHanging12a"/>
      </w:pPr>
      <w:r w:rsidRPr="003A681C">
        <w:t>–</w:t>
      </w:r>
      <w:r w:rsidRPr="003A681C">
        <w:tab/>
        <w:t>uzimajući u obzir Rezoluciju Europskog odbora regija od 1. srpnja 2021. o viziji za Europu: Budućnost prekogranične suradnje</w:t>
      </w:r>
      <w:r w:rsidRPr="003A681C">
        <w:rPr>
          <w:rStyle w:val="FootnoteReference"/>
        </w:rPr>
        <w:footnoteReference w:id="13"/>
      </w:r>
      <w:r w:rsidRPr="003A681C">
        <w:t>,</w:t>
      </w:r>
    </w:p>
    <w:p w:rsidR="00BC6D78" w:rsidRPr="003A681C" w:rsidRDefault="00BC6D78" w:rsidP="00BC6D78">
      <w:pPr>
        <w:pStyle w:val="NormalHanging12a"/>
      </w:pPr>
      <w:r w:rsidRPr="003A681C">
        <w:t>–</w:t>
      </w:r>
      <w:r w:rsidRPr="003A681C">
        <w:tab/>
        <w:t>uzimajući u obzir mišljenje Odbora regija od 8. veljače 2017. naslovljeno „Nedostatak prometnih veza u pograničnim područjima”</w:t>
      </w:r>
      <w:r w:rsidRPr="003A681C">
        <w:rPr>
          <w:rStyle w:val="FootnoteReference"/>
        </w:rPr>
        <w:footnoteReference w:id="14"/>
      </w:r>
      <w:r w:rsidRPr="003A681C">
        <w:t>,</w:t>
      </w:r>
    </w:p>
    <w:p w:rsidR="00BC6D78" w:rsidRPr="003A681C" w:rsidRDefault="00BC6D78" w:rsidP="00BC6D78">
      <w:pPr>
        <w:pStyle w:val="NormalHanging12a"/>
        <w:rPr>
          <w:snapToGrid w:val="0"/>
        </w:rPr>
      </w:pPr>
      <w:r w:rsidRPr="003A681C">
        <w:t>–</w:t>
      </w:r>
      <w:r w:rsidRPr="003A681C">
        <w:tab/>
        <w:t>uzimajući u obzir članak 54. Poslovnika,</w:t>
      </w:r>
    </w:p>
    <w:p w:rsidR="00BC6D78" w:rsidRPr="003A681C" w:rsidRDefault="00BC6D78" w:rsidP="00BC6D78">
      <w:pPr>
        <w:pStyle w:val="NormalHanging12a"/>
        <w:rPr>
          <w:snapToGrid w:val="0"/>
        </w:rPr>
      </w:pPr>
      <w:r w:rsidRPr="003A681C">
        <w:t>–</w:t>
      </w:r>
      <w:r w:rsidRPr="003A681C">
        <w:tab/>
        <w:t>uzimajući u obzir izvješće Odbora za regionalni razvoj (A9</w:t>
      </w:r>
      <w:r w:rsidRPr="003A681C">
        <w:noBreakHyphen/>
        <w:t>0415/2023),</w:t>
      </w:r>
    </w:p>
    <w:p w:rsidR="00BC6D78" w:rsidRPr="003A681C" w:rsidRDefault="00BC6D78" w:rsidP="00BC6D78">
      <w:pPr>
        <w:pStyle w:val="NormalHanging12a"/>
        <w:rPr>
          <w:szCs w:val="24"/>
        </w:rPr>
      </w:pPr>
      <w:r w:rsidRPr="003A681C">
        <w:t>A.</w:t>
      </w:r>
      <w:r w:rsidRPr="003A681C">
        <w:tab/>
        <w:t>budući da je prekogranična suradnja EU-a sa susjednim zemljama, bilo na kopnenim ili morskim granicama, koja obuhvaća 184 regije, 33 zemlje i 260 milijuna stanovnika, ključna za politike EU-a;</w:t>
      </w:r>
    </w:p>
    <w:p w:rsidR="00BC6D78" w:rsidRPr="003A681C" w:rsidRDefault="00BC6D78" w:rsidP="00BC6D78">
      <w:pPr>
        <w:pStyle w:val="NormalHanging12a"/>
      </w:pPr>
      <w:r w:rsidRPr="003A681C">
        <w:t>B.</w:t>
      </w:r>
      <w:r w:rsidRPr="003A681C">
        <w:tab/>
        <w:t>budući da se člankom 8. U</w:t>
      </w:r>
      <w:r w:rsidR="00D7732A">
        <w:t>EU-a</w:t>
      </w:r>
      <w:r w:rsidRPr="003A681C">
        <w:t xml:space="preserve"> predviđa da bi Unija trebala razviti poseban odnos sa susjednim zemljama radi uspostave područja blagostanja i dobrosusjedskih odnosa, utemeljenog na vrijednostima Unije i obilježenog bliskim i miroljubivim odnosima koji se temelje na suradnji.</w:t>
      </w:r>
    </w:p>
    <w:p w:rsidR="00BC6D78" w:rsidRPr="003A681C" w:rsidRDefault="00BC6D78" w:rsidP="00BC6D78">
      <w:pPr>
        <w:pStyle w:val="NormalHanging12a"/>
        <w:rPr>
          <w:szCs w:val="24"/>
        </w:rPr>
      </w:pPr>
      <w:r w:rsidRPr="003A681C">
        <w:t>C.</w:t>
      </w:r>
      <w:r w:rsidRPr="003A681C">
        <w:tab/>
        <w:t xml:space="preserve">budući da je prekogranična suradnja važan korak u </w:t>
      </w:r>
      <w:proofErr w:type="spellStart"/>
      <w:r w:rsidRPr="003A681C">
        <w:t>pretpristupnom</w:t>
      </w:r>
      <w:proofErr w:type="spellEnd"/>
      <w:r w:rsidRPr="003A681C">
        <w:t xml:space="preserve"> procesu zemalja kandidatkinja;</w:t>
      </w:r>
    </w:p>
    <w:p w:rsidR="00BC6D78" w:rsidRPr="003A681C" w:rsidRDefault="00BC6D78" w:rsidP="00BC6D78">
      <w:pPr>
        <w:pStyle w:val="NormalHanging12a"/>
      </w:pPr>
      <w:r w:rsidRPr="003A681C">
        <w:t>D.</w:t>
      </w:r>
      <w:r w:rsidRPr="003A681C">
        <w:tab/>
        <w:t>budući da prekogranična suradnja doprinosi miru i održivom razvoju duž vanjskih granica EU-a i da se njome podupiru demokratske reforme, potiče poštovanje europskih vrijednosti, gospodarski i društveni razvoj pograničnih područja, uključujući zaštitu okoliša, razvoj usluga javnog zdravlja te mjera sigurnosti i zaštite, doprinosi ciljevima EU-a za pametnije, zelenije i povezanije EU i susjedstvo, kao i rješavanju regionalnih potreba u pogledu dobre suradnje, upravljanja i zajedničkih izazova, pomaže u promicanju uzajamnog razumijevanja i povjerenja te doprinosi sprečavanju budućih sukoba i ratova s pomoću instrumenata kao što je program PEACE+;</w:t>
      </w:r>
    </w:p>
    <w:p w:rsidR="00BC6D78" w:rsidRPr="003A681C" w:rsidRDefault="00BC6D78" w:rsidP="00BC6D78">
      <w:pPr>
        <w:pStyle w:val="NormalHanging12a"/>
        <w:rPr>
          <w:szCs w:val="24"/>
        </w:rPr>
      </w:pPr>
      <w:r w:rsidRPr="003A681C">
        <w:t>E.</w:t>
      </w:r>
      <w:r w:rsidRPr="003A681C">
        <w:tab/>
        <w:t>budući da trenutačna geopolitička situacija potvrđuje važnost stabilnosti i demokratskog razvoja u zemljama i regijama na vanjskim granicama EU-a;</w:t>
      </w:r>
    </w:p>
    <w:p w:rsidR="00BC6D78" w:rsidRPr="003A681C" w:rsidRDefault="00BC6D78" w:rsidP="00BC6D78">
      <w:pPr>
        <w:pStyle w:val="NormalHanging12a"/>
      </w:pPr>
      <w:r w:rsidRPr="003A681C">
        <w:t>F.</w:t>
      </w:r>
      <w:r w:rsidRPr="003A681C">
        <w:tab/>
        <w:t xml:space="preserve">budući da su </w:t>
      </w:r>
      <w:proofErr w:type="spellStart"/>
      <w:r w:rsidRPr="003A681C">
        <w:t>pandemija</w:t>
      </w:r>
      <w:proofErr w:type="spellEnd"/>
      <w:r w:rsidRPr="003A681C">
        <w:t xml:space="preserve"> bolesti COVID-19, a posebno agresivni rat Rusije protiv Ukrajine, snažno utjecali na sve programe prekogranične suradnje s Rusijom i </w:t>
      </w:r>
      <w:proofErr w:type="spellStart"/>
      <w:r w:rsidRPr="003A681C">
        <w:t>Bjelarusom</w:t>
      </w:r>
      <w:proofErr w:type="spellEnd"/>
      <w:r w:rsidRPr="003A681C">
        <w:t xml:space="preserve"> koji se podupiru iz Europskog instrumenta za susjedstvo (ENI-CBC), s velikim učinkom na polovinu programa predloženih za razdoblje 2021. – 2027.; budući da kohezijska politika može pomoći u prekograničnoj suradnji pod uvjetom da se zadrži njezin strateški pristup i da se postigne dogovor o snažnom proračunu;</w:t>
      </w:r>
    </w:p>
    <w:p w:rsidR="00BC6D78" w:rsidRPr="003A681C" w:rsidRDefault="00BC6D78" w:rsidP="00BC6D78">
      <w:pPr>
        <w:pStyle w:val="NormalHanging12a"/>
        <w:rPr>
          <w:szCs w:val="24"/>
        </w:rPr>
      </w:pPr>
      <w:r w:rsidRPr="003A681C">
        <w:t>G</w:t>
      </w:r>
      <w:r w:rsidR="00130EEA">
        <w:t>.</w:t>
      </w:r>
      <w:bookmarkStart w:id="8" w:name="_GoBack"/>
      <w:bookmarkEnd w:id="8"/>
      <w:r w:rsidRPr="003A681C">
        <w:tab/>
        <w:t>budući da odljev mozgova nerazmjerno pogađa neke slabije razvijene pogranične regije i da će, ako se ne riješi, imati dugoročne negativne učinke na budućnost EU-a;</w:t>
      </w:r>
    </w:p>
    <w:p w:rsidR="00BC6D78" w:rsidRPr="003A681C" w:rsidRDefault="00BC6D78" w:rsidP="00BC6D78">
      <w:pPr>
        <w:pStyle w:val="NormalHanging12a"/>
        <w:rPr>
          <w:szCs w:val="24"/>
        </w:rPr>
      </w:pPr>
      <w:r w:rsidRPr="003A681C">
        <w:lastRenderedPageBreak/>
        <w:t>H.</w:t>
      </w:r>
      <w:r w:rsidRPr="003A681C">
        <w:tab/>
        <w:t>budući da masovna emigracija u nekim pograničnim regijama, posebno mladih i kvalificirane radnika, ukazuje na nedostatak gospodarskog razvoja u tim regijama; budući da prekogranična suradnja može pomoći u stvaranju novih mogućnosti zapošljavanja i održivom gospodarskom razvoju;</w:t>
      </w:r>
    </w:p>
    <w:p w:rsidR="00BC6D78" w:rsidRPr="003A681C" w:rsidRDefault="00BC6D78" w:rsidP="00BC6D78">
      <w:pPr>
        <w:pStyle w:val="NormalHanging12a"/>
      </w:pPr>
      <w:r w:rsidRPr="003A681C">
        <w:t>I.</w:t>
      </w:r>
      <w:r w:rsidRPr="003A681C">
        <w:tab/>
        <w:t>budući da nestabilna politička, ekonomska i sigurnosna situacija u sjevernoj Africi i upravljanje migracijskom krizom ukazuju na potrebu za suradnjom u sredozemnom bazenu;</w:t>
      </w:r>
    </w:p>
    <w:p w:rsidR="00BC6D78" w:rsidRPr="003A681C" w:rsidRDefault="00BC6D78" w:rsidP="00BC6D78">
      <w:pPr>
        <w:pStyle w:val="NormalHanging12a"/>
        <w:rPr>
          <w:szCs w:val="24"/>
        </w:rPr>
      </w:pPr>
      <w:r w:rsidRPr="003A681C">
        <w:t>J.</w:t>
      </w:r>
      <w:r w:rsidRPr="003A681C">
        <w:tab/>
        <w:t>budući da su pogranične regije često podložne napetostima i sukobima, a prekogranična suradnja i regionalna diplomacija imaju pozitivan učinak na sprečavanje i rješavanje sporova i potencijalnih kriza</w:t>
      </w:r>
      <w:r w:rsidR="00D7732A">
        <w:t>;</w:t>
      </w:r>
    </w:p>
    <w:p w:rsidR="00BC6D78" w:rsidRPr="003A681C" w:rsidRDefault="00BC6D78" w:rsidP="00BC6D78">
      <w:pPr>
        <w:pStyle w:val="NormalHanging12a"/>
        <w:rPr>
          <w:rStyle w:val="y2iqfc"/>
          <w:b/>
          <w:i/>
        </w:rPr>
      </w:pPr>
      <w:r w:rsidRPr="003A681C">
        <w:rPr>
          <w:rStyle w:val="y2iqfc"/>
          <w:b/>
          <w:i/>
        </w:rPr>
        <w:t xml:space="preserve">Opća razmatranja o programima </w:t>
      </w:r>
      <w:proofErr w:type="spellStart"/>
      <w:r w:rsidRPr="003A681C">
        <w:rPr>
          <w:rStyle w:val="y2iqfc"/>
          <w:b/>
          <w:i/>
        </w:rPr>
        <w:t>Interreg</w:t>
      </w:r>
      <w:proofErr w:type="spellEnd"/>
      <w:r w:rsidRPr="003A681C">
        <w:rPr>
          <w:rStyle w:val="y2iqfc"/>
          <w:b/>
          <w:i/>
        </w:rPr>
        <w:t> NEXT</w:t>
      </w:r>
    </w:p>
    <w:p w:rsidR="00BC6D78" w:rsidRPr="003A681C" w:rsidRDefault="00BC6D78" w:rsidP="00BC6D78">
      <w:pPr>
        <w:pStyle w:val="NormalHanging12a"/>
        <w:ind w:hanging="570"/>
      </w:pPr>
      <w:r w:rsidRPr="003A681C">
        <w:t>1.</w:t>
      </w:r>
      <w:r w:rsidRPr="003A681C">
        <w:tab/>
        <w:t xml:space="preserve">pozdravlja usklađivanje programa </w:t>
      </w:r>
      <w:proofErr w:type="spellStart"/>
      <w:r w:rsidRPr="003A681C">
        <w:t>Interreg</w:t>
      </w:r>
      <w:proofErr w:type="spellEnd"/>
      <w:r w:rsidRPr="003A681C">
        <w:t xml:space="preserve"> NEXT s programima </w:t>
      </w:r>
      <w:proofErr w:type="spellStart"/>
      <w:r w:rsidRPr="003A681C">
        <w:t>Interreg</w:t>
      </w:r>
      <w:proofErr w:type="spellEnd"/>
      <w:r w:rsidRPr="003A681C">
        <w:t xml:space="preserve"> jer bi se time mogli pojednostavniti postupci, poboljšati sinergije među programima i povećati učinkovitost europskih ulaganja; ističe, međutim, potrebu za jednostavnijim postupcima i u fazi evaluacije i u fazi provedbe projekata, s većim naglaskom na mjerljivim rezultatima, prema potrebi, i ukupnom učinku na razvoj regija i živote građana;</w:t>
      </w:r>
    </w:p>
    <w:p w:rsidR="00BC6D78" w:rsidRPr="003A681C" w:rsidRDefault="00BC6D78" w:rsidP="00BC6D78">
      <w:pPr>
        <w:pStyle w:val="NormalHanging12a"/>
      </w:pPr>
      <w:r w:rsidRPr="003A681C">
        <w:t>2.</w:t>
      </w:r>
      <w:r w:rsidRPr="003A681C">
        <w:tab/>
        <w:t>naglašava da lokalne i regionalne vlasti imaju ključnu ulogu u prekograničnoj suradnji sa susjednim zemljama jer poznaju geografsku, kulturnu, jezičnu i socijalnu situaciju, mogućnosti, ograničenja i zajedničke izazove;</w:t>
      </w:r>
    </w:p>
    <w:p w:rsidR="00BC6D78" w:rsidRPr="003A681C" w:rsidRDefault="00BC6D78" w:rsidP="00BC6D78">
      <w:pPr>
        <w:pStyle w:val="NormalHanging12a"/>
      </w:pPr>
      <w:r w:rsidRPr="003A681C">
        <w:t>3.</w:t>
      </w:r>
      <w:r w:rsidRPr="003A681C">
        <w:tab/>
        <w:t>naglašava važnost prekograničnih projekata, uključujući projekte „od građana za građane”, za zbližavanje ljudi, čime se stvaraju nove mogućnosti za održivi lokalni razvoj i prekograničnu suradnju; ističe važnost prekograničnih ulaganja u unapređenje inovacija, prijenos tehnologije, zajednička rješenja i sinergije među različitim programima te na taj način povećanje teritorijalne kohezije izvan administrativnih granica i jačanje solidarnosti;</w:t>
      </w:r>
    </w:p>
    <w:p w:rsidR="00BC6D78" w:rsidRPr="003A681C" w:rsidRDefault="00BC6D78" w:rsidP="00BC6D78">
      <w:pPr>
        <w:pStyle w:val="NormalHanging12a"/>
        <w:ind w:hanging="570"/>
      </w:pPr>
      <w:r w:rsidRPr="003A681C">
        <w:t>4.</w:t>
      </w:r>
      <w:r w:rsidRPr="003A681C">
        <w:tab/>
        <w:t>naglašava da dodjela sredstava za razdoblje 2021. – 2027. nije ni približno dovoljno te stoga naglašava važnost jačanja financiranja tih programa; pozdravlja veću odgovornost trećih zemalja za povrate od korisnika iz privatnog sektora; naglašava važnost vladavine prava i jednakih uvjeta za sve korisnike, javne ili privatne, te naglašava potrebu za poticanjem uključivanja privatnih ulagača, uz javna ulaganja, u održivi razvoj pograničnih regija i trećih zemalja tako što će se više sredstava staviti na raspolaganje;</w:t>
      </w:r>
    </w:p>
    <w:p w:rsidR="00BC6D78" w:rsidRPr="003A681C" w:rsidRDefault="00BC6D78" w:rsidP="00BC6D78">
      <w:pPr>
        <w:pStyle w:val="NormalHanging12a"/>
        <w:ind w:hanging="570"/>
      </w:pPr>
      <w:r w:rsidRPr="003A681C">
        <w:t>5.</w:t>
      </w:r>
      <w:r w:rsidRPr="003A681C">
        <w:tab/>
        <w:t xml:space="preserve">pozdravlja mogućnost da upravljačka tijela Komisiji šalju podatke elektroničkim putem, ali ističe da češći prijenos podataka ne bi </w:t>
      </w:r>
      <w:proofErr w:type="spellStart"/>
      <w:r w:rsidRPr="003A681C">
        <w:t>smio</w:t>
      </w:r>
      <w:proofErr w:type="spellEnd"/>
      <w:r w:rsidRPr="003A681C">
        <w:t xml:space="preserve"> dovesti do pojačane birokratizacije; stoga naglašava važnost </w:t>
      </w:r>
      <w:proofErr w:type="spellStart"/>
      <w:r w:rsidRPr="003A681C">
        <w:t>interoperabilnih</w:t>
      </w:r>
      <w:proofErr w:type="spellEnd"/>
      <w:r w:rsidRPr="003A681C">
        <w:t xml:space="preserve"> sustava koji bi mogli automatski prenositi podatke u zajedničku bazu podataka i potiče Komisiju da dodatno razvije suradnju s trećim zemljama u tom pogledu;</w:t>
      </w:r>
    </w:p>
    <w:p w:rsidR="00BC6D78" w:rsidRPr="003A681C" w:rsidRDefault="00BC6D78" w:rsidP="00BC6D78">
      <w:pPr>
        <w:pStyle w:val="NormalHanging12a"/>
      </w:pPr>
      <w:r w:rsidRPr="003A681C">
        <w:t>6.</w:t>
      </w:r>
      <w:r w:rsidRPr="003A681C">
        <w:tab/>
        <w:t>izražava zabrinutost zbog toga što velike infrastrukturne projekte više neće morati odobriti Komisija;</w:t>
      </w:r>
    </w:p>
    <w:p w:rsidR="00BC6D78" w:rsidRPr="003A681C" w:rsidRDefault="00BC6D78" w:rsidP="00BC6D78">
      <w:pPr>
        <w:pStyle w:val="NormalHanging12a"/>
      </w:pPr>
      <w:r w:rsidRPr="003A681C">
        <w:t>7.</w:t>
      </w:r>
      <w:r w:rsidRPr="003A681C">
        <w:tab/>
        <w:t xml:space="preserve">pozdravlja ukidanje ograničenja financiranja EU-a za velike infrastrukturne projekte i vjeruje da održivi razvoj infrastrukture pridonosi socioekonomskom rastu u prekograničnim regijama; istodobno ističe potrebu za uključivanjem javnog i privatnog sektora, što bi moglo dovesti do više inovacija i razvoja infrastrukture povezane s </w:t>
      </w:r>
      <w:r w:rsidRPr="003A681C">
        <w:lastRenderedPageBreak/>
        <w:t>energetskim sektorom, prometom, komunikacijom i digitalizacijom;</w:t>
      </w:r>
    </w:p>
    <w:p w:rsidR="00BC6D78" w:rsidRPr="003A681C" w:rsidRDefault="00BC6D78" w:rsidP="00BC6D78">
      <w:pPr>
        <w:pStyle w:val="NormalHanging12a"/>
        <w:rPr>
          <w:szCs w:val="24"/>
        </w:rPr>
      </w:pPr>
      <w:r w:rsidRPr="003A681C">
        <w:t>8.</w:t>
      </w:r>
      <w:r w:rsidRPr="003A681C">
        <w:tab/>
        <w:t xml:space="preserve">ističe da se glavni izazovi s kojima se EU suočava mogu riješiti i promicanjem prekogranične suradnje među susjednim regijama (npr. održiva budućnost Sredozemlja, Crnog mora, Baltičkog mora i drugih morskih bazena; održiva budućnost Alpa, </w:t>
      </w:r>
      <w:proofErr w:type="spellStart"/>
      <w:r w:rsidRPr="003A681C">
        <w:t>Pireneja</w:t>
      </w:r>
      <w:proofErr w:type="spellEnd"/>
      <w:r w:rsidRPr="003A681C">
        <w:t xml:space="preserve">, Karpata i drugih planinskih lanaca; održiva budućnost velikih riječnih slivova npr. Rajne, Dunava i rijeke </w:t>
      </w:r>
      <w:proofErr w:type="spellStart"/>
      <w:r w:rsidRPr="003A681C">
        <w:t>Maas</w:t>
      </w:r>
      <w:proofErr w:type="spellEnd"/>
      <w:r w:rsidRPr="003A681C">
        <w:t xml:space="preserve"> itd.);</w:t>
      </w:r>
    </w:p>
    <w:p w:rsidR="00BC6D78" w:rsidRPr="003A681C" w:rsidRDefault="00BC6D78" w:rsidP="00BC6D78">
      <w:pPr>
        <w:pStyle w:val="NormalHanging12a"/>
        <w:rPr>
          <w:szCs w:val="24"/>
        </w:rPr>
      </w:pPr>
      <w:r w:rsidRPr="003A681C">
        <w:t>9.</w:t>
      </w:r>
      <w:r w:rsidRPr="003A681C">
        <w:tab/>
        <w:t xml:space="preserve">naglašava da je prekogranična suradnja važan korak u </w:t>
      </w:r>
      <w:proofErr w:type="spellStart"/>
      <w:r w:rsidRPr="003A681C">
        <w:t>pretpristupnim</w:t>
      </w:r>
      <w:proofErr w:type="spellEnd"/>
      <w:r w:rsidRPr="003A681C">
        <w:t xml:space="preserve"> procesima EU-a, čime se zemlje kandidatkinje potiču na razmjenu iskustava i učenje o unutarnjem funkcioniranju EU-a; ističe da to pomaže u približavanju inicijativa i ciljeva EU-a zemljama kandidatkinjama, razmjeni iskustava i pokretanju procesa gospodarske i socijalne konvergencije; naglašava da će zemlje kandidatkinje koje su sudjelovale u prekograničnoj suradnji u trenutku pristupanja EU-u već biti upoznate s programima i projektima EU-a;</w:t>
      </w:r>
    </w:p>
    <w:p w:rsidR="00BC6D78" w:rsidRPr="003A681C" w:rsidRDefault="00BC6D78" w:rsidP="00BC6D78">
      <w:pPr>
        <w:pStyle w:val="NormalHanging12a"/>
        <w:rPr>
          <w:szCs w:val="24"/>
        </w:rPr>
      </w:pPr>
      <w:r w:rsidRPr="003A681C">
        <w:t>10.</w:t>
      </w:r>
      <w:r w:rsidRPr="003A681C">
        <w:tab/>
        <w:t>ističe ključnu ulogu prekogranične suradnje u održivom upravljanju prirodnim resursima i izazovima povezanima s klimatskim promjenama, uključujući prirodne katastrofe, okoliš, biološku raznolikost i sigurnost opskrbe hranom, kao i ekosustave u pograničnim područjima; u tom kontekstu naglašava važnost prevencije i razvoja lokalnih i regionalnih planova za prekogranične mjere prilagodbe klimatskim promjenama; naglašava potrebu za povećanjem napora za suzbijanje klimatskih promjena i poboljšanje ublažavanja klimatskih promjena u tim regijama, posebno radi usklađivanja s klimatskim ciljevima EU-a;</w:t>
      </w:r>
    </w:p>
    <w:p w:rsidR="00BC6D78" w:rsidRPr="003A681C" w:rsidRDefault="00BC6D78" w:rsidP="00BC6D78">
      <w:pPr>
        <w:pStyle w:val="NormalHanging12a"/>
        <w:rPr>
          <w:szCs w:val="24"/>
        </w:rPr>
      </w:pPr>
      <w:r w:rsidRPr="003A681C">
        <w:t>11.</w:t>
      </w:r>
      <w:r w:rsidRPr="003A681C">
        <w:tab/>
        <w:t>ističe potencijal prekogranične suradnje, posebno u rijetko naseljenim prekograničnim područjima, u područjima kao što su energija iz obnovljivih izvora i kružno gospodarstvo, te poziva na bolje iskorištavanje postojećih mogućnosti za razvoj održivog gospodarstva i kvalitetnih radnih mjesta;</w:t>
      </w:r>
    </w:p>
    <w:p w:rsidR="00BC6D78" w:rsidRPr="003A681C" w:rsidRDefault="00BC6D78" w:rsidP="00BC6D78">
      <w:pPr>
        <w:pStyle w:val="NormalHanging12a"/>
        <w:ind w:left="0" w:firstLine="0"/>
        <w:rPr>
          <w:b/>
          <w:i/>
        </w:rPr>
      </w:pPr>
      <w:r w:rsidRPr="003A681C">
        <w:rPr>
          <w:b/>
          <w:i/>
        </w:rPr>
        <w:t>Prekogranična suradnja s istočnim susjedstvom</w:t>
      </w:r>
    </w:p>
    <w:p w:rsidR="00BC6D78" w:rsidRPr="003A681C" w:rsidRDefault="00BC6D78" w:rsidP="00BC6D78">
      <w:pPr>
        <w:pStyle w:val="NormalHanging12a"/>
      </w:pPr>
      <w:r w:rsidRPr="003A681C">
        <w:t>12.</w:t>
      </w:r>
      <w:r w:rsidRPr="003A681C">
        <w:tab/>
        <w:t xml:space="preserve">pozdravlja obustavu prekogranične suradnje s Rusijom i </w:t>
      </w:r>
      <w:proofErr w:type="spellStart"/>
      <w:r w:rsidRPr="003A681C">
        <w:t>Bjelarusom</w:t>
      </w:r>
      <w:proofErr w:type="spellEnd"/>
      <w:r w:rsidRPr="003A681C">
        <w:t xml:space="preserve"> kao posljedicu agresivnog rata Rusije protiv Ukrajine, kao i preusmjeravanje sredstava Ukrajini i Republici </w:t>
      </w:r>
      <w:proofErr w:type="spellStart"/>
      <w:r w:rsidRPr="003A681C">
        <w:t>Moldovi</w:t>
      </w:r>
      <w:proofErr w:type="spellEnd"/>
      <w:r w:rsidRPr="003A681C">
        <w:t>, što je iz temelja promijenilo europsku sigurnosnu strukturu; stoga naglašava potrebu za suradnjom u području sigurnosne politike kako bi se postigli zajednički ciljevi pouzdanog kolektivnog odvraćanja i obrane u okviru prekogranične suradnje;</w:t>
      </w:r>
    </w:p>
    <w:p w:rsidR="00BC6D78" w:rsidRPr="003A681C" w:rsidRDefault="00BC6D78" w:rsidP="00BC6D78">
      <w:pPr>
        <w:pStyle w:val="NormalHanging12a"/>
        <w:rPr>
          <w:szCs w:val="24"/>
        </w:rPr>
      </w:pPr>
      <w:r w:rsidRPr="003A681C">
        <w:t>13.</w:t>
      </w:r>
      <w:r w:rsidRPr="003A681C">
        <w:tab/>
        <w:t xml:space="preserve">skreće pozornost na tešku situaciju u regijama koje dijele granicu s Rusijom i </w:t>
      </w:r>
      <w:proofErr w:type="spellStart"/>
      <w:r w:rsidRPr="003A681C">
        <w:t>Bjelarusom</w:t>
      </w:r>
      <w:proofErr w:type="spellEnd"/>
      <w:r w:rsidRPr="003A681C">
        <w:t xml:space="preserve"> nakon obustave prekogranične suradnje s tim zemljama te potiče Komisiju da blisko surađuje s pogođenim državama članicama kako bi se pronašla održiva rješenja za rješavanje socijalnih i gospodarskih izazova u tim regijama;</w:t>
      </w:r>
    </w:p>
    <w:p w:rsidR="00BC6D78" w:rsidRPr="003A681C" w:rsidRDefault="00BC6D78" w:rsidP="00BC6D78">
      <w:pPr>
        <w:pStyle w:val="NormalHanging12a"/>
      </w:pPr>
      <w:r w:rsidRPr="003A681C">
        <w:t>14.</w:t>
      </w:r>
      <w:r w:rsidRPr="003A681C">
        <w:tab/>
        <w:t xml:space="preserve">poziva na korištenje sredstava iz prekograničnih programa za razvoj održive prometne infrastrukture, uključujući izgradnju željezničkih veza i skladišnih objekata u blizini granica EU-a s Ukrajinom i Republikom </w:t>
      </w:r>
      <w:proofErr w:type="spellStart"/>
      <w:r w:rsidRPr="003A681C">
        <w:t>Moldovom</w:t>
      </w:r>
      <w:proofErr w:type="spellEnd"/>
      <w:r w:rsidRPr="003A681C">
        <w:t xml:space="preserve">, kako bi se pojednostavnio protok robe i žitarica i tako zajamčila globalna sigurnost opskrbe hranom, doprinijelo poticanju razvoja održivog gospodarstva za obje zemlje i pomoglo najizloženijim državama članicama, kao i </w:t>
      </w:r>
      <w:proofErr w:type="spellStart"/>
      <w:r w:rsidRPr="003A681C">
        <w:t>Moldovi</w:t>
      </w:r>
      <w:proofErr w:type="spellEnd"/>
      <w:r w:rsidRPr="003A681C">
        <w:t xml:space="preserve"> i Ukrajini, u suočavanju s tim izazovima;</w:t>
      </w:r>
    </w:p>
    <w:p w:rsidR="00BC6D78" w:rsidRPr="003A681C" w:rsidRDefault="00BC6D78" w:rsidP="00BC6D78">
      <w:pPr>
        <w:pStyle w:val="NormalHanging12a"/>
      </w:pPr>
      <w:r w:rsidRPr="003A681C">
        <w:lastRenderedPageBreak/>
        <w:t>15.</w:t>
      </w:r>
      <w:r w:rsidRPr="003A681C">
        <w:tab/>
        <w:t xml:space="preserve">prepoznaje važnost promicanja lokalne i regionalne kulture i očuvanja baštine te obrazovnih i gospodarskih razmjena između pograničnih regija kako bi se ojačalo uzajamno razumijevanje susjednih zemalja i stvorila važna motivacija za višejezično obrazovanje; naglašava važnost </w:t>
      </w:r>
      <w:proofErr w:type="spellStart"/>
      <w:r w:rsidRPr="003A681C">
        <w:t>uključivog</w:t>
      </w:r>
      <w:proofErr w:type="spellEnd"/>
      <w:r w:rsidRPr="003A681C">
        <w:t xml:space="preserve"> obrazovanja u pogledu demokratskih vrijednosti i potrebu za podupiranjem veće kvalitete u tom području;</w:t>
      </w:r>
    </w:p>
    <w:p w:rsidR="00BC6D78" w:rsidRPr="003A681C" w:rsidRDefault="00BC6D78" w:rsidP="00BC6D78">
      <w:pPr>
        <w:pStyle w:val="NormalHanging12a"/>
      </w:pPr>
      <w:r w:rsidRPr="003A681C">
        <w:t>16.</w:t>
      </w:r>
      <w:r w:rsidRPr="003A681C">
        <w:tab/>
        <w:t>poziva na pružanje potpore održivijim infrastrukturnim projektima kojima se doprinosi poboljšanju povezanosti prekograničnih regija, poticanju mobilnosti unutar tih regija i među njima te poboljšanju kvalitete života i prilika za stanovnike tih regija, kao i projektima koji se bave potrebom za infrastrukturom;</w:t>
      </w:r>
    </w:p>
    <w:p w:rsidR="00BC6D78" w:rsidRPr="003A681C" w:rsidRDefault="00BC6D78" w:rsidP="00BC6D78">
      <w:pPr>
        <w:pStyle w:val="NormalHanging12a"/>
        <w:rPr>
          <w:szCs w:val="24"/>
        </w:rPr>
      </w:pPr>
      <w:r w:rsidRPr="003A681C">
        <w:t>17.</w:t>
      </w:r>
      <w:r w:rsidRPr="003A681C">
        <w:tab/>
        <w:t xml:space="preserve">prepoznaje goleme napore nacionalnih vlada, regionalnih i lokalnih vlasti te civilnog društva u državama članicama EU-a koje se nalaze oko Ukrajine, kao i napore Republike </w:t>
      </w:r>
      <w:proofErr w:type="spellStart"/>
      <w:r w:rsidRPr="003A681C">
        <w:t>Moldove</w:t>
      </w:r>
      <w:proofErr w:type="spellEnd"/>
      <w:r w:rsidRPr="003A681C">
        <w:t>, da prime raseljene Ukrajince i riješi sve izazove koji proizlaze iz agresivnog rata Rusije protiv Ukrajine, uključujući pitanje žitarica iz Ukrajine i nedostatak prometne infrastrukture; u tom pogledu poziva na pružanje odgovarajuće potpore, među ostalim putem programa prekogranične suradnje, kako bi se zadovoljile nove potrebe.</w:t>
      </w:r>
    </w:p>
    <w:p w:rsidR="00BC6D78" w:rsidRPr="003A681C" w:rsidRDefault="00BC6D78" w:rsidP="00BC6D78">
      <w:pPr>
        <w:pStyle w:val="NormalHanging12a"/>
        <w:rPr>
          <w:szCs w:val="24"/>
        </w:rPr>
      </w:pPr>
      <w:r w:rsidRPr="003A681C">
        <w:t>18.</w:t>
      </w:r>
      <w:r w:rsidRPr="003A681C">
        <w:tab/>
        <w:t xml:space="preserve">ističe da, iako nije u otvorenom ratu s Rusijom, Republika </w:t>
      </w:r>
      <w:proofErr w:type="spellStart"/>
      <w:r w:rsidRPr="003A681C">
        <w:t>Moldova</w:t>
      </w:r>
      <w:proofErr w:type="spellEnd"/>
      <w:r w:rsidRPr="003A681C">
        <w:t xml:space="preserve"> također ima zone sukoba koje Rusija podupire, da je primila velik broj ukrajinskih izbjeglica te da je na gospodarsku i socijalnu situaciju </w:t>
      </w:r>
      <w:proofErr w:type="spellStart"/>
      <w:r w:rsidRPr="003A681C">
        <w:t>Moldove</w:t>
      </w:r>
      <w:proofErr w:type="spellEnd"/>
      <w:r w:rsidRPr="003A681C">
        <w:t xml:space="preserve"> uvelike utjecao prekid njezinih trgovinskih odnosa s Rusijom; stoga naglašava da su čvrsta ulaganja i otvoreno tržište prijeko potrebni te da su zajednički projekti u svim gospodarskim i socijalnim područjima više nego dobrodošli;</w:t>
      </w:r>
    </w:p>
    <w:p w:rsidR="00BC6D78" w:rsidRPr="003A681C" w:rsidRDefault="00BC6D78" w:rsidP="00BC6D78">
      <w:pPr>
        <w:pStyle w:val="NormalHanging12a"/>
      </w:pPr>
      <w:r w:rsidRPr="003A681C">
        <w:t>19.</w:t>
      </w:r>
      <w:r w:rsidRPr="003A681C">
        <w:tab/>
        <w:t>zgrožen je ljudskim žrtvama te uništenjem domova i infrastrukture u Ukrajini; naglašava aktivnu ulogu koju bi programi prekogranične suradnje i novi europski Bauhaus trebali imati u održivoj poslijeratnoj obnovi i naglašava hitnu potrebu za pružanjem potpore lokalnim i regionalnim vlastima u Ukrajini, uz nastavak pružanja pomoći susjednim regijama i poticanje pojačane suradnje;</w:t>
      </w:r>
    </w:p>
    <w:p w:rsidR="00BC6D78" w:rsidRPr="003A681C" w:rsidRDefault="00BC6D78" w:rsidP="00BC6D78">
      <w:pPr>
        <w:pStyle w:val="NormalHanging12a"/>
        <w:rPr>
          <w:szCs w:val="24"/>
        </w:rPr>
      </w:pPr>
      <w:r w:rsidRPr="003A681C">
        <w:t>20.</w:t>
      </w:r>
      <w:r w:rsidRPr="003A681C">
        <w:tab/>
        <w:t xml:space="preserve">pozdravlja inicijativu za uključivanje Ukrajine u program europske teritorijalne suradnje URBACT te pristupanje Ukrajine i Republike </w:t>
      </w:r>
      <w:proofErr w:type="spellStart"/>
      <w:r w:rsidRPr="003A681C">
        <w:t>Moldove</w:t>
      </w:r>
      <w:proofErr w:type="spellEnd"/>
      <w:r w:rsidRPr="003A681C">
        <w:t xml:space="preserve"> kao promatrača u Europskoj promatračkoj mreži za teritorijalni razvoj i koheziju (ESPON);</w:t>
      </w:r>
    </w:p>
    <w:p w:rsidR="00BC6D78" w:rsidRPr="003A681C" w:rsidRDefault="00BC6D78" w:rsidP="00BC6D78">
      <w:pPr>
        <w:pStyle w:val="NormalHanging12a"/>
        <w:rPr>
          <w:szCs w:val="24"/>
        </w:rPr>
      </w:pPr>
      <w:r w:rsidRPr="003A681C">
        <w:t>21.</w:t>
      </w:r>
      <w:r w:rsidRPr="003A681C">
        <w:tab/>
        <w:t>žali zbog toga što se Rusija koristi svojim izvorima energije kao sredstvom za vršenje političkog i gospodarskog pritiska; poziva na brze istrage o gospodarskoj suradnji u energetskom sektoru nekih država članica s Rusijom, te na daljnje mjere za jačanje obnovljivih izvora energije i jačanje energetske učinkovitosti kako bi se smanjila ovisnost o Rusiji u državama članicama koje su drastično smanjile suradnju s agresorom i na koje su utjecale sankcije, uključujući susjedne zemlje;</w:t>
      </w:r>
    </w:p>
    <w:p w:rsidR="00BC6D78" w:rsidRPr="003A681C" w:rsidRDefault="00BC6D78" w:rsidP="00BC6D78">
      <w:pPr>
        <w:pStyle w:val="NormalHanging12a"/>
        <w:rPr>
          <w:szCs w:val="24"/>
        </w:rPr>
      </w:pPr>
      <w:r w:rsidRPr="003A681C">
        <w:t>22.</w:t>
      </w:r>
      <w:r w:rsidRPr="003A681C">
        <w:tab/>
        <w:t>žali zbog sve većeg utjecaja Rusije u susjednim zemljama, posebno upotrebom manipulacija i dezinformacija u tradicionalnim medijima i na internetskim društvenim mrežama, te naglašava važnost jačanja suradnje s tim zemljama, posebno u sektorima obrazovanja i kulture, kako bi građani bili informirani i obrazovani o demokratskim vrijednostima;</w:t>
      </w:r>
    </w:p>
    <w:p w:rsidR="00BC6D78" w:rsidRPr="003A681C" w:rsidRDefault="00BC6D78" w:rsidP="00BC6D78">
      <w:pPr>
        <w:pStyle w:val="NormalHanging12a"/>
        <w:rPr>
          <w:b/>
          <w:i/>
        </w:rPr>
      </w:pPr>
      <w:r w:rsidRPr="003A681C">
        <w:rPr>
          <w:b/>
          <w:i/>
        </w:rPr>
        <w:t>Suradnja u području morskih bazena</w:t>
      </w:r>
    </w:p>
    <w:p w:rsidR="00BC6D78" w:rsidRPr="003A681C" w:rsidRDefault="00BC6D78" w:rsidP="00BC6D78">
      <w:pPr>
        <w:pStyle w:val="NormalHanging12a"/>
        <w:rPr>
          <w:i/>
        </w:rPr>
      </w:pPr>
      <w:r w:rsidRPr="003A681C">
        <w:rPr>
          <w:i/>
        </w:rPr>
        <w:lastRenderedPageBreak/>
        <w:t>Crnomorski bazen</w:t>
      </w:r>
    </w:p>
    <w:p w:rsidR="00BC6D78" w:rsidRPr="003A681C" w:rsidRDefault="00BC6D78" w:rsidP="00BC6D78">
      <w:pPr>
        <w:pStyle w:val="NormalHanging12a"/>
        <w:rPr>
          <w:szCs w:val="24"/>
        </w:rPr>
      </w:pPr>
      <w:r w:rsidRPr="003A681C">
        <w:t>23.</w:t>
      </w:r>
      <w:r w:rsidRPr="003A681C">
        <w:tab/>
        <w:t>naglašava važnost dodjeljivanja veće financijske potpore programu s obzirom na sigurnosne izazove u Crnom moru zbog ruskih napada i blokade pomorskih i dunavskih luka, čiji je cilj spriječiti pošiljke žitarica koje su ključne za ukrajinsko gospodarstvo; ističe sigurnosni rizik koji ti napadi predstavljaju za države članice koje graniče s Ukrajinom;</w:t>
      </w:r>
    </w:p>
    <w:p w:rsidR="00BC6D78" w:rsidRPr="003A681C" w:rsidRDefault="00BC6D78" w:rsidP="00BC6D78">
      <w:pPr>
        <w:pStyle w:val="NormalHanging12a"/>
        <w:rPr>
          <w:szCs w:val="24"/>
        </w:rPr>
      </w:pPr>
      <w:r w:rsidRPr="003A681C">
        <w:t>24.</w:t>
      </w:r>
      <w:r w:rsidRPr="003A681C">
        <w:tab/>
        <w:t>ističe potencijal crnomorskih izvora energije, koji također mogu pridonijeti održivoj energetskoj budućnosti u EU-u; naglašava da su obnovljivi izvori energije i dalje uglavnom neiskorišteni, iako je njihov potencijal velik;</w:t>
      </w:r>
    </w:p>
    <w:p w:rsidR="00BC6D78" w:rsidRPr="003A681C" w:rsidRDefault="00BC6D78" w:rsidP="00BC6D78">
      <w:pPr>
        <w:pStyle w:val="NormalHanging12a"/>
      </w:pPr>
      <w:r w:rsidRPr="003A681C">
        <w:t>25.</w:t>
      </w:r>
      <w:r w:rsidRPr="003A681C">
        <w:tab/>
        <w:t xml:space="preserve">smatra da bi program </w:t>
      </w:r>
      <w:proofErr w:type="spellStart"/>
      <w:r w:rsidRPr="003A681C">
        <w:t>Interreg</w:t>
      </w:r>
      <w:proofErr w:type="spellEnd"/>
      <w:r w:rsidRPr="003A681C">
        <w:t xml:space="preserve"> NEXT za crnomorski bazen trebao olakšati održivi gospodarski razvoj i učinkovito upravljanje zajedničkim resursima; </w:t>
      </w:r>
    </w:p>
    <w:p w:rsidR="00BC6D78" w:rsidRPr="003A681C" w:rsidRDefault="00BC6D78" w:rsidP="00BC6D78">
      <w:pPr>
        <w:pStyle w:val="NormalHanging12a"/>
        <w:rPr>
          <w:szCs w:val="24"/>
        </w:rPr>
      </w:pPr>
      <w:r w:rsidRPr="003A681C">
        <w:t>26.</w:t>
      </w:r>
      <w:r w:rsidRPr="003A681C">
        <w:tab/>
        <w:t>naglašava važnost razvoja održivog turizma u obalnim regijama Crnog mora i zalaže se za to da se svi uključeni akteri zauzmu za odgovoran pristup zaštiti okoliša;</w:t>
      </w:r>
    </w:p>
    <w:p w:rsidR="00BC6D78" w:rsidRPr="003A681C" w:rsidRDefault="00BC6D78" w:rsidP="00BC6D78">
      <w:pPr>
        <w:pStyle w:val="NormalHanging12a"/>
        <w:rPr>
          <w:szCs w:val="24"/>
        </w:rPr>
      </w:pPr>
      <w:r w:rsidRPr="003A681C">
        <w:t>27.</w:t>
      </w:r>
      <w:r w:rsidRPr="003A681C">
        <w:tab/>
        <w:t>poziva na snažnu usredotočenost na Crno more, jačanje regionalne suradnje u rješavanju sigurnosnih pitanja, uključujući pitanja povezana s regionalnim sukobima i energetskom sigurnošću, te poticanje projekata za unapređenje luka i povezane infrastrukture te veću povezanost s postojećim prometnim čvorištima; stoga posebno poziva na njihovo povezivanje s koridorima mreže TEN-T;</w:t>
      </w:r>
    </w:p>
    <w:p w:rsidR="00BC6D78" w:rsidRPr="003A681C" w:rsidRDefault="00BC6D78" w:rsidP="00BC6D78">
      <w:pPr>
        <w:pStyle w:val="NormalHanging12a"/>
        <w:rPr>
          <w:szCs w:val="24"/>
        </w:rPr>
      </w:pPr>
      <w:r w:rsidRPr="003A681C">
        <w:t>28.</w:t>
      </w:r>
      <w:r w:rsidRPr="003A681C">
        <w:tab/>
        <w:t>ustraje u tome da bi trebalo donijeti usklađenu strategiju za područje Crnog mora i da bi trebalo razviti sinergije s programom za Podunavlje za razdoblje 2021. – 2027.;</w:t>
      </w:r>
    </w:p>
    <w:p w:rsidR="00BC6D78" w:rsidRPr="003A681C" w:rsidRDefault="00BC6D78" w:rsidP="00BC6D78">
      <w:pPr>
        <w:pStyle w:val="NormalHanging12a"/>
        <w:rPr>
          <w:i/>
        </w:rPr>
      </w:pPr>
      <w:r w:rsidRPr="003A681C">
        <w:rPr>
          <w:i/>
        </w:rPr>
        <w:t>Sredozemni bazen</w:t>
      </w:r>
    </w:p>
    <w:p w:rsidR="00BC6D78" w:rsidRPr="003A681C" w:rsidRDefault="00BC6D78" w:rsidP="00BC6D78">
      <w:pPr>
        <w:pStyle w:val="NormalHanging12a"/>
        <w:rPr>
          <w:szCs w:val="24"/>
        </w:rPr>
      </w:pPr>
      <w:r w:rsidRPr="003A681C">
        <w:t>29.</w:t>
      </w:r>
      <w:r w:rsidRPr="003A681C">
        <w:tab/>
        <w:t xml:space="preserve">naglašava važnost snažnih gospodarskih i socijalnih partnerstava s trećim zemljama iz sredozemnog bazena; pozdravlja činjenicu da je broj zemalja koje sudjeluju u programima </w:t>
      </w:r>
      <w:proofErr w:type="spellStart"/>
      <w:r w:rsidRPr="003A681C">
        <w:t>Interreg</w:t>
      </w:r>
      <w:proofErr w:type="spellEnd"/>
      <w:r w:rsidRPr="003A681C">
        <w:t xml:space="preserve"> Euro-MED za razdoblje 2021. – 2027. u porastu;</w:t>
      </w:r>
    </w:p>
    <w:p w:rsidR="00BC6D78" w:rsidRPr="003A681C" w:rsidRDefault="00BC6D78" w:rsidP="00BC6D78">
      <w:pPr>
        <w:pStyle w:val="NormalHanging12a"/>
      </w:pPr>
      <w:r w:rsidRPr="003A681C">
        <w:t>30.</w:t>
      </w:r>
      <w:r w:rsidRPr="003A681C">
        <w:tab/>
        <w:t xml:space="preserve">traži </w:t>
      </w:r>
      <w:proofErr w:type="spellStart"/>
      <w:r w:rsidRPr="003A681C">
        <w:t>koordiniraniju</w:t>
      </w:r>
      <w:proofErr w:type="spellEnd"/>
      <w:r w:rsidRPr="003A681C">
        <w:t xml:space="preserve"> i učinkovitiju upotrebu postojećih fondova u okviru trenutačnih socijalnih, klimatskih i ekoloških pravila kako bi se povećala konkurentnost sredozemnog bazena uz istodobno jačanje potencijala energije iz obnovljivih izvora na kopnu i na moru;</w:t>
      </w:r>
    </w:p>
    <w:p w:rsidR="00BC6D78" w:rsidRPr="003A681C" w:rsidRDefault="00BC6D78" w:rsidP="00BC6D78">
      <w:pPr>
        <w:pStyle w:val="NormalHanging12a"/>
        <w:rPr>
          <w:szCs w:val="24"/>
        </w:rPr>
      </w:pPr>
      <w:r w:rsidRPr="003A681C">
        <w:t>31.</w:t>
      </w:r>
      <w:r w:rsidRPr="003A681C">
        <w:tab/>
        <w:t>smatra da prekogranični programi moraju imati aktivnu ulogu u rješavanju zajedničkih sigurnosnih izazova i težiti regionalnoj stabilnosti;</w:t>
      </w:r>
    </w:p>
    <w:p w:rsidR="00BC6D78" w:rsidRPr="003A681C" w:rsidRDefault="00BC6D78" w:rsidP="00BC6D78">
      <w:pPr>
        <w:pStyle w:val="NormalHanging12a"/>
        <w:rPr>
          <w:szCs w:val="24"/>
        </w:rPr>
      </w:pPr>
      <w:r w:rsidRPr="003A681C">
        <w:t>32.</w:t>
      </w:r>
      <w:r w:rsidRPr="003A681C">
        <w:tab/>
        <w:t xml:space="preserve">poziva na upravljanje migracijskim tokovima i borbu protiv nezakonite migracije i trgovine ljudima, među ostalim financiranjem projekata čiji je cilj primanje, skrb i osposobljavanje imigranata kako bi im se pomoglo u suočavanju s izazovima konkurentnog gospodarskog okruženja te boljem razumijevanju i poštovanju europskih vrijednosti, uz istodobno poticanje </w:t>
      </w:r>
      <w:proofErr w:type="spellStart"/>
      <w:r w:rsidRPr="003A681C">
        <w:t>uključivosti</w:t>
      </w:r>
      <w:proofErr w:type="spellEnd"/>
      <w:r w:rsidRPr="003A681C">
        <w:t xml:space="preserve"> s obje strane Sredozemlja;</w:t>
      </w:r>
    </w:p>
    <w:p w:rsidR="00BC6D78" w:rsidRPr="003A681C" w:rsidRDefault="00BC6D78" w:rsidP="00BC6D78">
      <w:pPr>
        <w:pStyle w:val="NormalHanging12a"/>
        <w:rPr>
          <w:szCs w:val="24"/>
        </w:rPr>
      </w:pPr>
      <w:r w:rsidRPr="003A681C">
        <w:t>33.</w:t>
      </w:r>
      <w:r w:rsidRPr="003A681C">
        <w:tab/>
        <w:t>priznaje ključnu ulogu istraživanja i inovacija u sprečavanju rizika od prirodnih katastrofa, održivom upravljanju vodama i smanjenju CO</w:t>
      </w:r>
      <w:r w:rsidRPr="003A681C">
        <w:rPr>
          <w:vertAlign w:val="subscript"/>
        </w:rPr>
        <w:t>2</w:t>
      </w:r>
      <w:r w:rsidRPr="003A681C">
        <w:t xml:space="preserve"> te naglašava da je potrebno dati prednost projektima koji imaju mjerljive ciljeve u smislu gospodarskog, socijalnog i ekološkog učinka; </w:t>
      </w:r>
    </w:p>
    <w:p w:rsidR="00BC6D78" w:rsidRPr="003A681C" w:rsidRDefault="00BC6D78" w:rsidP="00BC6D78">
      <w:pPr>
        <w:pStyle w:val="NormalHanging12a"/>
      </w:pPr>
      <w:r w:rsidRPr="003A681C">
        <w:lastRenderedPageBreak/>
        <w:t>34.</w:t>
      </w:r>
      <w:r w:rsidRPr="003A681C">
        <w:tab/>
        <w:t>naglašava da su obnovljivi izvori energije i dalje uglavnom neiskorišteni iako je njihov potencijal velik i da bi taj potencijal trebalo poticati, među ostalim uključivanjem MSP-ova i poduzeća srednje tržišne kapitalizacije;</w:t>
      </w:r>
    </w:p>
    <w:p w:rsidR="00BC6D78" w:rsidRPr="003A681C" w:rsidRDefault="00BC6D78" w:rsidP="00BC6D78">
      <w:pPr>
        <w:pStyle w:val="NormalHanging12a"/>
      </w:pPr>
      <w:r w:rsidRPr="003A681C">
        <w:t>35.</w:t>
      </w:r>
      <w:r w:rsidRPr="003A681C">
        <w:tab/>
        <w:t xml:space="preserve">pozdravlja strategiju za morski bazen u okviru inicijative </w:t>
      </w:r>
      <w:proofErr w:type="spellStart"/>
      <w:r w:rsidRPr="003A681C">
        <w:t>WestMed</w:t>
      </w:r>
      <w:proofErr w:type="spellEnd"/>
      <w:r w:rsidRPr="003A681C">
        <w:t xml:space="preserve"> u zapadnom Sredozemlju i programe </w:t>
      </w:r>
      <w:proofErr w:type="spellStart"/>
      <w:r w:rsidRPr="003A681C">
        <w:t>Interrega</w:t>
      </w:r>
      <w:proofErr w:type="spellEnd"/>
      <w:r w:rsidRPr="003A681C">
        <w:t>, kao što je MARITTIMO, kao dobre primjere izravne i raznovrsne suradnje, među ostalim na regionalnoj razini, sa zajedničkim ciljevima;</w:t>
      </w:r>
    </w:p>
    <w:p w:rsidR="00BC6D78" w:rsidRPr="003A681C" w:rsidRDefault="00BC6D78" w:rsidP="00BC6D78">
      <w:pPr>
        <w:pStyle w:val="NormalHanging12a"/>
      </w:pPr>
      <w:r w:rsidRPr="003A681C">
        <w:t>36.</w:t>
      </w:r>
      <w:r w:rsidRPr="003A681C">
        <w:tab/>
        <w:t xml:space="preserve">pozdravlja napredak jadransko-jonske </w:t>
      </w:r>
      <w:proofErr w:type="spellStart"/>
      <w:r w:rsidRPr="003A681C">
        <w:t>makroregionalne</w:t>
      </w:r>
      <w:proofErr w:type="spellEnd"/>
      <w:r w:rsidRPr="003A681C">
        <w:t xml:space="preserve"> strategije (EUSAIR) kojom su mobilizirane države članice i njihove regije, treće zemlje i njihova lokalna tijela vlasti; smatra da je EUSAIR uspješan primjer u kojem se Unija pokazala pokretačkom silom i vektorom otvorenosti; smatra da se ta ista načela i sličan zajednički pristup moraju primijeniti na druga područja Sredozemlja;</w:t>
      </w:r>
    </w:p>
    <w:p w:rsidR="00BC6D78" w:rsidRPr="003A681C" w:rsidRDefault="00BC6D78" w:rsidP="00BC6D78">
      <w:pPr>
        <w:pStyle w:val="NormalHanging12a"/>
        <w:rPr>
          <w:szCs w:val="24"/>
        </w:rPr>
      </w:pPr>
      <w:r w:rsidRPr="003A681C">
        <w:t>37.</w:t>
      </w:r>
      <w:r w:rsidRPr="003A681C">
        <w:tab/>
        <w:t xml:space="preserve">poziva Europsko vijeće da zatraži od Komisije da podnese detaljnu </w:t>
      </w:r>
      <w:proofErr w:type="spellStart"/>
      <w:r w:rsidRPr="003A681C">
        <w:t>makroregionalnu</w:t>
      </w:r>
      <w:proofErr w:type="spellEnd"/>
      <w:r w:rsidRPr="003A681C">
        <w:t xml:space="preserve"> strategiju za Sredozemlje, uzimajući u obzir svoj Novi program za Sredozemlje, a posebno njegov odjeljak 5. („Zelena tranzicija: otpornosti na klimatske promjene, energija i okoliš”) te da ga usvoji; žali zbog stalne degradacije okoliša u cijelom sredozemnom morskom bazenu, gubitka biološke raznolikosti i sve većeg onečišćenja zraka i mora, posebno plastikom i otpadom iz kućanstava, te poziva na izbjegavanje, ograničavanje i upravljanje njima promicanjem kružnog gospodarstva;</w:t>
      </w:r>
    </w:p>
    <w:p w:rsidR="00BC6D78" w:rsidRPr="003A681C" w:rsidRDefault="00BC6D78" w:rsidP="00BC6D78">
      <w:pPr>
        <w:pStyle w:val="NormalHanging12a"/>
        <w:rPr>
          <w:b/>
          <w:i/>
        </w:rPr>
      </w:pPr>
      <w:r w:rsidRPr="003A681C">
        <w:rPr>
          <w:b/>
          <w:i/>
        </w:rPr>
        <w:t>Izazovi u području prekogranične suradnje</w:t>
      </w:r>
    </w:p>
    <w:p w:rsidR="00BC6D78" w:rsidRPr="003A681C" w:rsidRDefault="00BC6D78" w:rsidP="00BC6D78">
      <w:pPr>
        <w:pStyle w:val="NormalHanging12a"/>
        <w:rPr>
          <w:szCs w:val="24"/>
        </w:rPr>
      </w:pPr>
      <w:r w:rsidRPr="003A681C">
        <w:t>38.</w:t>
      </w:r>
      <w:r w:rsidRPr="003A681C">
        <w:tab/>
        <w:t xml:space="preserve">napominje da postojanje različitih pravnih i institucionalnih okvira stvara dodatne prepreke provedbi projekata i stoga predstavlja izazov za provedbu projekata; podsjeća da administrativni postupci mogu biti složeni i dugotrajni, što bi moglo odvratiti lokalne i regionalne vlasti od sudjelovanja u teritorijalnoj suradnji; poziva Komisiju da pomogne pojednostavniti te postupke tako što će ih učiniti dostupnijima i </w:t>
      </w:r>
      <w:proofErr w:type="spellStart"/>
      <w:r w:rsidRPr="003A681C">
        <w:t>transparentnijima</w:t>
      </w:r>
      <w:proofErr w:type="spellEnd"/>
      <w:r w:rsidRPr="003A681C">
        <w:t>;</w:t>
      </w:r>
    </w:p>
    <w:p w:rsidR="00BC6D78" w:rsidRPr="003A681C" w:rsidRDefault="00BC6D78" w:rsidP="00BC6D78">
      <w:pPr>
        <w:pStyle w:val="NormalHanging12a"/>
      </w:pPr>
      <w:r w:rsidRPr="003A681C">
        <w:t>39.</w:t>
      </w:r>
      <w:r w:rsidRPr="003A681C">
        <w:tab/>
        <w:t>napominje da jezične prepreke i kulturne razlike otežavaju komunikaciju i mogu dovesti do administrativnog opterećenja koje bi trebalo prevladati odgovarajućim mjerama;</w:t>
      </w:r>
    </w:p>
    <w:p w:rsidR="00BC6D78" w:rsidRPr="003A681C" w:rsidRDefault="00BC6D78" w:rsidP="00BC6D78">
      <w:pPr>
        <w:pStyle w:val="NormalHanging12a"/>
      </w:pPr>
      <w:r w:rsidRPr="003A681C">
        <w:t>40.</w:t>
      </w:r>
      <w:r w:rsidRPr="003A681C">
        <w:tab/>
        <w:t>naglašava da se nadležnosti tijela razlikuju među državama i da se regionalne vlasti mijenjaju, što može uzrokovati kašnjenja; smatra da bi trebalo poticati dijalog među lokalnim vlastima i poticati sudjelovanje civilnog društva u projektima teritorijalne suradnje, uz sudjelovanje nevladinih organizacija, socijalnih poduzeća i drugih dionika;</w:t>
      </w:r>
    </w:p>
    <w:p w:rsidR="00BC6D78" w:rsidRPr="003A681C" w:rsidRDefault="00BC6D78" w:rsidP="00BC6D78">
      <w:pPr>
        <w:pStyle w:val="NormalHanging12a"/>
        <w:rPr>
          <w:szCs w:val="24"/>
        </w:rPr>
      </w:pPr>
      <w:r w:rsidRPr="003A681C">
        <w:t>41.</w:t>
      </w:r>
      <w:r w:rsidRPr="003A681C">
        <w:tab/>
        <w:t>naglašava potrebu za razvojem dugoročnih programa razmjene i poduzetničke suradnje između institucija i poduzeća u prekograničnim regijama kako bi se promicao održivi gospodarski razvoj i poboljšala administrativna koordinacija među državama sudionicama daljnjim razvojem, reorganizacijom ili, prema potrebi, uspostavom održivih funkcionalnih struktura za prekograničnu suradnju i mreže;</w:t>
      </w:r>
    </w:p>
    <w:p w:rsidR="00BC6D78" w:rsidRPr="003A681C" w:rsidRDefault="00BC6D78" w:rsidP="00BC6D78">
      <w:pPr>
        <w:pStyle w:val="NormalHanging12a"/>
      </w:pPr>
      <w:r w:rsidRPr="003A681C">
        <w:t>42.</w:t>
      </w:r>
      <w:r w:rsidRPr="003A681C">
        <w:tab/>
        <w:t>naglašava važnost uspostave kratkoročnog i srednjoročnog međukulturnog sustava razmjene radi promicanja učenja zajedničkih jezika, poticanja boljeg razumijevanja regionalnih kultura te olakšavanja suradnje među prekograničnim zajednicama, naglašavajući da bi taj sustav trebao uključivati i poduzetničke i administrativne aspekte kako bi se potaknuo gospodarski i administrativni razvoj;</w:t>
      </w:r>
    </w:p>
    <w:p w:rsidR="00BC6D78" w:rsidRPr="003A681C" w:rsidRDefault="00BC6D78" w:rsidP="00BC6D78">
      <w:pPr>
        <w:pStyle w:val="NormalHanging12a"/>
      </w:pPr>
      <w:r w:rsidRPr="003A681C">
        <w:t>43.</w:t>
      </w:r>
      <w:r w:rsidRPr="003A681C">
        <w:tab/>
        <w:t xml:space="preserve">navodi potrebu za prilagodbom programa pojedinačnim potrebama i posebnostima </w:t>
      </w:r>
      <w:r w:rsidRPr="003A681C">
        <w:lastRenderedPageBreak/>
        <w:t>svake zemlje/regije sudionice; poziva na ulaganje dodatnih napora u tom pogledu;</w:t>
      </w:r>
    </w:p>
    <w:p w:rsidR="00BC6D78" w:rsidRPr="003A681C" w:rsidRDefault="00BC6D78" w:rsidP="00BC6D78">
      <w:pPr>
        <w:pStyle w:val="NormalHanging12a"/>
      </w:pPr>
      <w:r w:rsidRPr="003A681C">
        <w:t>44.</w:t>
      </w:r>
      <w:r w:rsidRPr="003A681C">
        <w:tab/>
        <w:t xml:space="preserve">napominje da je </w:t>
      </w:r>
      <w:proofErr w:type="spellStart"/>
      <w:r w:rsidRPr="003A681C">
        <w:t>pandemija</w:t>
      </w:r>
      <w:proofErr w:type="spellEnd"/>
      <w:r w:rsidRPr="003A681C">
        <w:t xml:space="preserve"> bolesti COVID-19 negativno utjecala na pogranične regije i na provedbu aktualnih programa i projekata;</w:t>
      </w:r>
    </w:p>
    <w:p w:rsidR="00BC6D78" w:rsidRPr="003A681C" w:rsidRDefault="00BC6D78" w:rsidP="00BC6D78">
      <w:pPr>
        <w:pStyle w:val="NormalHanging12a"/>
        <w:rPr>
          <w:szCs w:val="24"/>
        </w:rPr>
      </w:pPr>
      <w:r w:rsidRPr="003A681C">
        <w:t>45.</w:t>
      </w:r>
      <w:r w:rsidRPr="003A681C">
        <w:tab/>
        <w:t>ističe da nedostatak odgovarajuće prometne infrastrukture i mreža, posebno kad je riječ o pomorskoj i otočnoj prekograničnoj suradnji, onemogućuje trgovinu i mobilnost te otežava suradnju;</w:t>
      </w:r>
    </w:p>
    <w:p w:rsidR="00BC6D78" w:rsidRPr="003A681C" w:rsidRDefault="00BC6D78" w:rsidP="00BC6D78">
      <w:pPr>
        <w:pStyle w:val="NormalHanging12a"/>
        <w:rPr>
          <w:szCs w:val="24"/>
        </w:rPr>
      </w:pPr>
      <w:r w:rsidRPr="003A681C">
        <w:t>46.</w:t>
      </w:r>
      <w:r w:rsidRPr="003A681C">
        <w:tab/>
        <w:t>ističe posebne izazove morskih granica i potrebu da ih se prepozna kao posebne granice s vlastitim potrebama, posebno s obzirom na jezične i kulturne razlike, administrativna i pravna opterećenja, socioekonomske razlike i pitanja povezanima s okolišem;</w:t>
      </w:r>
    </w:p>
    <w:p w:rsidR="00BC6D78" w:rsidRPr="003A681C" w:rsidRDefault="00BC6D78" w:rsidP="00BC6D78">
      <w:pPr>
        <w:pStyle w:val="NormalHanging12a"/>
        <w:rPr>
          <w:b/>
          <w:i/>
        </w:rPr>
      </w:pPr>
      <w:r w:rsidRPr="003A681C">
        <w:rPr>
          <w:b/>
          <w:i/>
        </w:rPr>
        <w:t>Mogućnosti prekogranične suradnje</w:t>
      </w:r>
    </w:p>
    <w:p w:rsidR="00BC6D78" w:rsidRPr="003A681C" w:rsidRDefault="00BC6D78" w:rsidP="00BC6D78">
      <w:pPr>
        <w:pStyle w:val="NormalHanging12a"/>
      </w:pPr>
      <w:r w:rsidRPr="003A681C">
        <w:t>47.</w:t>
      </w:r>
      <w:r w:rsidRPr="003A681C">
        <w:tab/>
        <w:t xml:space="preserve">naglašava da, s obzirom na višestruke krize i sukobe, prekogranična suradnja sa susjednim zemljama zahtijeva ulaganje u otpornost zemalja i društava te da bi prioriteti partnerstva trebali doprinijeti znatnom poboljšanju životnih uvjeta s obje strane granice, među ostalim osiguravanjem </w:t>
      </w:r>
      <w:proofErr w:type="spellStart"/>
      <w:r w:rsidRPr="003A681C">
        <w:t>uključivog</w:t>
      </w:r>
      <w:proofErr w:type="spellEnd"/>
      <w:r w:rsidRPr="003A681C">
        <w:t xml:space="preserve"> održivog razvoja, socijalne pravde, mogućnosti zapošljavanja i gospodarskog blagostanja;</w:t>
      </w:r>
    </w:p>
    <w:p w:rsidR="00BC6D78" w:rsidRPr="003A681C" w:rsidRDefault="00BC6D78" w:rsidP="00BC6D78">
      <w:pPr>
        <w:pStyle w:val="NormalHanging12a"/>
        <w:rPr>
          <w:szCs w:val="24"/>
        </w:rPr>
      </w:pPr>
      <w:r w:rsidRPr="003A681C">
        <w:t>48.</w:t>
      </w:r>
      <w:r w:rsidRPr="003A681C">
        <w:tab/>
        <w:t>smatra da prekogranična suradnja može znatno pridonijeti jačanju lokalne i regionalne demokracije i administrativnih kapaciteta partnerskih zemalja; ističe važnost Europskih grupacija za teritorijalnu suradnju (EGTS) u olakšavanju i promicanju teritorijalne suradnje, a posebno u pogledu upravljanja prekograničnim prometnim uslugama ili bolnicama, provedbi prekograničnih razvojnih projekata ili upravljanja njima te razmjeni znanja i najboljih praksi;</w:t>
      </w:r>
    </w:p>
    <w:p w:rsidR="00BC6D78" w:rsidRPr="003A681C" w:rsidRDefault="00BC6D78" w:rsidP="00BC6D78">
      <w:pPr>
        <w:pStyle w:val="NormalHanging12a"/>
        <w:rPr>
          <w:szCs w:val="24"/>
        </w:rPr>
      </w:pPr>
      <w:r w:rsidRPr="003A681C">
        <w:t>49.</w:t>
      </w:r>
      <w:r w:rsidRPr="003A681C">
        <w:tab/>
        <w:t>ističe da je važno da se u prekogranične programe EU-a uključi kultura kao važan pokazatelj regionalnog razvoja, posebno u pograničnim područjima u kojima ljudi koji žive s obje strane granice imaju istu kulturnu i jezičnu pozadinu, kako bi se osigurala živost regija i povećala njihova privlačnost, povećala kulturna razmjena i promicala raznolikost i solidarnost izvan granica EU-a;</w:t>
      </w:r>
    </w:p>
    <w:p w:rsidR="00BC6D78" w:rsidRPr="003A681C" w:rsidRDefault="00BC6D78" w:rsidP="00BC6D78">
      <w:pPr>
        <w:pStyle w:val="NormalHanging12a"/>
      </w:pPr>
      <w:r w:rsidRPr="003A681C">
        <w:t>50.</w:t>
      </w:r>
      <w:r w:rsidRPr="003A681C">
        <w:tab/>
        <w:t>ističe činjenicu da programi nude mogućnosti za temeljit dijalog s nizom dionika, uključujući predstavnike civilnog društva, lokalne i regionalne vlasti, akademsku zajednicu, građane, nevladine organizacije i privatni sektor; posebno naglašava važnost prekograničnih programa za zemlje kandidatkinje za članstvo u EU-u jer oni lokalnim i nacionalnim vlastima pružaju priliku da se upoznaju sa zakonodavstvom EU-a;</w:t>
      </w:r>
    </w:p>
    <w:p w:rsidR="00BC6D78" w:rsidRPr="003A681C" w:rsidRDefault="00BC6D78" w:rsidP="00BC6D78">
      <w:pPr>
        <w:pStyle w:val="NormalHanging12a"/>
      </w:pPr>
      <w:r w:rsidRPr="003A681C">
        <w:t>51.</w:t>
      </w:r>
      <w:r w:rsidRPr="003A681C">
        <w:tab/>
        <w:t>napominje da prekogranična suradnja može dodatno doprinijeti smanjenju regionalnih razlika, promicanju gospodarskog i socijalnog razvoja, rodno osviještenoj politici, zapošljavanju, trgovini i teritorijalnoj koheziji te poboljšanju mobilnosti ljudi i povezanosti regija;</w:t>
      </w:r>
    </w:p>
    <w:p w:rsidR="00BC6D78" w:rsidRPr="003A681C" w:rsidRDefault="00BC6D78" w:rsidP="00BC6D78">
      <w:pPr>
        <w:pStyle w:val="NormalHanging12a"/>
      </w:pPr>
      <w:r w:rsidRPr="003A681C">
        <w:t>52.</w:t>
      </w:r>
      <w:r w:rsidRPr="003A681C">
        <w:tab/>
        <w:t>naglašava važnost prekogranične suradnje u području digitalizacije, posebno digitalizacije i ističe potrebu za zajedničkim projektima u području digitalne infrastrukture, posebno u području javnih usluga, kako bi se osigurao dosljedan i učinkovit javni sektor usmjeren na potrebe svih;</w:t>
      </w:r>
    </w:p>
    <w:p w:rsidR="00BC6D78" w:rsidRPr="003A681C" w:rsidRDefault="00BC6D78" w:rsidP="00BC6D78">
      <w:pPr>
        <w:pStyle w:val="NormalHanging12a"/>
        <w:rPr>
          <w:szCs w:val="24"/>
        </w:rPr>
      </w:pPr>
      <w:r w:rsidRPr="003A681C">
        <w:t>53.</w:t>
      </w:r>
      <w:r w:rsidRPr="003A681C">
        <w:tab/>
        <w:t xml:space="preserve">naglašava da bi EU i države članice trebali intenzivnije surađivati sa susjednim zemljama u području zdravstvene skrbi i hitnih službi te povećati kapacitet MSP-ova i </w:t>
      </w:r>
      <w:r w:rsidRPr="003A681C">
        <w:lastRenderedPageBreak/>
        <w:t>poduzeća srednje tržišne kapitalizacije za prekogranično djelovanje;</w:t>
      </w:r>
    </w:p>
    <w:p w:rsidR="00BC6D78" w:rsidRPr="003A681C" w:rsidRDefault="00BC6D78" w:rsidP="00BC6D78">
      <w:pPr>
        <w:pStyle w:val="NormalHanging12a"/>
      </w:pPr>
      <w:r w:rsidRPr="003A681C">
        <w:t>54.</w:t>
      </w:r>
      <w:r w:rsidRPr="003A681C">
        <w:tab/>
        <w:t>naglašava važnost umrežavanja i ocjenjivanja prema referentnim vrijednostima u uklanjanju prepreka koje utječu na prekograničnu suradnju i napominje da bi to trebalo omogućiti bolju upotrebu alata kao što je EGTS, Instrument integriranog teritorijalnog ulaganja i strategija lokalnog razvoja pod vodstvom zajednice;</w:t>
      </w:r>
    </w:p>
    <w:p w:rsidR="00BC6D78" w:rsidRPr="003A681C" w:rsidRDefault="00BC6D78" w:rsidP="00BC6D78">
      <w:pPr>
        <w:pStyle w:val="NormalHanging12a"/>
      </w:pPr>
      <w:r w:rsidRPr="003A681C">
        <w:t>55.</w:t>
      </w:r>
      <w:r w:rsidRPr="003A681C">
        <w:tab/>
        <w:t>naglašava ključnu ulogu koju ulaganja u visokokvalitetne javne usluge imaju u izgradnji socijalne otpornosti i rješavanju gospodarske, zdravstvene i socijalne krize;</w:t>
      </w:r>
    </w:p>
    <w:p w:rsidR="00BC6D78" w:rsidRPr="003A681C" w:rsidRDefault="00BC6D78" w:rsidP="00BC6D78">
      <w:pPr>
        <w:pStyle w:val="NormalHanging12a"/>
      </w:pPr>
      <w:r w:rsidRPr="003A681C">
        <w:t>56.</w:t>
      </w:r>
      <w:r w:rsidRPr="003A681C">
        <w:tab/>
        <w:t>pozdravlja trajnu predanost vlade Ujedinjene Kraljevine programu PEACE, koji ima ključnu ulogu u suradnji između pograničnih regija Irske i Sjeverne Irske;</w:t>
      </w:r>
    </w:p>
    <w:p w:rsidR="00BC6D78" w:rsidRPr="003A681C" w:rsidRDefault="00BC6D78" w:rsidP="00BC6D78">
      <w:pPr>
        <w:pStyle w:val="NormalHanging12a"/>
      </w:pPr>
      <w:r w:rsidRPr="003A681C">
        <w:t>57.</w:t>
      </w:r>
      <w:r w:rsidRPr="003A681C">
        <w:tab/>
        <w:t>ističe ključnu ulogu programa PEACE PLUS u održavanju dobrosusjedski odnosi u regijama i osigurava njihov društveno-gospodarski razvoj;</w:t>
      </w:r>
    </w:p>
    <w:p w:rsidR="00BC6D78" w:rsidRPr="003A681C" w:rsidRDefault="00BC6D78" w:rsidP="00BC6D78">
      <w:pPr>
        <w:pStyle w:val="NormalHanging12a"/>
        <w:rPr>
          <w:rFonts w:eastAsiaTheme="majorEastAsia"/>
          <w:b/>
          <w:bCs/>
          <w:i/>
          <w:kern w:val="32"/>
        </w:rPr>
      </w:pPr>
      <w:r w:rsidRPr="003A681C">
        <w:rPr>
          <w:b/>
          <w:i/>
        </w:rPr>
        <w:t>Preporuke politika</w:t>
      </w:r>
    </w:p>
    <w:p w:rsidR="00BC6D78" w:rsidRPr="003A681C" w:rsidRDefault="00BC6D78" w:rsidP="00BC6D78">
      <w:pPr>
        <w:pStyle w:val="NormalHanging12a"/>
      </w:pPr>
      <w:r w:rsidRPr="003A681C">
        <w:t>58.</w:t>
      </w:r>
      <w:r w:rsidRPr="003A681C">
        <w:tab/>
        <w:t>preporučuje povećavanje komplementarnosti projekata i naglašava potrebu za sinergijama s drugim alatima EU-a za financiranje koje se geografski i tematski preklapaju, kako bi se izbjeglo dvostruko financiranje; ističe da je tijekom programskog razdoblja 2021. – 2027. ciljanim programima potrebno jasno utvrditi zahtjeve i prioritete koji su zajednički regijama duž vanjskih granica EU-a te da se dopunjuju druge inicijative koje financira EU, a ne da se preklapaju;</w:t>
      </w:r>
    </w:p>
    <w:p w:rsidR="00BC6D78" w:rsidRPr="003A681C" w:rsidRDefault="00BC6D78" w:rsidP="00BC6D78">
      <w:pPr>
        <w:pStyle w:val="NormalHanging12a"/>
      </w:pPr>
      <w:r w:rsidRPr="003A681C">
        <w:t>59.</w:t>
      </w:r>
      <w:r w:rsidRPr="003A681C">
        <w:tab/>
        <w:t xml:space="preserve">smatra da treba dodatno ojačati ulogu </w:t>
      </w:r>
      <w:proofErr w:type="spellStart"/>
      <w:r w:rsidRPr="003A681C">
        <w:t>makroregionalnih</w:t>
      </w:r>
      <w:proofErr w:type="spellEnd"/>
      <w:r w:rsidRPr="003A681C">
        <w:t xml:space="preserve"> strategija EU-a u rješavanju izazova povezanih s pograničnim regijama;</w:t>
      </w:r>
    </w:p>
    <w:p w:rsidR="00BC6D78" w:rsidRPr="003A681C" w:rsidRDefault="00BC6D78" w:rsidP="00BC6D78">
      <w:pPr>
        <w:pStyle w:val="NormalHanging12a"/>
        <w:rPr>
          <w:szCs w:val="24"/>
        </w:rPr>
      </w:pPr>
      <w:r w:rsidRPr="003A681C">
        <w:t>60.</w:t>
      </w:r>
      <w:r w:rsidRPr="003A681C">
        <w:tab/>
        <w:t xml:space="preserve">preporučuje da se u području prekograničnog upravljanja razvije potpuno integrirana infrastrukturna strategija (cestovna, željeznička, vodna), uzimajući u obzir prekograničnu regiju u cjelini; naglašava važnost razvoja održivijih rješenja za mobilnost u prekograničnim područjima, među ostalim u okviru politike TEN-T-a; poziva Komisiju i države članice da promiču pametnu mobilnost; </w:t>
      </w:r>
    </w:p>
    <w:p w:rsidR="00BC6D78" w:rsidRPr="003A681C" w:rsidRDefault="00BC6D78" w:rsidP="00BC6D78">
      <w:pPr>
        <w:pStyle w:val="NormalHanging12a"/>
      </w:pPr>
      <w:r w:rsidRPr="003A681C">
        <w:t>61.</w:t>
      </w:r>
      <w:r w:rsidRPr="003A681C">
        <w:tab/>
        <w:t>preporučuje promicanje financijskih instrumenata EU-a s dodanom društvenom i gospodarskom vrijednošću kako bi se podigla razina osviještenosti o prednostima EU-a;</w:t>
      </w:r>
    </w:p>
    <w:p w:rsidR="00BC6D78" w:rsidRPr="003A681C" w:rsidRDefault="00BC6D78" w:rsidP="00BC6D78">
      <w:pPr>
        <w:pStyle w:val="NormalHanging12a"/>
      </w:pPr>
      <w:r w:rsidRPr="003A681C">
        <w:t>62.</w:t>
      </w:r>
      <w:r w:rsidRPr="003A681C">
        <w:tab/>
        <w:t>poziva Komisiju da smanji birokratsko opterećenje, znatno pojednostavi postupke i smanji prepreke povezane s različitim zakonodavstvom; ustraje u tome da bi to trebalo omogućiti zadovoljavanje stvarnih potreba prekograničnih područja; naglašava da je za održiv i uključiv razvoj potrebno djelovanje na svim razinama; izričito prepoznaje važnost posvećivanja pozornosti ruralnim područjima u prekograničnim regijama jer su ona posebno pogođena demografskim izazovima;</w:t>
      </w:r>
    </w:p>
    <w:p w:rsidR="00BC6D78" w:rsidRPr="003A681C" w:rsidRDefault="00BC6D78" w:rsidP="00BC6D78">
      <w:pPr>
        <w:pStyle w:val="NormalHanging12a"/>
      </w:pPr>
      <w:r w:rsidRPr="003A681C">
        <w:t>63.</w:t>
      </w:r>
      <w:r w:rsidRPr="003A681C">
        <w:tab/>
        <w:t>poziva na bolju koordinaciju, dijalog i daljnju razmjenu najboljih praksi među regijama i državama, primjerice putem platforme kao što je INTERREG Europe; potiče Komisiju i države članice da poboljšaju suradnju u tom pogledu i poziva države članice da lokalnim i regionalnim vlastima osiguraju alate i resurse koji su im potrebni za poticanje ambiciozne prekogranične suradnje; navodi da bi javne obrazovne i kulturne usluge trebale biti otvorene, dostupne i cjenovno pristupačne građanima s obje strane granica;</w:t>
      </w:r>
    </w:p>
    <w:p w:rsidR="00BC6D78" w:rsidRPr="003A681C" w:rsidRDefault="00BC6D78" w:rsidP="00BC6D78">
      <w:pPr>
        <w:pStyle w:val="NormalHanging12a"/>
      </w:pPr>
      <w:r w:rsidRPr="003A681C">
        <w:t>64.</w:t>
      </w:r>
      <w:r w:rsidRPr="003A681C">
        <w:tab/>
        <w:t xml:space="preserve">naglašava da bi, u skladu s načelom partnerstva, regionalne i lokalne vlasti te </w:t>
      </w:r>
      <w:r w:rsidRPr="003A681C">
        <w:lastRenderedPageBreak/>
        <w:t>predstavnici civilnog društva i privatnog sektora trebali, u najvećoj mogućoj mjeri, biti uključeni u pripremu i provedbu projekata od samog početka; poziva Komisiju da razmotri pružanje tehničke potpore lokalnim i regionalnim vlastima u susjednim zemljama kako bi im se pomoglo u razvoju i provedbi projekata teritorijalne suradnje; nadalje poziva na izradu smjernica u tom pogledu;</w:t>
      </w:r>
    </w:p>
    <w:p w:rsidR="00BC6D78" w:rsidRPr="003A681C" w:rsidRDefault="00BC6D78" w:rsidP="00BC6D78">
      <w:pPr>
        <w:pStyle w:val="NormalHanging12a"/>
      </w:pPr>
      <w:r w:rsidRPr="003A681C">
        <w:t>65.</w:t>
      </w:r>
      <w:r w:rsidRPr="003A681C">
        <w:tab/>
        <w:t>poziva Komisiju da nastavi uključivati ciljeve održivog razvoja u buduće akcijske planove prekogranične suradnje kako nijedno područje i nijedna osoba ne bi bili zapostavljeni;</w:t>
      </w:r>
    </w:p>
    <w:p w:rsidR="00BC6D78" w:rsidRPr="003A681C" w:rsidRDefault="00BC6D78" w:rsidP="00BC6D78">
      <w:pPr>
        <w:pStyle w:val="NormalHanging12a"/>
      </w:pPr>
      <w:r w:rsidRPr="003A681C">
        <w:t>66.</w:t>
      </w:r>
      <w:r w:rsidRPr="003A681C">
        <w:tab/>
        <w:t>poziva Komisiju da nastavi suradnju s partnerskim državama u promicanju prekogranične suradnje, pružajući, prema potrebi, znanje i iskustvo kako bi se tijelima partnerskih država i poboljšala kvaliteta informacija u pogledu postupaka i uvjeta za pristup financijskim sredstvima EU-a koje im se pružaju;</w:t>
      </w:r>
    </w:p>
    <w:p w:rsidR="00BC6D78" w:rsidRPr="003A681C" w:rsidRDefault="00BC6D78" w:rsidP="00BC6D78">
      <w:pPr>
        <w:pStyle w:val="NormalHanging12a"/>
      </w:pPr>
      <w:r w:rsidRPr="003A681C">
        <w:t>67.</w:t>
      </w:r>
      <w:r w:rsidRPr="003A681C">
        <w:tab/>
        <w:t>poziva na povećanje ukupnog proračuna za prekograničnu teritorijalnu suradnju;</w:t>
      </w:r>
    </w:p>
    <w:p w:rsidR="00BC6D78" w:rsidRPr="003A681C" w:rsidRDefault="00BC6D78" w:rsidP="00BC6D78">
      <w:pPr>
        <w:pStyle w:val="NormalHanging12a"/>
      </w:pPr>
      <w:r w:rsidRPr="003A681C">
        <w:t>68.</w:t>
      </w:r>
      <w:r w:rsidRPr="003A681C">
        <w:tab/>
        <w:t xml:space="preserve">smatra da bi stvaranje zajedničkih prekograničnih vijeća lokalne uprave, kao što je ono osnovano između Rumunjske i </w:t>
      </w:r>
      <w:proofErr w:type="spellStart"/>
      <w:r w:rsidRPr="003A681C">
        <w:t>Moldove</w:t>
      </w:r>
      <w:proofErr w:type="spellEnd"/>
      <w:r w:rsidRPr="003A681C">
        <w:t xml:space="preserve"> radi pomoći u razvoju zajedničkih projekata od zajedničkog interesa, moglo biti primjer koji treba slijediti;</w:t>
      </w:r>
    </w:p>
    <w:p w:rsidR="00BC6D78" w:rsidRPr="003A681C" w:rsidRDefault="00BC6D78" w:rsidP="00BC6D78">
      <w:pPr>
        <w:pStyle w:val="NormalHanging12a"/>
      </w:pPr>
      <w:r w:rsidRPr="003A681C">
        <w:t>69.</w:t>
      </w:r>
      <w:r w:rsidRPr="003A681C">
        <w:tab/>
        <w:t xml:space="preserve">potiče napore za približavanje partnerskih zemalja EU-u, poticanje unutarnjih reformi i izgradnje kapaciteta na lokalnoj i regionalnoj razini te promicanje lokalne demokracije, višerazinskog upravljanja i decentralizirane suradnje, među ostalim suradnjom unutar </w:t>
      </w:r>
      <w:proofErr w:type="spellStart"/>
      <w:r w:rsidRPr="003A681C">
        <w:t>EuroNesta</w:t>
      </w:r>
      <w:proofErr w:type="spellEnd"/>
      <w:r w:rsidRPr="003A681C">
        <w:t xml:space="preserve"> i Konferencije lokalnih i regionalnih vlasti za Istočno partnerstvo (CORLEAP) za istočno susjedstvo, </w:t>
      </w:r>
      <w:proofErr w:type="spellStart"/>
      <w:r w:rsidRPr="003A681C">
        <w:t>Euromediteransku</w:t>
      </w:r>
      <w:proofErr w:type="spellEnd"/>
      <w:r w:rsidRPr="003A681C">
        <w:t xml:space="preserve"> skupštinu lokalnih i regionalnih vlasti (ARLEM) i Parlamentarnu skupštinu Unije za Mediteran (PA-</w:t>
      </w:r>
      <w:proofErr w:type="spellStart"/>
      <w:r w:rsidRPr="003A681C">
        <w:t>UfM</w:t>
      </w:r>
      <w:proofErr w:type="spellEnd"/>
      <w:r w:rsidRPr="003A681C">
        <w:t>) za južno susjedstvo;</w:t>
      </w:r>
    </w:p>
    <w:p w:rsidR="00BC6D78" w:rsidRPr="003A681C" w:rsidRDefault="00BC6D78" w:rsidP="00BC6D78">
      <w:pPr>
        <w:pStyle w:val="NormalHanging12a"/>
      </w:pPr>
      <w:r w:rsidRPr="003A681C">
        <w:t>70.</w:t>
      </w:r>
      <w:r w:rsidRPr="003A681C">
        <w:tab/>
        <w:t>naglašava da je potrebno pojačati napore i dodijeliti više sredstava za prekogranične projekte usmjerene na razvoj informatičke infrastrukture i širenje pristupa širokopojasnim mrežama kako bi se podržala gospodarska i socijalna suradnja među prekograničnim regijama; ističe ključnu ulogu koju tehnologija i inovacije koje donosi umjetna inteligencija mogu imati u jačanju veza, promicanju održivog razvoja te poboljšanju i pojednostavljenju administrativnih postupaka;</w:t>
      </w:r>
    </w:p>
    <w:p w:rsidR="00BC6D78" w:rsidRPr="003A681C" w:rsidRDefault="00BC6D78" w:rsidP="00BC6D78">
      <w:pPr>
        <w:pStyle w:val="NormalHanging12a"/>
      </w:pPr>
      <w:r w:rsidRPr="003A681C">
        <w:t>71.</w:t>
      </w:r>
      <w:r w:rsidRPr="003A681C">
        <w:tab/>
        <w:t>naglašava važnost utvrđivanja i izbjegavanja preklapanja projekata i nepotrebnih rashoda među različitim europskim programima i inicijativama;</w:t>
      </w:r>
    </w:p>
    <w:p w:rsidR="00BC6D78" w:rsidRPr="003A681C" w:rsidRDefault="00BC6D78" w:rsidP="00BC6D78">
      <w:pPr>
        <w:pStyle w:val="NormalHanging12a"/>
        <w:rPr>
          <w:szCs w:val="24"/>
        </w:rPr>
      </w:pPr>
      <w:r w:rsidRPr="003A681C">
        <w:t>72.</w:t>
      </w:r>
      <w:r w:rsidRPr="003A681C">
        <w:tab/>
        <w:t>preporučuje provođenje periodičnih evaluacija projekata prekogranične suradnje kako bi se osigurala učinkovita upotreba financijskih sredstava EU-a;</w:t>
      </w:r>
    </w:p>
    <w:p w:rsidR="00BC6D78" w:rsidRPr="003A681C" w:rsidRDefault="00BC6D78" w:rsidP="00BC6D78">
      <w:pPr>
        <w:pStyle w:val="NormalHanging12a"/>
        <w:jc w:val="center"/>
        <w:rPr>
          <w:rFonts w:ascii="Calibri" w:hAnsi="Calibri" w:cs="Calibri"/>
          <w:sz w:val="27"/>
          <w:szCs w:val="27"/>
        </w:rPr>
      </w:pPr>
      <w:r w:rsidRPr="003A681C">
        <w:rPr>
          <w:rFonts w:ascii="Calibri" w:hAnsi="Calibri"/>
          <w:sz w:val="27"/>
        </w:rPr>
        <w:t>°</w:t>
      </w:r>
    </w:p>
    <w:p w:rsidR="00BC6D78" w:rsidRPr="003A681C" w:rsidRDefault="00BC6D78" w:rsidP="00BC6D78">
      <w:pPr>
        <w:pStyle w:val="NormalHanging12a"/>
        <w:jc w:val="center"/>
        <w:rPr>
          <w:szCs w:val="24"/>
        </w:rPr>
      </w:pPr>
      <w:r w:rsidRPr="003A681C">
        <w:rPr>
          <w:rFonts w:ascii="Calibri" w:hAnsi="Calibri"/>
          <w:sz w:val="27"/>
        </w:rPr>
        <w:t>°</w:t>
      </w:r>
      <w:r w:rsidRPr="003A681C">
        <w:rPr>
          <w:rFonts w:ascii="Calibri" w:hAnsi="Calibri"/>
          <w:sz w:val="27"/>
        </w:rPr>
        <w:tab/>
        <w:t>°</w:t>
      </w:r>
    </w:p>
    <w:p w:rsidR="00BC6D78" w:rsidRPr="003A681C" w:rsidRDefault="00BC6D78" w:rsidP="00BC6D78">
      <w:pPr>
        <w:pStyle w:val="NormalHanging12a"/>
      </w:pPr>
      <w:r w:rsidRPr="003A681C">
        <w:t>73.</w:t>
      </w:r>
      <w:r w:rsidRPr="003A681C">
        <w:tab/>
        <w:t>nalaže svojoj predsjednici da ovu Rezoluciju proslijedi Europskom vijeću, Vijeću, Komisiji, Europskom gospodarskom i socijalnom odboru, Odboru regija te nacionalnim i regionalnim parlamentima država članica.</w:t>
      </w:r>
    </w:p>
    <w:p w:rsidR="00BC6D78" w:rsidRPr="003A681C" w:rsidRDefault="00BC6D78" w:rsidP="00BC6D78"/>
    <w:sectPr w:rsidR="00BC6D78" w:rsidRPr="003A681C" w:rsidSect="001448B1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Page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A51D1" w:rsidRPr="001448B1" w:rsidRDefault="005A51D1">
      <w:r w:rsidRPr="001448B1">
        <w:separator/>
      </w:r>
    </w:p>
  </w:endnote>
  <w:endnote w:type="continuationSeparator" w:id="0">
    <w:p w:rsidR="005A51D1" w:rsidRPr="001448B1" w:rsidRDefault="005A51D1">
      <w:r w:rsidRPr="001448B1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DengXian Light">
    <w:altName w:val="等线 Light"/>
    <w:panose1 w:val="00000000000000000000"/>
    <w:charset w:val="86"/>
    <w:family w:val="roman"/>
    <w:notTrueType/>
    <w:pitch w:val="default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1448B1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1448B1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1448B1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A51D1" w:rsidRPr="001448B1" w:rsidRDefault="005A51D1">
      <w:r w:rsidRPr="001448B1">
        <w:separator/>
      </w:r>
    </w:p>
  </w:footnote>
  <w:footnote w:type="continuationSeparator" w:id="0">
    <w:p w:rsidR="005A51D1" w:rsidRPr="001448B1" w:rsidRDefault="005A51D1">
      <w:r w:rsidRPr="001448B1">
        <w:continuationSeparator/>
      </w:r>
    </w:p>
  </w:footnote>
  <w:footnote w:id="1">
    <w:p w:rsidR="00BC6D78" w:rsidRPr="001448B1" w:rsidRDefault="00BC6D78" w:rsidP="001448B1">
      <w:pPr>
        <w:pStyle w:val="FootnoteText"/>
        <w:ind w:left="567" w:hanging="567"/>
        <w:rPr>
          <w:sz w:val="24"/>
          <w:lang w:val="hr-HR"/>
        </w:rPr>
      </w:pPr>
      <w:r w:rsidRPr="001448B1">
        <w:rPr>
          <w:rStyle w:val="FootnoteReference"/>
          <w:sz w:val="24"/>
          <w:lang w:val="hr-HR"/>
        </w:rPr>
        <w:footnoteRef/>
      </w:r>
      <w:r w:rsidR="001448B1" w:rsidRPr="001448B1">
        <w:rPr>
          <w:sz w:val="24"/>
          <w:lang w:val="hr-HR"/>
        </w:rPr>
        <w:t xml:space="preserve"> </w:t>
      </w:r>
      <w:r w:rsidR="001448B1" w:rsidRPr="001448B1">
        <w:rPr>
          <w:sz w:val="24"/>
          <w:lang w:val="hr-HR"/>
        </w:rPr>
        <w:tab/>
      </w:r>
      <w:r w:rsidRPr="001448B1">
        <w:rPr>
          <w:sz w:val="24"/>
          <w:lang w:val="hr-HR"/>
        </w:rPr>
        <w:t>SL L 231, 30.6.2021., str. 159.</w:t>
      </w:r>
    </w:p>
  </w:footnote>
  <w:footnote w:id="2">
    <w:p w:rsidR="00BC6D78" w:rsidRPr="001448B1" w:rsidRDefault="00BC6D78" w:rsidP="001448B1">
      <w:pPr>
        <w:pStyle w:val="FootnoteText"/>
        <w:ind w:left="567" w:hanging="567"/>
        <w:rPr>
          <w:sz w:val="24"/>
          <w:lang w:val="hr-HR"/>
        </w:rPr>
      </w:pPr>
      <w:r w:rsidRPr="001448B1">
        <w:rPr>
          <w:rStyle w:val="FootnoteReference"/>
          <w:sz w:val="24"/>
          <w:lang w:val="hr-HR"/>
        </w:rPr>
        <w:footnoteRef/>
      </w:r>
      <w:r w:rsidR="001448B1" w:rsidRPr="001448B1">
        <w:rPr>
          <w:sz w:val="24"/>
          <w:lang w:val="hr-HR"/>
        </w:rPr>
        <w:t xml:space="preserve"> </w:t>
      </w:r>
      <w:r w:rsidR="001448B1" w:rsidRPr="001448B1">
        <w:rPr>
          <w:sz w:val="24"/>
          <w:lang w:val="hr-HR"/>
        </w:rPr>
        <w:tab/>
      </w:r>
      <w:r w:rsidRPr="001448B1">
        <w:rPr>
          <w:sz w:val="24"/>
          <w:lang w:val="hr-HR"/>
        </w:rPr>
        <w:t>SL L 231, 30.6.2021., str. 60.</w:t>
      </w:r>
    </w:p>
  </w:footnote>
  <w:footnote w:id="3">
    <w:p w:rsidR="00BC6D78" w:rsidRPr="001448B1" w:rsidRDefault="00BC6D78" w:rsidP="001448B1">
      <w:pPr>
        <w:pStyle w:val="FootnoteText"/>
        <w:ind w:left="567" w:hanging="567"/>
        <w:rPr>
          <w:sz w:val="24"/>
          <w:lang w:val="hr-HR"/>
        </w:rPr>
      </w:pPr>
      <w:r w:rsidRPr="001448B1">
        <w:rPr>
          <w:rStyle w:val="FootnoteReference"/>
          <w:sz w:val="24"/>
          <w:lang w:val="hr-HR"/>
        </w:rPr>
        <w:footnoteRef/>
      </w:r>
      <w:r w:rsidR="001448B1" w:rsidRPr="001448B1">
        <w:rPr>
          <w:sz w:val="24"/>
          <w:lang w:val="hr-HR"/>
        </w:rPr>
        <w:t xml:space="preserve"> </w:t>
      </w:r>
      <w:r w:rsidR="001448B1" w:rsidRPr="001448B1">
        <w:rPr>
          <w:sz w:val="24"/>
          <w:lang w:val="hr-HR"/>
        </w:rPr>
        <w:tab/>
      </w:r>
      <w:r w:rsidRPr="001448B1">
        <w:rPr>
          <w:sz w:val="24"/>
          <w:lang w:val="hr-HR"/>
        </w:rPr>
        <w:t>SL L 231, 30.6.2021., str. 94.</w:t>
      </w:r>
    </w:p>
  </w:footnote>
  <w:footnote w:id="4">
    <w:p w:rsidR="00BC6D78" w:rsidRPr="001448B1" w:rsidRDefault="00BC6D78" w:rsidP="001448B1">
      <w:pPr>
        <w:pStyle w:val="FootnoteText"/>
        <w:ind w:left="567" w:hanging="567"/>
        <w:rPr>
          <w:sz w:val="24"/>
          <w:lang w:val="hr-HR"/>
        </w:rPr>
      </w:pPr>
      <w:r w:rsidRPr="001448B1">
        <w:rPr>
          <w:rStyle w:val="FootnoteReference"/>
          <w:sz w:val="24"/>
          <w:lang w:val="hr-HR"/>
        </w:rPr>
        <w:footnoteRef/>
      </w:r>
      <w:r w:rsidR="001448B1" w:rsidRPr="001448B1">
        <w:rPr>
          <w:sz w:val="24"/>
          <w:lang w:val="hr-HR"/>
        </w:rPr>
        <w:t xml:space="preserve"> </w:t>
      </w:r>
      <w:r w:rsidR="001448B1" w:rsidRPr="001448B1">
        <w:rPr>
          <w:sz w:val="24"/>
          <w:lang w:val="hr-HR"/>
        </w:rPr>
        <w:tab/>
      </w:r>
      <w:r w:rsidR="00130EEA">
        <w:rPr>
          <w:sz w:val="24"/>
          <w:lang w:val="hr-HR"/>
        </w:rPr>
        <w:t>SL L 109, 8.4.2022</w:t>
      </w:r>
      <w:r w:rsidRPr="001448B1">
        <w:rPr>
          <w:sz w:val="24"/>
          <w:lang w:val="hr-HR"/>
        </w:rPr>
        <w:t>., str. 1.</w:t>
      </w:r>
    </w:p>
  </w:footnote>
  <w:footnote w:id="5">
    <w:p w:rsidR="00BC6D78" w:rsidRPr="001448B1" w:rsidRDefault="00BC6D78" w:rsidP="001448B1">
      <w:pPr>
        <w:pStyle w:val="FootnoteText"/>
        <w:ind w:left="567" w:hanging="567"/>
        <w:rPr>
          <w:sz w:val="24"/>
          <w:lang w:val="hr-HR"/>
        </w:rPr>
      </w:pPr>
      <w:r w:rsidRPr="001448B1">
        <w:rPr>
          <w:rStyle w:val="FootnoteReference"/>
          <w:sz w:val="24"/>
          <w:lang w:val="hr-HR"/>
        </w:rPr>
        <w:footnoteRef/>
      </w:r>
      <w:r w:rsidR="001448B1" w:rsidRPr="001448B1">
        <w:rPr>
          <w:sz w:val="24"/>
          <w:lang w:val="hr-HR"/>
        </w:rPr>
        <w:t xml:space="preserve"> </w:t>
      </w:r>
      <w:r w:rsidR="001448B1" w:rsidRPr="001448B1">
        <w:rPr>
          <w:sz w:val="24"/>
          <w:lang w:val="hr-HR"/>
        </w:rPr>
        <w:tab/>
      </w:r>
      <w:r w:rsidRPr="001448B1">
        <w:rPr>
          <w:sz w:val="24"/>
          <w:lang w:val="hr-HR"/>
        </w:rPr>
        <w:t>SL L 210, 31.7.2006., str. 19.</w:t>
      </w:r>
    </w:p>
  </w:footnote>
  <w:footnote w:id="6">
    <w:p w:rsidR="00BC6D78" w:rsidRPr="001448B1" w:rsidRDefault="00BC6D78" w:rsidP="001448B1">
      <w:pPr>
        <w:pStyle w:val="FootnoteText"/>
        <w:ind w:left="567" w:hanging="567"/>
        <w:rPr>
          <w:sz w:val="24"/>
          <w:lang w:val="hr-HR"/>
        </w:rPr>
      </w:pPr>
      <w:r w:rsidRPr="001448B1">
        <w:rPr>
          <w:rStyle w:val="FootnoteReference"/>
          <w:sz w:val="24"/>
          <w:lang w:val="hr-HR"/>
        </w:rPr>
        <w:footnoteRef/>
      </w:r>
      <w:r w:rsidR="001448B1" w:rsidRPr="001448B1">
        <w:rPr>
          <w:sz w:val="24"/>
          <w:lang w:val="hr-HR"/>
        </w:rPr>
        <w:t xml:space="preserve"> </w:t>
      </w:r>
      <w:r w:rsidR="001448B1" w:rsidRPr="001448B1">
        <w:rPr>
          <w:sz w:val="24"/>
          <w:lang w:val="hr-HR"/>
        </w:rPr>
        <w:tab/>
      </w:r>
      <w:r w:rsidRPr="001448B1">
        <w:rPr>
          <w:sz w:val="24"/>
          <w:lang w:val="hr-HR"/>
        </w:rPr>
        <w:t>SL C 111</w:t>
      </w:r>
      <w:r w:rsidR="00130EEA">
        <w:rPr>
          <w:sz w:val="24"/>
          <w:lang w:val="hr-HR"/>
        </w:rPr>
        <w:t xml:space="preserve"> I</w:t>
      </w:r>
      <w:r w:rsidRPr="001448B1">
        <w:rPr>
          <w:sz w:val="24"/>
          <w:lang w:val="hr-HR"/>
        </w:rPr>
        <w:t>, 3.4.2020., str. 1.</w:t>
      </w:r>
    </w:p>
  </w:footnote>
  <w:footnote w:id="7">
    <w:p w:rsidR="00BC6D78" w:rsidRPr="001448B1" w:rsidRDefault="00BC6D78" w:rsidP="001448B1">
      <w:pPr>
        <w:pStyle w:val="FootnoteText"/>
        <w:ind w:left="567" w:hanging="567"/>
        <w:rPr>
          <w:sz w:val="24"/>
          <w:lang w:val="hr-HR"/>
        </w:rPr>
      </w:pPr>
      <w:r w:rsidRPr="001448B1">
        <w:rPr>
          <w:rStyle w:val="FootnoteReference"/>
          <w:sz w:val="24"/>
          <w:lang w:val="hr-HR"/>
        </w:rPr>
        <w:footnoteRef/>
      </w:r>
      <w:r w:rsidR="001448B1" w:rsidRPr="001448B1">
        <w:rPr>
          <w:sz w:val="24"/>
          <w:lang w:val="hr-HR"/>
        </w:rPr>
        <w:t xml:space="preserve"> </w:t>
      </w:r>
      <w:r w:rsidR="001448B1" w:rsidRPr="001448B1">
        <w:rPr>
          <w:sz w:val="24"/>
          <w:lang w:val="hr-HR"/>
        </w:rPr>
        <w:tab/>
      </w:r>
      <w:r w:rsidRPr="001448B1">
        <w:rPr>
          <w:sz w:val="24"/>
          <w:lang w:val="hr-HR"/>
        </w:rPr>
        <w:t>SL C 125, 5.4.2023., str. 100.</w:t>
      </w:r>
    </w:p>
  </w:footnote>
  <w:footnote w:id="8">
    <w:p w:rsidR="00BC6D78" w:rsidRPr="001448B1" w:rsidRDefault="00BC6D78" w:rsidP="001448B1">
      <w:pPr>
        <w:pStyle w:val="FootnoteText"/>
        <w:ind w:left="567" w:hanging="567"/>
        <w:rPr>
          <w:sz w:val="24"/>
          <w:lang w:val="hr-HR"/>
        </w:rPr>
      </w:pPr>
      <w:r w:rsidRPr="001448B1">
        <w:rPr>
          <w:rStyle w:val="FootnoteReference"/>
          <w:sz w:val="24"/>
          <w:lang w:val="hr-HR"/>
        </w:rPr>
        <w:footnoteRef/>
      </w:r>
      <w:r w:rsidR="001448B1" w:rsidRPr="001448B1">
        <w:rPr>
          <w:sz w:val="24"/>
          <w:lang w:val="hr-HR"/>
        </w:rPr>
        <w:t xml:space="preserve"> </w:t>
      </w:r>
      <w:r w:rsidR="001448B1" w:rsidRPr="001448B1">
        <w:rPr>
          <w:sz w:val="24"/>
          <w:lang w:val="hr-HR"/>
        </w:rPr>
        <w:tab/>
      </w:r>
      <w:r w:rsidRPr="001448B1">
        <w:rPr>
          <w:sz w:val="24"/>
          <w:lang w:val="hr-HR"/>
        </w:rPr>
        <w:t>Usvojeni tekstovi, P9_TA(2023)0133.</w:t>
      </w:r>
    </w:p>
  </w:footnote>
  <w:footnote w:id="9">
    <w:p w:rsidR="00BC6D78" w:rsidRPr="001448B1" w:rsidRDefault="00BC6D78" w:rsidP="001448B1">
      <w:pPr>
        <w:pStyle w:val="FootnoteText"/>
        <w:ind w:left="567" w:hanging="567"/>
        <w:rPr>
          <w:sz w:val="24"/>
          <w:lang w:val="hr-HR"/>
        </w:rPr>
      </w:pPr>
      <w:r w:rsidRPr="001448B1">
        <w:rPr>
          <w:rStyle w:val="FootnoteReference"/>
          <w:sz w:val="24"/>
          <w:lang w:val="hr-HR"/>
        </w:rPr>
        <w:footnoteRef/>
      </w:r>
      <w:r w:rsidR="001448B1" w:rsidRPr="001448B1">
        <w:rPr>
          <w:sz w:val="24"/>
          <w:lang w:val="hr-HR"/>
        </w:rPr>
        <w:t xml:space="preserve"> </w:t>
      </w:r>
      <w:r w:rsidR="001448B1" w:rsidRPr="001448B1">
        <w:rPr>
          <w:sz w:val="24"/>
          <w:lang w:val="hr-HR"/>
        </w:rPr>
        <w:tab/>
      </w:r>
      <w:r w:rsidRPr="001448B1">
        <w:rPr>
          <w:sz w:val="24"/>
          <w:lang w:val="hr-HR"/>
        </w:rPr>
        <w:t>SL C 162, 10.5.2019., str. 24.</w:t>
      </w:r>
    </w:p>
  </w:footnote>
  <w:footnote w:id="10">
    <w:p w:rsidR="00BC6D78" w:rsidRPr="001448B1" w:rsidRDefault="00BC6D78" w:rsidP="001448B1">
      <w:pPr>
        <w:pStyle w:val="FootnoteText"/>
        <w:ind w:left="567" w:hanging="567"/>
        <w:rPr>
          <w:sz w:val="24"/>
          <w:lang w:val="hr-HR"/>
        </w:rPr>
      </w:pPr>
      <w:r w:rsidRPr="001448B1">
        <w:rPr>
          <w:rStyle w:val="FootnoteReference"/>
          <w:sz w:val="24"/>
          <w:lang w:val="hr-HR"/>
        </w:rPr>
        <w:footnoteRef/>
      </w:r>
      <w:r w:rsidR="001448B1" w:rsidRPr="001448B1">
        <w:rPr>
          <w:sz w:val="24"/>
          <w:lang w:val="hr-HR"/>
        </w:rPr>
        <w:t xml:space="preserve"> </w:t>
      </w:r>
      <w:r w:rsidR="001448B1" w:rsidRPr="001448B1">
        <w:rPr>
          <w:sz w:val="24"/>
          <w:lang w:val="hr-HR"/>
        </w:rPr>
        <w:tab/>
      </w:r>
      <w:r w:rsidRPr="001448B1">
        <w:rPr>
          <w:sz w:val="24"/>
          <w:lang w:val="hr-HR"/>
        </w:rPr>
        <w:t>Studija – Europske regije koje zaostaju: trenutačno stanje i budući izazovi, Europski parlament, Glavna uprava za usluge parlamentarnih istraživanja, rujan 2020.</w:t>
      </w:r>
    </w:p>
  </w:footnote>
  <w:footnote w:id="11">
    <w:p w:rsidR="00BC6D78" w:rsidRPr="001448B1" w:rsidRDefault="00BC6D78" w:rsidP="001448B1">
      <w:pPr>
        <w:pStyle w:val="FootnoteText"/>
        <w:ind w:left="567" w:hanging="567"/>
        <w:rPr>
          <w:sz w:val="24"/>
          <w:lang w:val="hr-HR"/>
        </w:rPr>
      </w:pPr>
      <w:r w:rsidRPr="001448B1">
        <w:rPr>
          <w:rStyle w:val="FootnoteReference"/>
          <w:sz w:val="24"/>
          <w:lang w:val="hr-HR"/>
        </w:rPr>
        <w:footnoteRef/>
      </w:r>
      <w:r w:rsidR="001448B1" w:rsidRPr="001448B1">
        <w:rPr>
          <w:sz w:val="24"/>
          <w:lang w:val="hr-HR"/>
        </w:rPr>
        <w:t xml:space="preserve"> </w:t>
      </w:r>
      <w:r w:rsidR="001448B1" w:rsidRPr="001448B1">
        <w:rPr>
          <w:sz w:val="24"/>
          <w:lang w:val="hr-HR"/>
        </w:rPr>
        <w:tab/>
      </w:r>
      <w:r w:rsidRPr="001448B1">
        <w:rPr>
          <w:sz w:val="24"/>
          <w:lang w:val="hr-HR"/>
        </w:rPr>
        <w:t>SL C 433, 23.12.2019., str. 24.</w:t>
      </w:r>
    </w:p>
  </w:footnote>
  <w:footnote w:id="12">
    <w:p w:rsidR="00BC6D78" w:rsidRPr="001448B1" w:rsidRDefault="00BC6D78" w:rsidP="001448B1">
      <w:pPr>
        <w:pStyle w:val="FootnoteText"/>
        <w:ind w:left="567" w:hanging="567"/>
        <w:rPr>
          <w:sz w:val="24"/>
          <w:lang w:val="hr-HR"/>
        </w:rPr>
      </w:pPr>
      <w:r w:rsidRPr="001448B1">
        <w:rPr>
          <w:rStyle w:val="FootnoteReference"/>
          <w:sz w:val="24"/>
          <w:lang w:val="hr-HR"/>
        </w:rPr>
        <w:footnoteRef/>
      </w:r>
      <w:r w:rsidR="001448B1" w:rsidRPr="001448B1">
        <w:rPr>
          <w:sz w:val="24"/>
          <w:lang w:val="hr-HR"/>
        </w:rPr>
        <w:t xml:space="preserve"> </w:t>
      </w:r>
      <w:r w:rsidR="001448B1" w:rsidRPr="001448B1">
        <w:rPr>
          <w:sz w:val="24"/>
          <w:lang w:val="hr-HR"/>
        </w:rPr>
        <w:tab/>
      </w:r>
      <w:r w:rsidRPr="001448B1">
        <w:rPr>
          <w:sz w:val="24"/>
          <w:lang w:val="hr-HR"/>
        </w:rPr>
        <w:t>Međuvladin panel o klimatskim promjenama, Klimatske promjene 2022.: Ublažavanje klimatskih promjena. Doprinos radne skupine III. Šestom izvješću o procjeni Međuvladinog panela o klimatskim promjenama (</w:t>
      </w:r>
      <w:proofErr w:type="spellStart"/>
      <w:r w:rsidRPr="001448B1">
        <w:rPr>
          <w:sz w:val="24"/>
          <w:lang w:val="hr-HR"/>
        </w:rPr>
        <w:t>Shukla</w:t>
      </w:r>
      <w:proofErr w:type="spellEnd"/>
      <w:r w:rsidRPr="001448B1">
        <w:rPr>
          <w:sz w:val="24"/>
          <w:lang w:val="hr-HR"/>
        </w:rPr>
        <w:t xml:space="preserve">, P.R. i dr., </w:t>
      </w:r>
      <w:proofErr w:type="spellStart"/>
      <w:r w:rsidRPr="001448B1">
        <w:rPr>
          <w:sz w:val="24"/>
          <w:lang w:val="hr-HR"/>
        </w:rPr>
        <w:t>ur</w:t>
      </w:r>
      <w:proofErr w:type="spellEnd"/>
      <w:r w:rsidRPr="001448B1">
        <w:rPr>
          <w:sz w:val="24"/>
          <w:lang w:val="hr-HR"/>
        </w:rPr>
        <w:t xml:space="preserve">.), </w:t>
      </w:r>
      <w:proofErr w:type="spellStart"/>
      <w:r w:rsidRPr="001448B1">
        <w:rPr>
          <w:sz w:val="24"/>
          <w:lang w:val="hr-HR"/>
        </w:rPr>
        <w:t>Cambridge</w:t>
      </w:r>
      <w:proofErr w:type="spellEnd"/>
      <w:r w:rsidRPr="001448B1">
        <w:rPr>
          <w:sz w:val="24"/>
          <w:lang w:val="hr-HR"/>
        </w:rPr>
        <w:t xml:space="preserve"> University Press, </w:t>
      </w:r>
      <w:proofErr w:type="spellStart"/>
      <w:r w:rsidRPr="001448B1">
        <w:rPr>
          <w:sz w:val="24"/>
          <w:lang w:val="hr-HR"/>
        </w:rPr>
        <w:t>Cambridge</w:t>
      </w:r>
      <w:proofErr w:type="spellEnd"/>
      <w:r w:rsidRPr="001448B1">
        <w:rPr>
          <w:sz w:val="24"/>
          <w:lang w:val="hr-HR"/>
        </w:rPr>
        <w:t xml:space="preserve">, UK i New York, NY, SAD, 2022. </w:t>
      </w:r>
    </w:p>
  </w:footnote>
  <w:footnote w:id="13">
    <w:p w:rsidR="00BC6D78" w:rsidRPr="001448B1" w:rsidRDefault="00BC6D78" w:rsidP="001448B1">
      <w:pPr>
        <w:pStyle w:val="FootnoteText"/>
        <w:ind w:left="567" w:hanging="567"/>
        <w:rPr>
          <w:sz w:val="24"/>
          <w:lang w:val="hr-HR"/>
        </w:rPr>
      </w:pPr>
      <w:r w:rsidRPr="001448B1">
        <w:rPr>
          <w:rStyle w:val="FootnoteReference"/>
          <w:sz w:val="24"/>
          <w:lang w:val="hr-HR"/>
        </w:rPr>
        <w:footnoteRef/>
      </w:r>
      <w:r w:rsidR="001448B1" w:rsidRPr="001448B1">
        <w:rPr>
          <w:sz w:val="24"/>
          <w:lang w:val="hr-HR"/>
        </w:rPr>
        <w:t xml:space="preserve"> </w:t>
      </w:r>
      <w:r w:rsidR="001448B1" w:rsidRPr="001448B1">
        <w:rPr>
          <w:sz w:val="24"/>
          <w:lang w:val="hr-HR"/>
        </w:rPr>
        <w:tab/>
      </w:r>
      <w:r w:rsidRPr="001448B1">
        <w:rPr>
          <w:sz w:val="24"/>
          <w:lang w:val="hr-HR"/>
        </w:rPr>
        <w:t>SL C 440, 29.10.2021., str. 6.</w:t>
      </w:r>
    </w:p>
  </w:footnote>
  <w:footnote w:id="14">
    <w:p w:rsidR="00BC6D78" w:rsidRPr="001448B1" w:rsidRDefault="00BC6D78" w:rsidP="001448B1">
      <w:pPr>
        <w:pStyle w:val="FootnoteText"/>
        <w:ind w:left="567" w:hanging="567"/>
        <w:rPr>
          <w:sz w:val="24"/>
          <w:lang w:val="hr-HR"/>
        </w:rPr>
      </w:pPr>
      <w:r w:rsidRPr="001448B1">
        <w:rPr>
          <w:rStyle w:val="FootnoteReference"/>
          <w:sz w:val="24"/>
          <w:lang w:val="hr-HR"/>
        </w:rPr>
        <w:footnoteRef/>
      </w:r>
      <w:r w:rsidR="001448B1" w:rsidRPr="001448B1">
        <w:rPr>
          <w:sz w:val="24"/>
          <w:lang w:val="hr-HR"/>
        </w:rPr>
        <w:t xml:space="preserve"> </w:t>
      </w:r>
      <w:r w:rsidR="001448B1" w:rsidRPr="001448B1">
        <w:rPr>
          <w:sz w:val="24"/>
          <w:lang w:val="hr-HR"/>
        </w:rPr>
        <w:tab/>
      </w:r>
      <w:r w:rsidRPr="001448B1">
        <w:rPr>
          <w:sz w:val="24"/>
          <w:lang w:val="hr-HR"/>
        </w:rPr>
        <w:t>SL C 207, 30.6.2017., str. 19.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1448B1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1448B1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1448B1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Page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9-0415/2023"/>
    <w:docVar w:name="dvlangue" w:val="HR"/>
    <w:docVar w:name="dvnumam" w:val="0"/>
    <w:docVar w:name="dvpe" w:val="751.733"/>
    <w:docVar w:name="dvrapporteur" w:val="Izvjestitelj: "/>
    <w:docVar w:name="dvtitre" w:val="Rezolucija Europskog parlamenta od .... 2024. o aktualnim i budućim izazovima u pogledu prekogranične suradnje sa susjednim zemljama(2023/2076(INI))"/>
  </w:docVars>
  <w:rsids>
    <w:rsidRoot w:val="005A51D1"/>
    <w:rsid w:val="00002272"/>
    <w:rsid w:val="00064002"/>
    <w:rsid w:val="000677B9"/>
    <w:rsid w:val="000831BA"/>
    <w:rsid w:val="000A42CC"/>
    <w:rsid w:val="000E7DD9"/>
    <w:rsid w:val="0010095E"/>
    <w:rsid w:val="00125B37"/>
    <w:rsid w:val="00130EEA"/>
    <w:rsid w:val="001448B1"/>
    <w:rsid w:val="00187494"/>
    <w:rsid w:val="001F32AE"/>
    <w:rsid w:val="002767FF"/>
    <w:rsid w:val="002B18FE"/>
    <w:rsid w:val="002B5493"/>
    <w:rsid w:val="00343214"/>
    <w:rsid w:val="00361C00"/>
    <w:rsid w:val="00395FA1"/>
    <w:rsid w:val="003A681C"/>
    <w:rsid w:val="003E15D4"/>
    <w:rsid w:val="00411CCE"/>
    <w:rsid w:val="0041666E"/>
    <w:rsid w:val="00421060"/>
    <w:rsid w:val="004669FF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A51D1"/>
    <w:rsid w:val="005C2568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C6D78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56C11"/>
    <w:rsid w:val="00D7732A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zh-CN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85BB53F"/>
  <w15:chartTrackingRefBased/>
  <w15:docId w15:val="{168F55E3-7484-44B6-AFD9-BC45A2DAB6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hr-HR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Hanging12a">
    <w:name w:val="NormalHanging12a"/>
    <w:basedOn w:val="Normal"/>
    <w:link w:val="NormalHanging12aChar"/>
    <w:rsid w:val="00BC6D78"/>
    <w:pPr>
      <w:spacing w:after="240"/>
      <w:ind w:left="567" w:hanging="567"/>
    </w:pPr>
  </w:style>
  <w:style w:type="paragraph" w:customStyle="1" w:styleId="EPComma">
    <w:name w:val="EPComma"/>
    <w:basedOn w:val="Normal"/>
    <w:rsid w:val="00BC6D78"/>
    <w:pPr>
      <w:spacing w:before="480" w:after="240"/>
    </w:pPr>
  </w:style>
  <w:style w:type="character" w:customStyle="1" w:styleId="y2iqfc">
    <w:name w:val="y2iqfc"/>
    <w:basedOn w:val="DefaultParagraphFont"/>
    <w:rsid w:val="00BC6D78"/>
  </w:style>
  <w:style w:type="character" w:customStyle="1" w:styleId="NormalHanging12aChar">
    <w:name w:val="NormalHanging12a Char"/>
    <w:basedOn w:val="DefaultParagraphFont"/>
    <w:link w:val="NormalHanging12a"/>
    <w:rsid w:val="00BC6D78"/>
    <w:rPr>
      <w:sz w:val="24"/>
      <w:lang w:val="hr-H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160399D-177F-49CD-8DD3-40619B26B9A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11</Pages>
  <Words>4158</Words>
  <Characters>26646</Characters>
  <Application>Microsoft Office Word</Application>
  <DocSecurity>0</DocSecurity>
  <Lines>222</Lines>
  <Paragraphs>61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30743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JELIC PRIMORAC Ivana</dc:creator>
  <cp:keywords/>
  <cp:lastModifiedBy>BULJAN Jakov</cp:lastModifiedBy>
  <cp:revision>2</cp:revision>
  <cp:lastPrinted>2004-11-19T15:42:00Z</cp:lastPrinted>
  <dcterms:created xsi:type="dcterms:W3CDTF">2024-02-15T08:08:00Z</dcterms:created>
  <dcterms:modified xsi:type="dcterms:W3CDTF">2024-02-15T08:08:00Z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HR</vt:lpwstr>
  </property>
  <property fmtid="{D5CDD505-2E9C-101B-9397-08002B2CF9AE}" pid="3" name="&lt;FdR&gt;">
    <vt:lpwstr>A9-0415/2023</vt:lpwstr>
  </property>
  <property fmtid="{D5CDD505-2E9C-101B-9397-08002B2CF9AE}" pid="4" name="&lt;Type&gt;">
    <vt:lpwstr>RR</vt:lpwstr>
  </property>
</Properties>
</file>