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4C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4C86" w:rsidRDefault="00A716A6" w:rsidP="0010095E">
            <w:pPr>
              <w:pStyle w:val="EPName"/>
            </w:pPr>
            <w:r w:rsidRPr="00554C86">
              <w:t>Parlament Europejski</w:t>
            </w:r>
          </w:p>
          <w:p w:rsidR="00751A4A" w:rsidRPr="00554C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4C8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54C86" w:rsidRDefault="00187494" w:rsidP="0010095E">
            <w:pPr>
              <w:pStyle w:val="EPLogo"/>
            </w:pPr>
            <w:r w:rsidRPr="00554C86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4C86" w:rsidRDefault="00D058B8" w:rsidP="004C5D52">
      <w:pPr>
        <w:pStyle w:val="LineTop"/>
      </w:pPr>
    </w:p>
    <w:p w:rsidR="00680577" w:rsidRPr="00554C86" w:rsidRDefault="00A716A6" w:rsidP="00680577">
      <w:pPr>
        <w:pStyle w:val="EPBodyTA1"/>
      </w:pPr>
      <w:r w:rsidRPr="00554C86">
        <w:t>TEKSTY PRZYJĘTE</w:t>
      </w:r>
    </w:p>
    <w:p w:rsidR="00D058B8" w:rsidRPr="00554C86" w:rsidRDefault="00D058B8" w:rsidP="00D058B8">
      <w:pPr>
        <w:pStyle w:val="LineBottom"/>
      </w:pPr>
    </w:p>
    <w:p w:rsidR="00A716A6" w:rsidRPr="00554C86" w:rsidRDefault="00A716A6" w:rsidP="00A716A6">
      <w:pPr>
        <w:pStyle w:val="ATHeading1"/>
      </w:pPr>
      <w:bookmarkStart w:id="0" w:name="TANumber"/>
      <w:r w:rsidRPr="00554C86">
        <w:t>P9_TA(2024)00</w:t>
      </w:r>
      <w:bookmarkEnd w:id="0"/>
      <w:r w:rsidR="00084992">
        <w:t>15</w:t>
      </w:r>
    </w:p>
    <w:p w:rsidR="00A716A6" w:rsidRPr="00CB6A7F" w:rsidRDefault="00CB6A7F" w:rsidP="00A716A6">
      <w:pPr>
        <w:pStyle w:val="ATHeading2"/>
      </w:pPr>
      <w:r w:rsidRPr="00CB6A7F">
        <w:rPr>
          <w:bCs/>
        </w:rPr>
        <w:t>Obecne i przyszłe wyzwania dotyczące współpracy transgranicznej z krajami sąsiadującymi</w:t>
      </w:r>
    </w:p>
    <w:p w:rsidR="00A716A6" w:rsidRPr="00554C86" w:rsidRDefault="00A716A6" w:rsidP="00A716A6">
      <w:pPr>
        <w:rPr>
          <w:i/>
          <w:vanish/>
        </w:rPr>
      </w:pPr>
      <w:r w:rsidRPr="00554C86">
        <w:rPr>
          <w:i/>
        </w:rPr>
        <w:fldChar w:fldCharType="begin"/>
      </w:r>
      <w:r w:rsidRPr="00554C86">
        <w:rPr>
          <w:i/>
        </w:rPr>
        <w:instrText xml:space="preserve"> TC"(</w:instrText>
      </w:r>
      <w:bookmarkStart w:id="1" w:name="DocNumber"/>
      <w:r w:rsidRPr="00554C86">
        <w:rPr>
          <w:i/>
        </w:rPr>
        <w:instrText>A9-0415/2023</w:instrText>
      </w:r>
      <w:bookmarkEnd w:id="1"/>
      <w:r w:rsidRPr="00554C86">
        <w:rPr>
          <w:i/>
        </w:rPr>
        <w:instrText xml:space="preserve"> - Sprawozdawca: Daniel Buda</w:instrText>
      </w:r>
      <w:proofErr w:type="gramStart"/>
      <w:r w:rsidRPr="00554C86">
        <w:rPr>
          <w:i/>
        </w:rPr>
        <w:instrText>)"\l</w:instrText>
      </w:r>
      <w:proofErr w:type="gramEnd"/>
      <w:r w:rsidRPr="00554C86">
        <w:rPr>
          <w:i/>
        </w:rPr>
        <w:instrText xml:space="preserve">3 \n&gt; \* MERGEFORMAT </w:instrText>
      </w:r>
      <w:r w:rsidRPr="00554C86">
        <w:rPr>
          <w:i/>
        </w:rPr>
        <w:fldChar w:fldCharType="end"/>
      </w:r>
    </w:p>
    <w:p w:rsidR="00A716A6" w:rsidRPr="00554C86" w:rsidRDefault="00A716A6" w:rsidP="00A716A6">
      <w:pPr>
        <w:rPr>
          <w:vanish/>
        </w:rPr>
      </w:pPr>
      <w:bookmarkStart w:id="2" w:name="Commission"/>
      <w:r w:rsidRPr="00554C86">
        <w:rPr>
          <w:vanish/>
        </w:rPr>
        <w:t>Komisja Rozwoju Regionalnego</w:t>
      </w:r>
      <w:bookmarkEnd w:id="2"/>
    </w:p>
    <w:p w:rsidR="00A716A6" w:rsidRPr="00554C86" w:rsidRDefault="00A716A6" w:rsidP="00A716A6">
      <w:pPr>
        <w:rPr>
          <w:vanish/>
        </w:rPr>
      </w:pPr>
      <w:bookmarkStart w:id="3" w:name="PE"/>
      <w:r w:rsidRPr="00554C86">
        <w:rPr>
          <w:vanish/>
        </w:rPr>
        <w:t>PE751.733</w:t>
      </w:r>
      <w:bookmarkEnd w:id="3"/>
    </w:p>
    <w:p w:rsidR="00A716A6" w:rsidRPr="00554C86" w:rsidRDefault="00A716A6" w:rsidP="00A716A6">
      <w:pPr>
        <w:pStyle w:val="ATHeading3"/>
      </w:pPr>
      <w:bookmarkStart w:id="4" w:name="Sujet"/>
      <w:r w:rsidRPr="00554C86">
        <w:t xml:space="preserve">Rezolucja Parlamentu Europejskiego z dnia </w:t>
      </w:r>
      <w:r w:rsidR="00CB6A7F">
        <w:t>16 stycznia</w:t>
      </w:r>
      <w:r w:rsidRPr="00554C86">
        <w:t xml:space="preserve"> 2024 r. w sprawie obecnych i przyszłych wyzwań dotyczących współpracy transgranicznej z państwami sąsiadującymi</w:t>
      </w:r>
      <w:bookmarkEnd w:id="4"/>
      <w:r w:rsidRPr="00554C86">
        <w:t xml:space="preserve"> </w:t>
      </w:r>
      <w:bookmarkStart w:id="5" w:name="References"/>
      <w:r w:rsidRPr="00554C86">
        <w:t>(2023/2076(INI))</w:t>
      </w:r>
      <w:bookmarkEnd w:id="5"/>
    </w:p>
    <w:p w:rsidR="00A716A6" w:rsidRPr="00554C86" w:rsidRDefault="00A716A6" w:rsidP="00A716A6"/>
    <w:p w:rsidR="006D40F3" w:rsidRPr="00554C86" w:rsidRDefault="006D40F3" w:rsidP="006D40F3">
      <w:pPr>
        <w:pStyle w:val="EPComma"/>
      </w:pPr>
      <w:bookmarkStart w:id="6" w:name="TextBodyBegin"/>
      <w:bookmarkEnd w:id="6"/>
      <w:r w:rsidRPr="00554C86">
        <w:rPr>
          <w:i/>
        </w:rPr>
        <w:t>Parlament Europejski</w:t>
      </w:r>
      <w:r w:rsidRPr="00554C86">
        <w:t>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art. 3 Traktatu o Unii Europejskiej (TUE) oraz art. 4, 162, 174–178 i 349 Traktatu o funkcjonowaniu Unii Europejskiej (TFUE),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Pr="00554C86">
        <w:rPr>
          <w:rStyle w:val="FootnoteReference"/>
        </w:rPr>
        <w:footnoteReference w:id="1"/>
      </w:r>
      <w:r w:rsidRPr="00554C86">
        <w:t>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rozporządzenie Parlamentu Europejskiego i Rady (UE) 2021/1058 z dnia 24 czerwca 2021 r. w sprawie Europejskiego Funduszu Rozwoju Regionalnego i Funduszu Spójności</w:t>
      </w:r>
      <w:r w:rsidRPr="00554C86">
        <w:rPr>
          <w:rStyle w:val="FootnoteReference"/>
        </w:rPr>
        <w:footnoteReference w:id="2"/>
      </w:r>
      <w:r w:rsidRPr="00554C86">
        <w:t>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rozporządzenie Parlamentu Europejskiego i Rady (UE) 2021/1059 z dnia 24 czerwca 2021 r. w sprawie przepisów szczegółowych dotyczących celu „Europejska współpraca terytorialna” (Interreg) wspieranego w ramach Europejskiego Funduszu Rozwoju Regionalnego oraz instrumentów finansowania zewnętrznego</w:t>
      </w:r>
      <w:r w:rsidRPr="00554C86">
        <w:rPr>
          <w:rStyle w:val="FootnoteReference"/>
        </w:rPr>
        <w:footnoteReference w:id="3"/>
      </w:r>
      <w:r w:rsidRPr="00554C86">
        <w:t>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 xml:space="preserve">uwzględniając rozporządzenie Parlamentu Europejskiego i Rady (UE) 2022/562 z dnia </w:t>
      </w:r>
      <w:r w:rsidRPr="00554C86">
        <w:lastRenderedPageBreak/>
        <w:t>6 kwietnia 2022 r. zmieniające rozporządzenia (UE) nr 1303/2013 i (UE) nr 223/2014 w odniesieniu do działań polityki spójności na rzecz uchodźców w Europie (CARE)</w:t>
      </w:r>
      <w:r w:rsidRPr="00554C86">
        <w:rPr>
          <w:rStyle w:val="FootnoteReference"/>
        </w:rPr>
        <w:footnoteReference w:id="4"/>
      </w:r>
      <w:r w:rsidRPr="00554C86">
        <w:t>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rozporządzenie (WE) nr 1082/2006 Parlamentu Europejskiego i Rady z dnia 5 lipca 2006 r. w sprawie europejskiego ugrupowania współpracy terytorialnej (EUWT)</w:t>
      </w:r>
      <w:r w:rsidRPr="00554C86">
        <w:rPr>
          <w:rStyle w:val="FootnoteReference"/>
        </w:rPr>
        <w:footnoteReference w:id="5"/>
      </w:r>
      <w:r w:rsidRPr="00554C86">
        <w:t>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wniosek Komisji z dnia 29 maja 2018 r. dotyczący rozporządzenia Parlamentu Europejskiego i Rady w sprawie mechanizmu eliminowania barier prawnych i administracyjnych w kontekście transgranicznym (COM(2018)0373),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komunikat Komisji z dnia 20 września 2017 r. pt. „Zwiększanie wzrostu gospodarczego i spójności w regionach przygranicznych UE” (COM(2017)0534),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komunikat Komisji z dnia 3 kwietnia 2020 r. pt. „Wytyczne w sprawie pomocy UE w sytuacji nadzwyczajnej dotyczące współpracy transgranicznej w zakresie opieki zdrowotnej związanej z kryzysem wywołanym epidemią COVID-19”</w:t>
      </w:r>
      <w:r w:rsidRPr="00554C86">
        <w:rPr>
          <w:rStyle w:val="FootnoteReference"/>
        </w:rPr>
        <w:footnoteReference w:id="6"/>
      </w:r>
      <w:r w:rsidRPr="00554C86">
        <w:t>,</w:t>
      </w:r>
    </w:p>
    <w:p w:rsidR="006D40F3" w:rsidRPr="00554C86" w:rsidRDefault="006D40F3" w:rsidP="006D40F3">
      <w:pPr>
        <w:pStyle w:val="NormalHanging12a"/>
        <w:rPr>
          <w:snapToGrid w:val="0"/>
        </w:rPr>
      </w:pPr>
      <w:r w:rsidRPr="00554C86">
        <w:t>–</w:t>
      </w:r>
      <w:r w:rsidRPr="00554C86">
        <w:tab/>
        <w:t>uwzględniając komunikat Komisji z dnia 30 września 2020 r. w sprawie utworzenia europejskiego obszaru edukacji do 2025 r. (COM(2020)0625),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 xml:space="preserve">uwzględniając swoją rezolucję z dnia 15 września 2022 r. w sprawie spójności gospodarczej, społecznej i terytorialnej w UE: 8. </w:t>
      </w:r>
      <w:proofErr w:type="gramStart"/>
      <w:r w:rsidRPr="00554C86">
        <w:t>sprawozdanie</w:t>
      </w:r>
      <w:proofErr w:type="gramEnd"/>
      <w:r w:rsidRPr="00554C86">
        <w:t xml:space="preserve"> na temat spójności</w:t>
      </w:r>
      <w:r w:rsidRPr="00554C86">
        <w:rPr>
          <w:rStyle w:val="FootnoteReference"/>
        </w:rPr>
        <w:footnoteReference w:id="7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swoją rezolucję z dnia 9 maja 2023 r. w sprawie roli polityki spójności w rozwiązywaniu wielowymiarowych problemów środowiskowych w basenie Morza Śródziemnego</w:t>
      </w:r>
      <w:r w:rsidRPr="00554C86">
        <w:rPr>
          <w:rStyle w:val="FootnoteReference"/>
        </w:rPr>
        <w:footnoteReference w:id="8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swoją rezolucję z dnia 13 marca 2018 r. w sprawie słabiej rozwiniętych regionów UE</w:t>
      </w:r>
      <w:r w:rsidRPr="00554C86">
        <w:rPr>
          <w:rStyle w:val="FootnoteReference"/>
        </w:rPr>
        <w:footnoteReference w:id="9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 xml:space="preserve">uwzględniając badanie pt. „EU lagging regions: state of play and future challenges” [Regiony słabiej rozwinięte w UE: aktualna sytuacja i wyzwania na przyszłość], opublikowane 26 października 2020 </w:t>
      </w:r>
      <w:r w:rsidR="00343369">
        <w:t xml:space="preserve">r. </w:t>
      </w:r>
      <w:r w:rsidRPr="00554C86">
        <w:t>przez Dyrekcję Generalną ds. Analiz Parlamentarnych</w:t>
      </w:r>
      <w:r w:rsidRPr="00554C86">
        <w:rPr>
          <w:rStyle w:val="FootnoteReference"/>
        </w:rPr>
        <w:footnoteReference w:id="10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swoją rezolucję z 11 września 2018 r. w sprawie zwiększania wzrostu gospodarczego i spójności w regionach przygranicznych UE</w:t>
      </w:r>
      <w:r w:rsidRPr="00554C86">
        <w:rPr>
          <w:rStyle w:val="FootnoteReference"/>
        </w:rPr>
        <w:footnoteReference w:id="11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 xml:space="preserve">uwzględniając sprawozdanie Międzyrządowego Zespołu ONZ ds. Zmian Klimatu z 2022 r. pt. </w:t>
      </w:r>
      <w:r w:rsidRPr="00835B4A">
        <w:rPr>
          <w:lang w:val="en-GB"/>
        </w:rPr>
        <w:t xml:space="preserve">„Climate Change 2022: Mitigation of Climate Change. </w:t>
      </w:r>
      <w:r w:rsidRPr="00CB6A7F">
        <w:rPr>
          <w:lang w:val="en-GB"/>
        </w:rPr>
        <w:t xml:space="preserve">Contribution of </w:t>
      </w:r>
      <w:r w:rsidRPr="00CB6A7F">
        <w:rPr>
          <w:lang w:val="en-GB"/>
        </w:rPr>
        <w:lastRenderedPageBreak/>
        <w:t xml:space="preserve">Working Group III to the Sixth Assessment Report of the Intergovernmental Panel on Climate Change” [Zmiana klimatu 2022: Łagodzenie zmiany klimatu. </w:t>
      </w:r>
      <w:r w:rsidRPr="00554C86">
        <w:t>Wkład trzeciej grupy roboczej w szóste sprawozdanie oceniające Międzyrządowego Zespołu ds. Zmian Klimatu]</w:t>
      </w:r>
      <w:r w:rsidRPr="00554C86">
        <w:rPr>
          <w:rStyle w:val="FootnoteReference"/>
        </w:rPr>
        <w:footnoteReference w:id="12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porozumienie przyjęte podczas 21. Konferencji Stron Ramowej Konwencji Narodów Zjednoczonych w sprawie Zmian Klimatu (COP21) w Paryżu 12 grudnia 2015 r. (porozumienie paryskie),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konkluzje Rady w sprawie odnowionego partnerstwa z południowym sąsiedztwem – nowy program na rzecz regionu śródziemnomorskiego z 19 kwietnia 2021 r.,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rezolucję Europejskiego Komitetu Regionów z dnia 1 lipca 2021 r. w sprawie wizji dla Europy: przyszłość współpracy transgranicznej</w:t>
      </w:r>
      <w:r w:rsidRPr="00554C86">
        <w:rPr>
          <w:rStyle w:val="FootnoteReference"/>
        </w:rPr>
        <w:footnoteReference w:id="13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opinię Europejskiego Komitetu Regionów z dnia 8 lutego 2017 r. zatytułowaną „Brakujące połączenia transportowe w regionach przygranicznych”</w:t>
      </w:r>
      <w:r w:rsidRPr="00554C86">
        <w:rPr>
          <w:rStyle w:val="FootnoteReference"/>
        </w:rPr>
        <w:footnoteReference w:id="14"/>
      </w:r>
      <w:r w:rsidRPr="00554C86">
        <w:t>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art. 54 Regulaminu,</w:t>
      </w:r>
    </w:p>
    <w:p w:rsidR="006D40F3" w:rsidRPr="00554C86" w:rsidRDefault="006D40F3" w:rsidP="006D40F3">
      <w:pPr>
        <w:pStyle w:val="NormalHanging12a"/>
      </w:pPr>
      <w:r w:rsidRPr="00554C86">
        <w:t>–</w:t>
      </w:r>
      <w:r w:rsidRPr="00554C86">
        <w:tab/>
        <w:t>uwzględniając sprawozdanie Komisji Rozwoju Regionalnego (A9-0415/2023),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A.</w:t>
      </w:r>
      <w:r w:rsidRPr="00554C86">
        <w:tab/>
      </w:r>
      <w:proofErr w:type="gramStart"/>
      <w:r w:rsidRPr="00554C86">
        <w:t>mając</w:t>
      </w:r>
      <w:proofErr w:type="gramEnd"/>
      <w:r w:rsidRPr="00554C86">
        <w:t xml:space="preserve"> na uwadze, że współpraca transgraniczna UE z państwami sąsiadującymi zarówno na granicach lądowych, jak i morskich, obejmująca 184 regiony, 33 kraje i 260 mln mieszkańców, ma kluczowe znaczenie dla polityki UE;</w:t>
      </w:r>
    </w:p>
    <w:p w:rsidR="006D40F3" w:rsidRPr="00554C86" w:rsidRDefault="006D40F3" w:rsidP="006D40F3">
      <w:pPr>
        <w:pStyle w:val="NormalHanging12a"/>
      </w:pPr>
      <w:r w:rsidRPr="00554C86">
        <w:t>B.</w:t>
      </w:r>
      <w:r w:rsidRPr="00554C86">
        <w:tab/>
        <w:t>mając na uwadze, że art. 8 TU</w:t>
      </w:r>
      <w:r w:rsidR="00835B4A">
        <w:t>E</w:t>
      </w:r>
      <w:r w:rsidRPr="00554C86">
        <w:t xml:space="preserve"> stanowi, iż Unia powinna rozwijać szczególne stosunki z państwami z nią sąsiadującymi, dążąc do utworzenia przestrzeni dobrobytu i dobrego sąsiedztwa, opartej na wartościach Unii i charakteryzującej się bliskimi i pokojowymi stosunkami opartymi na współpracy;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C.</w:t>
      </w:r>
      <w:r w:rsidRPr="00554C86">
        <w:tab/>
      </w:r>
      <w:proofErr w:type="gramStart"/>
      <w:r w:rsidRPr="00554C86">
        <w:t>mając</w:t>
      </w:r>
      <w:proofErr w:type="gramEnd"/>
      <w:r w:rsidRPr="00554C86">
        <w:t xml:space="preserve"> na uwadze, że współpraca transgraniczna jest ważnym etapem w procesie poprzedzającym przystąpienie krajów kandydujących do UE;</w:t>
      </w:r>
    </w:p>
    <w:p w:rsidR="006D40F3" w:rsidRPr="00554C86" w:rsidRDefault="006D40F3" w:rsidP="006D40F3">
      <w:pPr>
        <w:pStyle w:val="NormalHanging12a"/>
      </w:pPr>
      <w:r w:rsidRPr="00554C86">
        <w:t>D.</w:t>
      </w:r>
      <w:r w:rsidRPr="00554C86">
        <w:tab/>
      </w:r>
      <w:proofErr w:type="gramStart"/>
      <w:r w:rsidRPr="00554C86">
        <w:t>mając</w:t>
      </w:r>
      <w:proofErr w:type="gramEnd"/>
      <w:r w:rsidRPr="00554C86">
        <w:t xml:space="preserve"> na uwadze, że współpraca transgraniczna przyczynia się do pokoju i zrównoważonego rozwoju wzdłuż granic zewnętrznych UE, wspiera reformy demokratyczne, poszanowanie wartości europejskich, rozwój gospodarczy i społeczny obszarów przygranicznych, w tym ochronę środowiska, usługi w zakresie zdrowia publicznego oraz środki bezpieczeństwa i ochrony, przyczynia się do realizacji celów UE dotyczących inteligentniejszej, bardziej ekologicznej i lepiej skomunikowanej UE i inteligentniejszego, bardziej ekologicznego i lepiej skomunikowanego sąsiedztwa, a także do zaspokajania regionalnych potrzeb w zakresie dobrej współpracy, sprawowania rządów i wspólnych wyzwań, pomaga promować wzajemne zrozumienie i zaufanie oraz przyczynia się do zapobiegania przyszłym konfliktom i wojnom za </w:t>
      </w:r>
      <w:r w:rsidRPr="00554C86">
        <w:lastRenderedPageBreak/>
        <w:t xml:space="preserve">pomocą instrumentów takich jak </w:t>
      </w:r>
      <w:proofErr w:type="gramStart"/>
      <w:r w:rsidRPr="00554C86">
        <w:t>program</w:t>
      </w:r>
      <w:proofErr w:type="gramEnd"/>
      <w:r w:rsidRPr="00554C86">
        <w:t xml:space="preserve"> PEACE+;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E.</w:t>
      </w:r>
      <w:r w:rsidRPr="00554C86">
        <w:tab/>
      </w:r>
      <w:proofErr w:type="gramStart"/>
      <w:r w:rsidRPr="00554C86">
        <w:t>mając</w:t>
      </w:r>
      <w:proofErr w:type="gramEnd"/>
      <w:r w:rsidRPr="00554C86">
        <w:t xml:space="preserve"> na uwadze, że obecna sytuacja geopolityczna potwierdza znaczenie stabilności i rozwoju demokratycznego w krajach i regionach na zewnętrznych granicach UE;</w:t>
      </w:r>
    </w:p>
    <w:p w:rsidR="006D40F3" w:rsidRPr="00554C86" w:rsidRDefault="006D40F3" w:rsidP="006D40F3">
      <w:pPr>
        <w:pStyle w:val="NormalHanging12a"/>
      </w:pPr>
      <w:r w:rsidRPr="00554C86">
        <w:t>F.</w:t>
      </w:r>
      <w:r w:rsidRPr="00554C86">
        <w:tab/>
      </w:r>
      <w:proofErr w:type="gramStart"/>
      <w:r w:rsidRPr="00554C86">
        <w:t>mając</w:t>
      </w:r>
      <w:proofErr w:type="gramEnd"/>
      <w:r w:rsidRPr="00554C86">
        <w:t xml:space="preserve"> na uwadze, że pandemia COVID-19, a w szczególności wojna napastnicza Rosji przeciwko Ukrainie wywarły głęboki wpływ na wszystkie programy współpracy transgranicznej wspierane z Europejskiego Instrumentu Sąsiedztwa (ENI-CBC), które obejmują Rosję i Białoruś, i mają duży wpływ na połowę programów zaproponowanych na lata 2021–2027; mając na uwadze, że polityka spójności może pomóc we współpracy transgranicznej pod warunkiem utrzymania jej strategicznego podejścia i uzgodnienia solidnego budżetu;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G</w:t>
      </w:r>
      <w:r w:rsidR="00343369">
        <w:t>.</w:t>
      </w:r>
      <w:bookmarkStart w:id="7" w:name="_GoBack"/>
      <w:bookmarkEnd w:id="7"/>
      <w:r w:rsidRPr="00554C86">
        <w:tab/>
        <w:t>mając na uwadze, że drenaż mózgów w nieproporcjonalnym stopniu dotyka niektóre słabiej rozwinięte regiony przygraniczne, a jeśli problem ten nie zostanie rozwiązany, będzie miał długotrwały negatywny wpływ na przyszłość UE;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H.</w:t>
      </w:r>
      <w:r w:rsidRPr="00554C86">
        <w:tab/>
      </w:r>
      <w:proofErr w:type="gramStart"/>
      <w:r w:rsidRPr="00554C86">
        <w:t>mając</w:t>
      </w:r>
      <w:proofErr w:type="gramEnd"/>
      <w:r w:rsidRPr="00554C86">
        <w:t xml:space="preserve"> na uwadze, że masowy odpływ ludności z niektórych regionów przygranicznych, zwłaszcza ludzi młodych i wykwalifikowanych pracowników, świadczą o braku rozwoju gospodarczego w tych regionach; mając na uwadze, że współpraca transgraniczna może pomóc w tworzeniu nowych możliwości zatrudnienia i zrównoważonego rozwoju gospodarczego;</w:t>
      </w:r>
    </w:p>
    <w:p w:rsidR="006D40F3" w:rsidRPr="00554C86" w:rsidRDefault="006D40F3" w:rsidP="006D40F3">
      <w:pPr>
        <w:pStyle w:val="NormalHanging12a"/>
      </w:pPr>
      <w:r w:rsidRPr="00554C86">
        <w:t>I.</w:t>
      </w:r>
      <w:r w:rsidRPr="00554C86">
        <w:tab/>
      </w:r>
      <w:proofErr w:type="gramStart"/>
      <w:r w:rsidRPr="00554C86">
        <w:t>mając</w:t>
      </w:r>
      <w:proofErr w:type="gramEnd"/>
      <w:r w:rsidRPr="00554C86">
        <w:t xml:space="preserve"> na uwadze, że niestabilna sytuacja polityczna, gospodarcza i sytuacja w zakresie bezpieczeństwa w Afryce Północnej oraz zarządzanie kryzysem migracyjnym uwypuklają potrzebę współpracy w basenie Morza Śródziemnego;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J.</w:t>
      </w:r>
      <w:r w:rsidRPr="00554C86">
        <w:tab/>
        <w:t>mając na uwadze, że regiony przygraniczne są często podatne na napięcia i konflikty, a współpraca transgraniczna i dyplomacja regionalna mają pozytywny wpływ na zapobieganie sporom i potencjalnym kryzysom oraz ich rozwiązywanie;</w:t>
      </w:r>
    </w:p>
    <w:p w:rsidR="006D40F3" w:rsidRPr="00554C86" w:rsidRDefault="006D40F3" w:rsidP="006D40F3">
      <w:pPr>
        <w:pStyle w:val="NormalHanging12a"/>
        <w:rPr>
          <w:rStyle w:val="y2iqfc"/>
          <w:b/>
          <w:i/>
        </w:rPr>
      </w:pPr>
      <w:r w:rsidRPr="00554C86">
        <w:rPr>
          <w:rStyle w:val="y2iqfc"/>
          <w:b/>
          <w:i/>
        </w:rPr>
        <w:t>Ogólne uwagi na temat programów Interreg NEXT</w:t>
      </w:r>
    </w:p>
    <w:p w:rsidR="006D40F3" w:rsidRPr="00554C86" w:rsidRDefault="006D40F3" w:rsidP="006D40F3">
      <w:pPr>
        <w:pStyle w:val="NormalHanging12a"/>
        <w:ind w:hanging="570"/>
      </w:pPr>
      <w:r w:rsidRPr="00554C86">
        <w:t>1.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dostosowanie programów Interreg NEXT do programów Interreg, ponieważ może to doprowadzić do uproszczenia procedur, zwiększyć synergie między programami i podnieść skuteczność inwestycji europejskich; podkreśla jednak potrzebę uproszczenia procedur zarówno na etapie oceny, jak i na etapie realizacji projektów, ze zwróceniem większej uwagi na wymierne wyniki, w stosownych przypadkach, oraz na ogólny wpływ na rozwój regionów i życie obywateli;</w:t>
      </w:r>
    </w:p>
    <w:p w:rsidR="006D40F3" w:rsidRPr="00554C86" w:rsidRDefault="006D40F3" w:rsidP="006D40F3">
      <w:pPr>
        <w:pStyle w:val="NormalHanging12a"/>
      </w:pPr>
      <w:r w:rsidRPr="00554C86">
        <w:t>2.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władze lokalne i regionalne odgrywają kluczową rolę we współpracy transgranicznej z krajami sąsiadującymi, ponieważ znają sytuację geograficzną, kulturową, językową i społeczną, możliwości, ograniczenia i wspólne wyzwania;</w:t>
      </w:r>
    </w:p>
    <w:p w:rsidR="006D40F3" w:rsidRPr="00554C86" w:rsidRDefault="006D40F3" w:rsidP="006D40F3">
      <w:pPr>
        <w:pStyle w:val="NormalHanging12a"/>
      </w:pPr>
      <w:r w:rsidRPr="00554C86">
        <w:t>3.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projektów transgranicznych, w tym projektów opartych na kontaktach międzyludzkich, dla zbliżania ludzi do sobie i tworzenia w ten sposób nowych możliwości dla zrównoważonego rozwoju lokalnego i współpracy transgranicznej; podkreśla znaczenie inwestycji transgranicznych dla zwiększania innowacji, transferu technologii, wspólnych rozwiązań i synergii między różnymi programami, co zwiększa spójność terytorialną ponad granicami administracyjnymi i wzmacnia solidarność;</w:t>
      </w:r>
    </w:p>
    <w:p w:rsidR="006D40F3" w:rsidRPr="00554C86" w:rsidRDefault="006D40F3" w:rsidP="006D40F3">
      <w:pPr>
        <w:pStyle w:val="NormalHanging12a"/>
        <w:ind w:hanging="570"/>
      </w:pPr>
      <w:r w:rsidRPr="00554C86">
        <w:lastRenderedPageBreak/>
        <w:t>4.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przydział środków na lata 2021–2027 jest daleki od optymalnego i w związku z tym podkreśla znaczenie wzmocnienia finansowania tych programów; z zadowoleniem przyjmuje większą odpowiedzialność państw trzecich za odzyskiwanie środków od beneficjentów z sektora prywatnego; podkreśla znaczenie praworządności i równych warunków działania dla wszystkich beneficjentów zarówno publicznych, jak i prywatnych oraz podkreśla, że należy zachęcać inwestorów prywatnych, oprócz inwestycji publicznych, do angażowania się w zrównoważony rozwój regionów przygranicznych i państw trzecich przez udostępnienie większej ilości funduszy;</w:t>
      </w:r>
    </w:p>
    <w:p w:rsidR="006D40F3" w:rsidRPr="00554C86" w:rsidRDefault="006D40F3" w:rsidP="006D40F3">
      <w:pPr>
        <w:pStyle w:val="NormalHanging12a"/>
        <w:ind w:hanging="570"/>
      </w:pPr>
      <w:r w:rsidRPr="00554C86">
        <w:t>5.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możliwość przekazywania przez instytucje zarządzające danych do Komisji drogą elektroniczną, ale jednocześnie zwraca uwagę, że częstsze przekazywanie danych nie powinno prowadzić do większej biurokratyzacji; podkreśla w związku z tym znaczenie systemów interoperacyjnych, które mogłyby automatycznie przekazywać dane do wspólnej bazy danych, i zachęca Komisję do dalszego rozwijania współpracy z państwami trzecimi w tym zakresie;</w:t>
      </w:r>
    </w:p>
    <w:p w:rsidR="006D40F3" w:rsidRPr="00554C86" w:rsidRDefault="006D40F3" w:rsidP="006D40F3">
      <w:pPr>
        <w:pStyle w:val="NormalHanging12a"/>
      </w:pPr>
      <w:r w:rsidRPr="00554C86">
        <w:t>6.</w:t>
      </w:r>
      <w:r w:rsidRPr="00554C86">
        <w:tab/>
      </w:r>
      <w:proofErr w:type="gramStart"/>
      <w:r w:rsidRPr="00554C86">
        <w:t>wyraża</w:t>
      </w:r>
      <w:proofErr w:type="gramEnd"/>
      <w:r w:rsidRPr="00554C86">
        <w:t xml:space="preserve"> zaniepokojenie faktem, że duże projekty infrastrukturalne nie będą już podlegały zatwierdzeniu przez Komisję;</w:t>
      </w:r>
    </w:p>
    <w:p w:rsidR="006D40F3" w:rsidRPr="00554C86" w:rsidRDefault="006D40F3" w:rsidP="006D40F3">
      <w:pPr>
        <w:pStyle w:val="NormalHanging12a"/>
      </w:pPr>
      <w:r w:rsidRPr="00554C86">
        <w:t>7.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zniesienie limitu unijnego finansowania dużych projektów infrastrukturalnych i uważa, że zrównoważony rozwój infrastruktury przyczynia się do wzrostu społeczno-gospodarczego w regionach transgranicznych; podkreśla jednocześnie konieczność zaangażowania sektora publicznego i prywatnego, co mogłoby doprowadzić do większej innowacyjności i rozwoju infrastruktury związanej z sektorem energetycznym, transportem, komunikacją i cyfryzacją;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8.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uwagę na to, że UE może sprostać stojącym przed nią poważnym wyzwaniom również przez promowanie współpracy transgranicznej między sąsiadującymi regionami (np. przez zapewnienie zrównoważonej przyszłości regionu Morza Śródziemnego, Morza Bałtyckiego i innych basenów morskich, zapewnienie zrównoważonej przyszłości Alp, Pirenejów, Karpat i innych pasm górskich oraz zapewnienie zrównoważonej przyszłości dorzeczy większych rzek takich jak Ren, Dunaj i Moza itp.);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9.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współpraca transgraniczna jest ważnym etapem w procesie poprzedzającym przystąpienie do UE, w trakcie którego zachęca się kraje kandydujące do dzielenia się doświadczeniami i uczenia się wewnętrznego funkcjonowania UE; zwraca uwagę, że pomaga to przybliżyć krajom kandydującym inicjatywy i cele UE, dzielić się doświadczeniami i rozpocząć proces konwergencji gospodarczej i społecznej; podkreśla, że kraje kandydujące, które uczestniczyły we współpracy transgranicznej, będą w momencie przystąpienia do UE znały już programy i projekty UE;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10.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kluczową rolę współpracy transgranicznej w zrównoważonym zarządzaniu zasobami naturalnymi i wyzwaniami związanymi ze zmianą klimatu, w tym klęskami żywiołowymi, środowiskiem, różnorodnością biologiczną i bezpieczeństwem żywnościowym, a także ekosystemami na obszarach przygranicznych; zwraca uwagę w tym kontekście, że ważne są działania zapobiegawcze i że istotne jest opracowywanie lokalnych i regionalnych planów działań w zakresie przystosowania się do zmiany klimatu w wymiarze transgranicznym; podkreśla, że należy zwiększyć wysiłki zmierzające do przeciwdziałania zmianie klimatu i skuteczniejszego łagodzenia zmiany klimatu w tych regionach, w szczególności w celu dostosowania się do celów </w:t>
      </w:r>
      <w:r w:rsidRPr="00554C86">
        <w:lastRenderedPageBreak/>
        <w:t>klimatycznych UE;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11.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potencjał współpracy transgranicznej, zwłaszcza na słabo zaludnionych obszarach transgranicznych, w dziedzinach takich jak energia ze źródeł odnawialnych i gospodarka o obiegu zamkniętym, oraz wzywa do lepszego wykorzystania istniejących możliwości rozwoju zrównoważonej gospodarki i wysokiej jakości miejsc pracy;</w:t>
      </w:r>
    </w:p>
    <w:p w:rsidR="006D40F3" w:rsidRPr="00554C86" w:rsidRDefault="006D40F3" w:rsidP="006D40F3">
      <w:pPr>
        <w:pStyle w:val="NormalHanging12a"/>
        <w:ind w:left="0" w:firstLine="0"/>
        <w:rPr>
          <w:b/>
          <w:i/>
        </w:rPr>
      </w:pPr>
      <w:r w:rsidRPr="00554C86">
        <w:rPr>
          <w:b/>
          <w:i/>
        </w:rPr>
        <w:t>Współpraca transgraniczna ze wschodnim sąsiedztwem</w:t>
      </w:r>
    </w:p>
    <w:p w:rsidR="006D40F3" w:rsidRPr="00554C86" w:rsidRDefault="006D40F3" w:rsidP="006D40F3">
      <w:pPr>
        <w:pStyle w:val="NormalHanging12a"/>
      </w:pPr>
      <w:r w:rsidRPr="00554C86">
        <w:t>12.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zawieszenie współpracy transgranicznej z Rosją i Białorusią w wyniku wojny napastniczej Rosji przeciwko Ukrainie, a także przekierowanie funduszy do Ukrainy i Republiki Mołdawii, co zasadniczo zmieniło europejską architekturę bezpieczeństwa; podkreśla w związku z tym, że potrzebna jest współpraca w zakresie polityki bezpieczeństwa, aby osiągnąć wspólne cele w zakresie wiarygodnego zbiorowego odstraszania i obrony w ramach współpracy transgranicznej;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13.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uwagę na trudną sytuację regionów graniczących z Rosją i Białorusią po zawieszeniu programów współpracy transgranicznej z tymi krajami i zachęca Komisję do ścisłej współpracy z odnośnymi państwami członkowskimi w celu znalezienia trwałych rozwiązań, by sprostać wyzwaniom społecznym i gospodarczym tych regionów;</w:t>
      </w:r>
    </w:p>
    <w:p w:rsidR="006D40F3" w:rsidRPr="00554C86" w:rsidRDefault="006D40F3" w:rsidP="006D40F3">
      <w:pPr>
        <w:pStyle w:val="NormalHanging12a"/>
      </w:pPr>
      <w:r w:rsidRPr="00554C86">
        <w:t>14.</w:t>
      </w:r>
      <w:r w:rsidRPr="00554C86">
        <w:tab/>
      </w:r>
      <w:proofErr w:type="gramStart"/>
      <w:r w:rsidRPr="00554C86">
        <w:t>wzywa</w:t>
      </w:r>
      <w:proofErr w:type="gramEnd"/>
      <w:r w:rsidRPr="00554C86">
        <w:t xml:space="preserve"> do wykorzystania środków z programów transgranicznych na rozwój zrównoważonej infrastruktury transportowej, w tym na budowę połączeń kolejowych i obiektów magazynowych w pobliżu granic UE z Ukrainą i Republiką Mołdawii, aby usprawnić przepływ towarów i zboża, a tym samym zapewnić globalne bezpieczeństwo żywnościowe, przyczynić się do wspierania rozwoju zrównoważonej gospodarki w obu krajach i wesprzeć najbardziej dotknięte państwa członkowskie, a także Mołdawię i Ukrainę w stawianiu czoła tym wyzwaniom;</w:t>
      </w:r>
    </w:p>
    <w:p w:rsidR="006D40F3" w:rsidRPr="00554C86" w:rsidRDefault="006D40F3" w:rsidP="006D40F3">
      <w:pPr>
        <w:pStyle w:val="NormalHanging12a"/>
      </w:pPr>
      <w:r w:rsidRPr="00554C86">
        <w:t>15.</w:t>
      </w:r>
      <w:r w:rsidRPr="00554C86">
        <w:tab/>
      </w:r>
      <w:proofErr w:type="gramStart"/>
      <w:r w:rsidRPr="00554C86">
        <w:t>uznaje</w:t>
      </w:r>
      <w:proofErr w:type="gramEnd"/>
      <w:r w:rsidRPr="00554C86">
        <w:t xml:space="preserve"> znaczenie promowania lokalnej i regionalnej kultury i zachowania dziedzictwa kulturowego oraz wymiany edukacyjnej i gospodarczej między regionami przygranicznymi w celu wzmocnienia wzajemnego zrozumienia zwyczajów sąsiadów i stworzenia istotnych zachęt do kształcenia wielojęzycznego; podkreśla znaczenie edukacji włączającej w odniesieniu do wartości demokratycznych oraz potrzebę wspierania wyższej jakości w tej dziedzinie;</w:t>
      </w:r>
    </w:p>
    <w:p w:rsidR="006D40F3" w:rsidRPr="00554C86" w:rsidRDefault="006D40F3" w:rsidP="006D40F3">
      <w:pPr>
        <w:pStyle w:val="NormalHanging12a"/>
      </w:pPr>
      <w:r w:rsidRPr="00554C86">
        <w:t>16.</w:t>
      </w:r>
      <w:r w:rsidRPr="00554C86">
        <w:tab/>
      </w:r>
      <w:proofErr w:type="gramStart"/>
      <w:r w:rsidRPr="00554C86">
        <w:t>wzywa</w:t>
      </w:r>
      <w:proofErr w:type="gramEnd"/>
      <w:r w:rsidRPr="00554C86">
        <w:t xml:space="preserve"> do wspierania bardziej zrównoważonych projektów infrastrukturalnych, które przyczyniają się do poprawy sieci połączeń między regionami transgranicznymi, zwiększenia mobilności w obrębie tych regionów i między nimi oraz poprawy jakości życia i możliwości ich mieszkańców, a także projektów uwzględniających potrzeby w zakresie infrastruktury;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17.</w:t>
      </w:r>
      <w:r w:rsidRPr="00554C86">
        <w:tab/>
      </w:r>
      <w:proofErr w:type="gramStart"/>
      <w:r w:rsidRPr="00554C86">
        <w:t>uznaje</w:t>
      </w:r>
      <w:proofErr w:type="gramEnd"/>
      <w:r w:rsidRPr="00554C86">
        <w:t xml:space="preserve"> ogromne wysiłki rządów krajowych, władz regionalnych i lokalnych oraz społeczeństwa obywatelskiego w państwach członkowskich UE graniczących z Ukrainą, a także wysiłki Republiki Mołdawii na rzecz przyjęcia przesiedlonych Ukraińców i sprostania wszystkim wyzwaniom wynikającym z rosyjskiej wojny napastniczej, w tym kwestii zboża z Ukrainy i braku infrastruktury transportowej; wzywa w związku z tym do zapewnienia odpowiedniego wsparcia w celu zaspokojenia pojawiających się potrzeb, w tym za pośrednictwem programów współpracy transgranicznej;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lastRenderedPageBreak/>
        <w:t>18.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chociaż Republika Mołdawii nie jest w stanie otwartej wojny z Rosją, również posiada strefy konfliktu z tym krajem, że przyjęła ona dużą liczbę ukraińskich uchodźców, a jej sytuacja gospodarcza i społeczna została poważnie zachwiana wskutek zerwania przez nią stosunków handlowych z Rosją; podkreśla w związku z tym, że bardzo potrzebne są solidne inwestycje i otwarty rynek oraz że mile widziane na tym obszarze są wspólne projekty we wszystkich dziedzinach gospodarczych i społecznych;</w:t>
      </w:r>
    </w:p>
    <w:p w:rsidR="006D40F3" w:rsidRPr="00554C86" w:rsidRDefault="006D40F3" w:rsidP="006D40F3">
      <w:pPr>
        <w:pStyle w:val="NormalHanging12a"/>
      </w:pPr>
      <w:r w:rsidRPr="00554C86">
        <w:t>19.</w:t>
      </w:r>
      <w:r w:rsidRPr="00554C86">
        <w:tab/>
      </w:r>
      <w:proofErr w:type="gramStart"/>
      <w:r w:rsidRPr="00554C86">
        <w:t>jest</w:t>
      </w:r>
      <w:proofErr w:type="gramEnd"/>
      <w:r w:rsidRPr="00554C86">
        <w:t xml:space="preserve"> oburzony ofiarami śmiertelnymi i niszczeniem domów i infrastruktury w Ukrainie; podkreśla, że programy współpracy transgranicznej i nowy europejski Bauhaus powinny odgrywać aktywną rolę w zrównoważonej powojennej odbudowie i podkreśla pilną potrzebę udzielania pomocy władzom lokalnym i regionalnym w Ukrainie przy jednoczesnym dalszym wspieraniu regionów z nią sąsiadujących i zachęcaniu do ściślejszej współpracy;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20.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inicjatywę dotyczącą włączenia Ukrainy do programu europejskiej współpracy terytorialnej URBACT oraz przystąpienia Ukrainy i Republiki Mołdawii jako obserwatorów do Europejskiej Sieci Obserwacyjnej Rozwoju Terytorialnego i Spójności Terytorialnej (ESPON);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21.</w:t>
      </w:r>
      <w:r w:rsidRPr="00554C86">
        <w:tab/>
      </w:r>
      <w:proofErr w:type="gramStart"/>
      <w:r w:rsidRPr="00554C86">
        <w:t>potępia</w:t>
      </w:r>
      <w:proofErr w:type="gramEnd"/>
      <w:r w:rsidRPr="00554C86">
        <w:t xml:space="preserve"> wykorzystywanie przez Rosję zasobów energetycznych jako instrumentu presji politycznej i gospodarczej; wzywa do szybkiego przeprowadzenia dochodzenia w sprawie współpracy gospodarczej z Rosją w sektorze energetycznym w niektórych państwach członkowskich oraz do podjęcia dalszych działań na rzecz wzmocnienia odnawialnych źródeł energii i zwiększenia efektywności energetycznej w celu zmniejszenia zależności od Rosji w tych państwach członkowskich, które drastycznie ograniczyły współpracę z agresorem i zostały dotknięte sankcjami, w tym w krajach sąsiadujących;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22.</w:t>
      </w:r>
      <w:r w:rsidRPr="00554C86">
        <w:tab/>
      </w:r>
      <w:proofErr w:type="gramStart"/>
      <w:r w:rsidRPr="00554C86">
        <w:t>ubolewa</w:t>
      </w:r>
      <w:proofErr w:type="gramEnd"/>
      <w:r w:rsidRPr="00554C86">
        <w:t xml:space="preserve"> nad wzrostem wpływu Rosji w państwach sąsiadujących, w szczególności przez manipulację i dezinformację zarówno w mediach tradycyjnych, jak i internetowych mediach społecznościowych, oraz podkreśla, że należy zacieśnić współpracę z tymi krajami, zwłaszcza w sektorze edukacji i kultury, aby informować i edukować obywateli na temat wartości demokratycznych;</w:t>
      </w:r>
    </w:p>
    <w:p w:rsidR="006D40F3" w:rsidRPr="00554C86" w:rsidRDefault="006D40F3" w:rsidP="006D40F3">
      <w:pPr>
        <w:pStyle w:val="NormalHanging12a"/>
        <w:rPr>
          <w:b/>
          <w:i/>
        </w:rPr>
      </w:pPr>
      <w:r w:rsidRPr="00554C86">
        <w:rPr>
          <w:b/>
          <w:i/>
        </w:rPr>
        <w:t>Współpraca dotycząca basenów morskich</w:t>
      </w:r>
    </w:p>
    <w:p w:rsidR="006D40F3" w:rsidRPr="00554C86" w:rsidRDefault="006D40F3" w:rsidP="006D40F3">
      <w:pPr>
        <w:pStyle w:val="NormalHanging12a"/>
        <w:rPr>
          <w:i/>
        </w:rPr>
      </w:pPr>
      <w:r w:rsidRPr="00554C86">
        <w:rPr>
          <w:i/>
        </w:rPr>
        <w:t>Basen Morza Czarnego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23.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przyznania zwiększonego wsparcia finansowego dla tego programu, biorąc pod uwagę wyzwania w zakresie bezpieczeństwa na Morzu Czarnym wynikające z rosyjskich ataków i blokady portów nad brzegiem Morza Czarnego i portów naddunajskich, które mają uniemożliwić transporty zboża o kluczowym znaczeniu dla ukraińskiej gospodarki; zwraca uwagę na zagrożenia dla bezpieczeństwa, jakie te ataki stwarzają dla państw członkowskich graniczących z Ukrainą;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24.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potencjał źródeł energii z Morza Czarnego, które również mogą przyczynić się do zrównoważonej przyszłości energetycznej w UE; podkreśla, że pomimo potencjału zasobów energii odnawialnej pozostają one w dużej mierze niewykorzystane;</w:t>
      </w:r>
    </w:p>
    <w:p w:rsidR="006D40F3" w:rsidRPr="00554C86" w:rsidRDefault="006D40F3" w:rsidP="006D40F3">
      <w:pPr>
        <w:pStyle w:val="NormalHanging12a"/>
      </w:pPr>
      <w:r w:rsidRPr="00554C86">
        <w:t>25.</w:t>
      </w:r>
      <w:r w:rsidRPr="00554C86">
        <w:tab/>
      </w:r>
      <w:proofErr w:type="gramStart"/>
      <w:r w:rsidRPr="00554C86">
        <w:t>uważa</w:t>
      </w:r>
      <w:proofErr w:type="gramEnd"/>
      <w:r w:rsidRPr="00554C86">
        <w:t xml:space="preserve">, że program Interreg NEXT na rzecz basenu Morza Czarnego powinien ułatwiać </w:t>
      </w:r>
      <w:r w:rsidRPr="00554C86">
        <w:lastRenderedPageBreak/>
        <w:t xml:space="preserve">zrównoważony rozwój gospodarczy i skuteczne zarządzanie wspólnymi zasobami; 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26.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rozwoju zrównoważonej turystyki w regionach przybrzeżnych Morza Czarnego i opowiada się za tym, by wszystkie zaangażowane podmioty przyjęły odpowiedzialne podejście do ochrony środowiska;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27.</w:t>
      </w:r>
      <w:r w:rsidRPr="00554C86">
        <w:tab/>
      </w:r>
      <w:proofErr w:type="gramStart"/>
      <w:r w:rsidRPr="00554C86">
        <w:t>apeluje</w:t>
      </w:r>
      <w:proofErr w:type="gramEnd"/>
      <w:r w:rsidRPr="00554C86">
        <w:t xml:space="preserve"> o silne zorientowanie działań na Morze Czarne, wzmocnienie współpracy regionalnej w zakresie rozwiązywania kwestii dotyczących bezpieczeństwa, w tym kwestii związanych z konfliktami regionalnymi i bezpieczeństwem energetycznym, oraz o zachęcanie do realizacji projektów mających na celu modernizację portów i związanej z nimi infrastruktury oraz zwiększenie ich połączeń z istniejącymi węzłami transportowymi; w związku z tym wzywa w szczególności do przyłączenia ich do korytarzy TEN-T;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28.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 naciskiem, że należy przyjąć spójną strategię dla obszaru Morza Czarnego i rozwijać synergie z programem na rzecz Dunaju na lata 2021–2027;</w:t>
      </w:r>
    </w:p>
    <w:p w:rsidR="006D40F3" w:rsidRPr="00554C86" w:rsidRDefault="006D40F3" w:rsidP="006D40F3">
      <w:pPr>
        <w:pStyle w:val="NormalHanging12a"/>
        <w:rPr>
          <w:i/>
        </w:rPr>
      </w:pPr>
      <w:r w:rsidRPr="00554C86">
        <w:rPr>
          <w:i/>
        </w:rPr>
        <w:t>Basen Morza Śródziemnego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29.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silnych partnerstw gospodarczych i społecznych z państwami trzecimi w basenie Morza Śródziemnego; z zadowoleniem przyjmuje wzrost liczby krajów uczestniczących w programach Interreg Euro-MED na lata 2021–2027;</w:t>
      </w:r>
    </w:p>
    <w:p w:rsidR="006D40F3" w:rsidRPr="00554C86" w:rsidRDefault="006D40F3" w:rsidP="006D40F3">
      <w:pPr>
        <w:pStyle w:val="NormalHanging12a"/>
      </w:pPr>
      <w:r w:rsidRPr="00554C86">
        <w:t>30.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się o bardziej skoordynowane i efektywne wykorzystanie istniejących funduszy, w ramach obowiązujących przepisów społecznych, klimatycznych i środowiskowych, w celu zwiększenia konkurencyjności basenu Morza Śródziemnego przy jednoczesnym wspieraniu potencjału lądowych i morskich odnawialnych zasobów energii;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31.</w:t>
      </w:r>
      <w:r w:rsidRPr="00554C86">
        <w:tab/>
      </w:r>
      <w:proofErr w:type="gramStart"/>
      <w:r w:rsidRPr="00554C86">
        <w:t>uważa</w:t>
      </w:r>
      <w:proofErr w:type="gramEnd"/>
      <w:r w:rsidRPr="00554C86">
        <w:t>, że programy transgraniczne muszą odgrywać aktywną rolę w stawianiu czoła wspólnym wyzwaniom w zakresie bezpieczeństwa i osiąganiu stabilności w regionie;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32.</w:t>
      </w:r>
      <w:r w:rsidRPr="00554C86">
        <w:tab/>
      </w:r>
      <w:proofErr w:type="gramStart"/>
      <w:r w:rsidRPr="00554C86">
        <w:t>wzywa</w:t>
      </w:r>
      <w:proofErr w:type="gramEnd"/>
      <w:r w:rsidRPr="00554C86">
        <w:t xml:space="preserve"> do zarządzania przepływami migracyjnymi oraz zwalczania nielegalnej migracji i handlu ludźmi, w tym poprzez finansowanie projektów mających na celu przyjmowanie migrantów, opiekę nad nimi i zapewnianie im szkoleń, aby pomóc im stawić czoła wyzwaniom związanym z konkurencyjnym otoczeniem gospodarczym oraz lepiej zrozumieć i szanować wartości europejskie, przy jednoczesnym umacnianiu włączenia społecznego po obu stronach Morza Śródziemnego;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33.</w:t>
      </w:r>
      <w:r w:rsidRPr="00554C86">
        <w:tab/>
      </w:r>
      <w:proofErr w:type="gramStart"/>
      <w:r w:rsidRPr="00554C86">
        <w:t>uznaje</w:t>
      </w:r>
      <w:proofErr w:type="gramEnd"/>
      <w:r w:rsidRPr="00554C86">
        <w:t xml:space="preserve"> kluczową rolę badań i innowacji w zapobieganiu zagrożeniom związanym z klęskami żywiołowymi, w zrównoważonej gospodarce wodnej i ograniczaniu emisji CO</w:t>
      </w:r>
      <w:r w:rsidRPr="00554C86">
        <w:rPr>
          <w:vertAlign w:val="subscript"/>
        </w:rPr>
        <w:t>2</w:t>
      </w:r>
      <w:r w:rsidRPr="00554C86">
        <w:t xml:space="preserve"> oraz podkreśla potrzebę priorytetowego traktowania projektów, które mają wymierne cele pod względem skutków gospodarczych, społecznych i środowiskowych; </w:t>
      </w:r>
    </w:p>
    <w:p w:rsidR="006D40F3" w:rsidRPr="00554C86" w:rsidRDefault="006D40F3" w:rsidP="006D40F3">
      <w:pPr>
        <w:pStyle w:val="NormalHanging12a"/>
      </w:pPr>
      <w:r w:rsidRPr="00554C86">
        <w:t>34.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pomimo potencjału zasobów energii odnawialnej pozostają one w dużej mierze niewykorzystane i że potencjał ten należy stymulować, w tym poprzez zaangażowanie MŚP i spółek o średniej kapitalizacji;</w:t>
      </w:r>
    </w:p>
    <w:p w:rsidR="006D40F3" w:rsidRPr="00554C86" w:rsidRDefault="006D40F3" w:rsidP="006D40F3">
      <w:pPr>
        <w:pStyle w:val="NormalHanging12a"/>
      </w:pPr>
      <w:r w:rsidRPr="00554C86">
        <w:t>35.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strategię na rzecz zachodniej części regionu Morza Śródziemnego (WestMed) oraz programy Interreg, takie jak MARITTIMO, jako dobre przykłady bezpośredniej i zróżnicowanej współpracy, w tym na szczeblu regionalnym, obejmującej wspólne cele;</w:t>
      </w:r>
    </w:p>
    <w:p w:rsidR="006D40F3" w:rsidRPr="00554C86" w:rsidRDefault="006D40F3" w:rsidP="006D40F3">
      <w:pPr>
        <w:pStyle w:val="NormalHanging12a"/>
      </w:pPr>
      <w:r w:rsidRPr="00554C86">
        <w:lastRenderedPageBreak/>
        <w:t>36.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postępy w realizacji strategii UE na rzecz regionu Morza Adriatyckiego i Morza Jońskiego (EUSAIR), w której aktywnie uczestniczą państwa członkowskie i ich regiony, państwa trzecie i ich władze lokalne; uważa, że EUSAIR jest udanym przykładem zdolności UE do inicjowania działań i zachęcania do otwartości; utrzymuje, że te same zasady i podobne wspólne podejście powinny być stosowane w innych regionach Morza Śródziemnego;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37.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się do Rady Europejskiej, by zwróciła się do Komisji o przedstawienie szczegółowej strategii makroregionalnej na rzecz regionu Morza Śródziemnego, z uwzględnieniem jej Nowego programu na rzecz regionu Morza Śródziemnego, w szczególności sekcji 5 tego programu („Transformacja ekologiczna: odporność na zmianę klimatu, polityka energetyczna i środowisko), oraz o przyjęcie tej strategii; ubolewa nad ciągłym pogarszaniem się stanu środowiska w całym basenie Morza Śródziemnego, utratą różnorodności biologicznej oraz wzrostem zanieczyszczenia powietrza i morza, w szczególności odpadami z tworzyw sztucznych i odpadami z gospodarstw domowych, oraz wzywa do unikania tego zjawiska, ograniczania go i zapanowania nad nim poprzez promowanie gospodarki o obiegu zamkniętym;</w:t>
      </w:r>
    </w:p>
    <w:p w:rsidR="006D40F3" w:rsidRPr="00554C86" w:rsidRDefault="006D40F3" w:rsidP="006D40F3">
      <w:pPr>
        <w:pStyle w:val="NormalHanging12a"/>
        <w:rPr>
          <w:b/>
          <w:i/>
        </w:rPr>
      </w:pPr>
      <w:r w:rsidRPr="00554C86">
        <w:rPr>
          <w:b/>
          <w:i/>
        </w:rPr>
        <w:t>Wyzwania w dziedzinie współpracy transgranicznej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38.</w:t>
      </w:r>
      <w:r w:rsidRPr="00554C86">
        <w:tab/>
      </w:r>
      <w:proofErr w:type="gramStart"/>
      <w:r w:rsidRPr="00554C86">
        <w:t>zauważa</w:t>
      </w:r>
      <w:proofErr w:type="gramEnd"/>
      <w:r w:rsidRPr="00554C86">
        <w:t>, że różne ramy prawne i instytucjonalne stwarzają dodatkowe bariery dla realizacji projektów, co sprawia, że wdrażanie ich staje się wyzwaniem; zwraca uwagę, że procedury administracyjne mogą być skomplikowane i czasochłonne, co może zniechęcać władze lokalne i regionalne do udziału we współpracy terytorialnej; wzywa Komisję, by pomogła uprościć te procedury poprzez poprawę dostępu do nich i uczynienie ich bardziej przejrzystymi;</w:t>
      </w:r>
    </w:p>
    <w:p w:rsidR="006D40F3" w:rsidRPr="00554C86" w:rsidRDefault="006D40F3" w:rsidP="006D40F3">
      <w:pPr>
        <w:pStyle w:val="NormalHanging12a"/>
      </w:pPr>
      <w:r w:rsidRPr="00554C86">
        <w:t>39.</w:t>
      </w:r>
      <w:r w:rsidRPr="00554C86">
        <w:tab/>
      </w:r>
      <w:proofErr w:type="gramStart"/>
      <w:r w:rsidRPr="00554C86">
        <w:t>zauważa</w:t>
      </w:r>
      <w:proofErr w:type="gramEnd"/>
      <w:r w:rsidRPr="00554C86">
        <w:t>, że bariery językowe i różnice kulturowe utrudniają komunikację i mogą prowadzić do obciążeń administracyjnych, które należny usunąć za pomocą odpowiednich środków;</w:t>
      </w:r>
    </w:p>
    <w:p w:rsidR="006D40F3" w:rsidRPr="00554C86" w:rsidRDefault="006D40F3" w:rsidP="006D40F3">
      <w:pPr>
        <w:pStyle w:val="NormalHanging12a"/>
      </w:pPr>
      <w:r w:rsidRPr="00554C86">
        <w:t>40.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istnieją różnice między państwami pod względem uprawnień władz i zmian we władzach regionalnych, co może prowadzić do opóźnień; uważa, że należy zachęcać władze lokalne do dialogu i wspierać udział społeczeństwa obywatelskiego w projektach współpracy terytorialnej angażujących organizacje pozarządowe, przedsiębiorstwa społeczne i inne zainteresowane strony;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41.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konieczność opracowania długoterminowych programów wymiany i współpracy w zakresie przedsiębiorczości między instytucjami i przedsiębiorstwami w regionach transgranicznych w celu promowania zrównoważonego rozwoju gospodarczego i poprawy koordynacji administracyjnej między uczestniczącymi państwami poprzez dalszy rozwój, reorganizację lub, w stosownych przypadkach, tworzenie trwałych struktur funkcjonalnych dla współpracy transgranicznej i sieci transgranicznych;</w:t>
      </w:r>
    </w:p>
    <w:p w:rsidR="006D40F3" w:rsidRPr="00554C86" w:rsidRDefault="006D40F3" w:rsidP="006D40F3">
      <w:pPr>
        <w:pStyle w:val="NormalHanging12a"/>
      </w:pPr>
      <w:r w:rsidRPr="00554C86">
        <w:t>42.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uwagę, że ważne jest ustanowienie systemu wymiany międzykulturowej w perspektywie krótko- i średnioterminowej, aby promować naukę wspólnych języków, wspierać głębsze zrozumienie kultur regionalnych i ułatwiać współpracę między społecznościami transgranicznymi, oraz podkreśla, że system ten powinien obejmować aspekty związane z przedsiębiorczością i administracją, aby stymulować rozwój gospodarczy i administracyjny;</w:t>
      </w:r>
    </w:p>
    <w:p w:rsidR="006D40F3" w:rsidRPr="00554C86" w:rsidRDefault="006D40F3" w:rsidP="006D40F3">
      <w:pPr>
        <w:pStyle w:val="NormalHanging12a"/>
      </w:pPr>
      <w:r w:rsidRPr="00554C86">
        <w:lastRenderedPageBreak/>
        <w:t>43.</w:t>
      </w:r>
      <w:r w:rsidRPr="00554C86">
        <w:tab/>
      </w:r>
      <w:proofErr w:type="gramStart"/>
      <w:r w:rsidRPr="00554C86">
        <w:t>stwierdza</w:t>
      </w:r>
      <w:proofErr w:type="gramEnd"/>
      <w:r w:rsidRPr="00554C86">
        <w:t>, że programy powinny być dostosowane do indywidualnych potrzeb i specyfiki każdego uczestniczącego kraju/regionu; apeluje o dalsze wysiłki w tym zakresie;</w:t>
      </w:r>
    </w:p>
    <w:p w:rsidR="006D40F3" w:rsidRPr="00554C86" w:rsidRDefault="006D40F3" w:rsidP="006D40F3">
      <w:pPr>
        <w:pStyle w:val="NormalHanging12a"/>
      </w:pPr>
      <w:r w:rsidRPr="00554C86">
        <w:t>44.</w:t>
      </w:r>
      <w:r w:rsidRPr="00554C86">
        <w:tab/>
      </w:r>
      <w:proofErr w:type="gramStart"/>
      <w:r w:rsidRPr="00554C86">
        <w:t>zauważa</w:t>
      </w:r>
      <w:proofErr w:type="gramEnd"/>
      <w:r w:rsidRPr="00554C86">
        <w:t>, że pandemia COVID-19 wywarła niekorzystny wpływ na regiony przygraniczne i utrudniła realizację obecnych programów i projektów;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45.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uwagę, że brak odpowiedniej infrastruktury i sieci transportowych, zwłaszcza w odniesieniu do transgranicznej współpracy morskiej i wyspiarskiej, utrudnia handel i mobilność oraz komplikuje współpracę;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46.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uwagę na szczególne wyzwania stwarzane przez granice morskie oraz na potrzebę uznania ich za szczególne granice mające własne potrzeby, w szczególności ze względu na różnice językowe i kulturowe, obciążania administracyjne i prawne, różnice społeczno-gospodarcze oraz kwestie środowiskowe;</w:t>
      </w:r>
    </w:p>
    <w:p w:rsidR="006D40F3" w:rsidRPr="00554C86" w:rsidRDefault="006D40F3" w:rsidP="006D40F3">
      <w:pPr>
        <w:pStyle w:val="NormalHanging12a"/>
        <w:rPr>
          <w:b/>
          <w:i/>
        </w:rPr>
      </w:pPr>
      <w:r w:rsidRPr="00554C86">
        <w:rPr>
          <w:b/>
          <w:i/>
        </w:rPr>
        <w:t>Możliwości współpracy transgranicznej</w:t>
      </w:r>
    </w:p>
    <w:p w:rsidR="006D40F3" w:rsidRPr="00554C86" w:rsidRDefault="006D40F3" w:rsidP="006D40F3">
      <w:pPr>
        <w:pStyle w:val="NormalHanging12a"/>
      </w:pPr>
      <w:r w:rsidRPr="00554C86">
        <w:t>47.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w obliczu wielu kryzysów i konfliktów współpraca transgraniczna z krajami sąsiadującymi wymaga inwestycji w odporność krajów i społeczeństw oraz że priorytety partnerstwa powinny przyczyniać się do znacznej poprawy warunków życia po obu stronach granicy, w tym poprzez zapewnienie zrównoważonego rozwoju sprzyjającego włączeniu społecznemu, sprawiedliwości społecznej, możliwości zatrudnienia i dobrobytu gospodarczego;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48.</w:t>
      </w:r>
      <w:r w:rsidRPr="00554C86">
        <w:tab/>
      </w:r>
      <w:proofErr w:type="gramStart"/>
      <w:r w:rsidRPr="00554C86">
        <w:t>uważa</w:t>
      </w:r>
      <w:proofErr w:type="gramEnd"/>
      <w:r w:rsidRPr="00554C86">
        <w:t>, że współpraca transgraniczna może w istotny sposób przyczynić się do wzmocnienia demokracji lokalnej i regionalnej oraz zdolności administracyjnych krajów partnerskich; podkreśla znaczenie europejskich ugrupowań współpracy terytorialnej (EUWT) dla ułatwiania i promowania współpracy terytorialnej, a w szczególności zarządzania transgranicznymi usługami transportowymi bądź szpitalami, realizacji transgranicznych projektów rozwojowych bądź zarządzania nimi oraz wymiany wiedzy i najlepszych praktyk;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49.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uwzględnienia kultury w programach transgranicznych UE jako ważnego wskaźnika rozwoju regionalnego, w szczególności na obszarach przygranicznych, gdzie ludzie mieszkający po obu stronach granicy mają tę samą tożsamość kulturową i językową, w celu ożywienia regionów i zwiększenia ich atrakcyjności, zwiększenia wymiany kulturalnej oraz promowania różnorodności i solidarności ponad granicami UE;</w:t>
      </w:r>
    </w:p>
    <w:p w:rsidR="006D40F3" w:rsidRPr="00554C86" w:rsidRDefault="006D40F3" w:rsidP="006D40F3">
      <w:pPr>
        <w:pStyle w:val="NormalHanging12a"/>
      </w:pPr>
      <w:r w:rsidRPr="00554C86">
        <w:t>50.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uwagę, że programy te oferują możliwości pogłębionego dialogu z szerokim gronem zainteresowanych stron, w tym z przedstawicielami społeczeństwa obywatelskiego, władz lokalnych i regionalnych, uniwersytetów, obywateli, organizacji pozarządowych i sektora prywatnego; podkreśla w szczególności znaczenie programów transgranicznych dla krajów kandydujących do UE, ponieważ dają one władzom lokalnym i krajowym możliwość zapoznania się z prawodawstwem UE;</w:t>
      </w:r>
    </w:p>
    <w:p w:rsidR="006D40F3" w:rsidRPr="00554C86" w:rsidRDefault="006D40F3" w:rsidP="006D40F3">
      <w:pPr>
        <w:pStyle w:val="NormalHanging12a"/>
      </w:pPr>
      <w:r w:rsidRPr="00554C86">
        <w:t>51.</w:t>
      </w:r>
      <w:r w:rsidRPr="00554C86">
        <w:tab/>
      </w:r>
      <w:proofErr w:type="gramStart"/>
      <w:r w:rsidRPr="00554C86">
        <w:t>zauważa</w:t>
      </w:r>
      <w:proofErr w:type="gramEnd"/>
      <w:r w:rsidRPr="00554C86">
        <w:t>, że współpraca transgraniczna może przyczynić się do dalszego zmniejszania dysproporcji regionalnych, promowania rozwoju gospodarczego i społecznego, uwzględniania aspektu płci, zatrudnienia, handlu i spójności terytorialnej oraz do poprawy mobilności ludzi i łączności między regionami;</w:t>
      </w:r>
    </w:p>
    <w:p w:rsidR="006D40F3" w:rsidRPr="00554C86" w:rsidRDefault="006D40F3" w:rsidP="006D40F3">
      <w:pPr>
        <w:pStyle w:val="NormalHanging12a"/>
      </w:pPr>
      <w:r w:rsidRPr="00554C86">
        <w:lastRenderedPageBreak/>
        <w:t>52.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współpracy transgranicznej w zakresie cyfryzacji oraz potrzebę wspólnych projektów w dziedzinie infrastruktury cyfrowej, w szczególności w usługach publicznych, w celu zapewnienia spójnego i wydajnego sektora publicznego ukierunkowanego na potrzeby wszystkich;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53.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UE i państwa członkowskie powinny ściślej współpracować z krajami sąsiadującymi w dziedzinie opieki zdrowotnej i służb ratunkowych oraz poprawić zdolność MŚP i spółek o średniej kapitalizacji do prowadzenia działalności transgranicznej;</w:t>
      </w:r>
    </w:p>
    <w:p w:rsidR="006D40F3" w:rsidRPr="00554C86" w:rsidRDefault="006D40F3" w:rsidP="006D40F3">
      <w:pPr>
        <w:pStyle w:val="NormalHanging12a"/>
      </w:pPr>
      <w:r w:rsidRPr="00554C86">
        <w:t>54.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tworzenia sieci kontaktów i benchmarkingu w celu usuwania przeszkód we współpracy transgranicznej i wskazuje, że powinno to umożliwić lepsze wykorzystanie takich instrumentów jak EUWT, instrument zintegrowanych inwestycji terytorialnych oraz strategia rozwoju lokalnego kierowanego przez społeczność.</w:t>
      </w:r>
    </w:p>
    <w:p w:rsidR="006D40F3" w:rsidRPr="00554C86" w:rsidRDefault="006D40F3" w:rsidP="006D40F3">
      <w:pPr>
        <w:pStyle w:val="NormalHanging12a"/>
      </w:pPr>
      <w:r w:rsidRPr="00554C86">
        <w:t>55.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kluczową rolę, jaką inwestycje w wysokiej jakości usługi publiczne odgrywają w budowaniu odporności społecznej i radzeniu sobie z kryzysami gospodarczymi, zdrowotnymi i społecznymi;</w:t>
      </w:r>
    </w:p>
    <w:p w:rsidR="006D40F3" w:rsidRPr="00554C86" w:rsidRDefault="006D40F3" w:rsidP="006D40F3">
      <w:pPr>
        <w:pStyle w:val="NormalHanging12a"/>
      </w:pPr>
      <w:r w:rsidRPr="00554C86">
        <w:t>56.</w:t>
      </w:r>
      <w:r w:rsidRPr="00554C86">
        <w:tab/>
      </w:r>
      <w:proofErr w:type="gramStart"/>
      <w:r w:rsidRPr="00554C86">
        <w:t>z</w:t>
      </w:r>
      <w:proofErr w:type="gramEnd"/>
      <w:r w:rsidRPr="00554C86">
        <w:t xml:space="preserve"> zadowoleniem przyjmuje stałe zaangażowanie rządu Zjednoczonego Królestwa w program PEACE, który odgrywa kluczową rolę we współpracy między regionami przygranicznymi Irlandii i Irlandii Północnej;</w:t>
      </w:r>
    </w:p>
    <w:p w:rsidR="006D40F3" w:rsidRPr="00554C86" w:rsidRDefault="006D40F3" w:rsidP="006D40F3">
      <w:pPr>
        <w:pStyle w:val="NormalHanging12a"/>
      </w:pPr>
      <w:r w:rsidRPr="00554C86">
        <w:t>57.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kluczową rolę programu PEACE PLUS w utrzymywaniu stosunków dobrosąsiedzkich w tych regionach i zapewnianiu rozwoju społeczno-gospodarczego tych regionów;</w:t>
      </w:r>
    </w:p>
    <w:p w:rsidR="006D40F3" w:rsidRPr="00554C86" w:rsidRDefault="006D40F3" w:rsidP="006D40F3">
      <w:pPr>
        <w:pStyle w:val="NormalHanging12a"/>
        <w:rPr>
          <w:rFonts w:eastAsiaTheme="majorEastAsia"/>
          <w:b/>
          <w:bCs/>
          <w:i/>
          <w:kern w:val="32"/>
        </w:rPr>
      </w:pPr>
      <w:r w:rsidRPr="00554C86">
        <w:rPr>
          <w:b/>
          <w:i/>
        </w:rPr>
        <w:t>Zalecenia dotyczące polityki</w:t>
      </w:r>
    </w:p>
    <w:p w:rsidR="006D40F3" w:rsidRPr="00554C86" w:rsidRDefault="006D40F3" w:rsidP="006D40F3">
      <w:pPr>
        <w:pStyle w:val="NormalHanging12a"/>
      </w:pPr>
      <w:r w:rsidRPr="00554C86">
        <w:t>58.</w:t>
      </w:r>
      <w:r w:rsidRPr="00554C86">
        <w:tab/>
      </w:r>
      <w:proofErr w:type="gramStart"/>
      <w:r w:rsidRPr="00554C86">
        <w:t>zaleca</w:t>
      </w:r>
      <w:proofErr w:type="gramEnd"/>
      <w:r w:rsidRPr="00554C86">
        <w:t xml:space="preserve"> zwiększenie komplementarności projektów i podkreśla, że, aby uniknąć podwójnego finansowania, niezbędne są synergie z innymi narzędziami finansowania unijnego obejmującymi ten sam obszar pod względem geograficznym i tematycznym; podkreśla, że w okresie programowania 2021–2027 ukierunkowane programy muszą jasno określać wymogi i priorytety wspólne dla regionów położonych wzdłuż granic zewnętrznych UE i uzupełniać inne inicjatywy finansowane przez UE, a nie pokrywać się z nimi;</w:t>
      </w:r>
    </w:p>
    <w:p w:rsidR="006D40F3" w:rsidRPr="00554C86" w:rsidRDefault="006D40F3" w:rsidP="006D40F3">
      <w:pPr>
        <w:pStyle w:val="NormalHanging12a"/>
      </w:pPr>
      <w:r w:rsidRPr="00554C86">
        <w:t>59.</w:t>
      </w:r>
      <w:r w:rsidRPr="00554C86">
        <w:tab/>
      </w:r>
      <w:proofErr w:type="gramStart"/>
      <w:r w:rsidRPr="00554C86">
        <w:t>uważa</w:t>
      </w:r>
      <w:proofErr w:type="gramEnd"/>
      <w:r w:rsidRPr="00554C86">
        <w:t>, że należy jeszcze bardziej zwiększyć rolę, jaką odgrywają strategie makroregionalne UE w stawianiu czoła wyzwaniom stojącym przed regionami przygranicznymi;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60.</w:t>
      </w:r>
      <w:r w:rsidRPr="00554C86">
        <w:tab/>
      </w:r>
      <w:proofErr w:type="gramStart"/>
      <w:r w:rsidRPr="00554C86">
        <w:t>zaleca</w:t>
      </w:r>
      <w:proofErr w:type="gramEnd"/>
      <w:r w:rsidRPr="00554C86">
        <w:t xml:space="preserve"> opracowanie w dziedzinie zarządzania transgranicznego w pełni zintegrowanej strategii infrastrukturalnej (drogowej, kolejowej, wodnej), z uwzględnieniem całego regionu transgranicznego; podkreśla znaczenie opracowania bardziej zrównoważonych rozwiązań w zakresie mobilności, w tym w ramach polityki TEN-T, we wszystkich obszarach przygranicznych; wzywa Komisję i państwa członkowskie do promowania inteligentnej mobilności; </w:t>
      </w:r>
    </w:p>
    <w:p w:rsidR="006D40F3" w:rsidRPr="00554C86" w:rsidRDefault="006D40F3" w:rsidP="006D40F3">
      <w:pPr>
        <w:pStyle w:val="NormalHanging12a"/>
      </w:pPr>
      <w:r w:rsidRPr="00554C86">
        <w:t>61.</w:t>
      </w:r>
      <w:r w:rsidRPr="00554C86">
        <w:tab/>
      </w:r>
      <w:proofErr w:type="gramStart"/>
      <w:r w:rsidRPr="00554C86">
        <w:t>zaleca</w:t>
      </w:r>
      <w:proofErr w:type="gramEnd"/>
      <w:r w:rsidRPr="00554C86">
        <w:t xml:space="preserve"> promowanie instrumentów finansowych UE o społecznej i ekonomicznej wartości dodanej w celu zwiększenia świadomości na temat korzyści płynących z UE;</w:t>
      </w:r>
    </w:p>
    <w:p w:rsidR="006D40F3" w:rsidRPr="00554C86" w:rsidRDefault="006D40F3" w:rsidP="006D40F3">
      <w:pPr>
        <w:pStyle w:val="NormalHanging12a"/>
      </w:pPr>
      <w:r w:rsidRPr="00554C86">
        <w:t>62.</w:t>
      </w:r>
      <w:r w:rsidRPr="00554C86">
        <w:tab/>
      </w:r>
      <w:proofErr w:type="gramStart"/>
      <w:r w:rsidRPr="00554C86">
        <w:t>wzywa</w:t>
      </w:r>
      <w:proofErr w:type="gramEnd"/>
      <w:r w:rsidRPr="00554C86">
        <w:t xml:space="preserve"> Komisję do zmniejszenia obciążeń biurokratycznych, znacznego uproszczenia </w:t>
      </w:r>
      <w:r w:rsidRPr="00554C86">
        <w:lastRenderedPageBreak/>
        <w:t>procedur i ograniczenia przeszkód związanych z różnymi porządkami prawnymi; podkreśla, że powinno to umożliwić zaspokajanie rzeczywistych potrzeb obszarów transgranicznych; podkreśla, że zrównoważony rozwój sprzyjający włączeniu społecznemu wymaga działań na wszystkich szczeblach; wyraźnie uznaje potrzebę zwrócenia uwagi na obszary wiejskie w regionach transgranicznych, ponieważ w szczególnym stopniu dotyczy ich problem wyzwań demograficznych;</w:t>
      </w:r>
    </w:p>
    <w:p w:rsidR="006D40F3" w:rsidRPr="00554C86" w:rsidRDefault="006D40F3" w:rsidP="006D40F3">
      <w:pPr>
        <w:pStyle w:val="NormalHanging12a"/>
      </w:pPr>
      <w:r w:rsidRPr="00554C86">
        <w:t>63.</w:t>
      </w:r>
      <w:r w:rsidRPr="00554C86">
        <w:tab/>
      </w:r>
      <w:proofErr w:type="gramStart"/>
      <w:r w:rsidRPr="00554C86">
        <w:t>wzywa</w:t>
      </w:r>
      <w:proofErr w:type="gramEnd"/>
      <w:r w:rsidRPr="00554C86">
        <w:t xml:space="preserve"> do lepszej koordynacji, dialogu i dalszej wymiany najlepszych praktyk między regionami i państwami, na przykład za pośrednictwem platformy takiej jak INTERREG Europa; wzywa Komisję i państwa członkowskie do zacieśnienia współpracy w tym zakresie i wzywa państwa członkowskie do zapewnienia władzom lokalnym i regionalnym narzędzi i zasobów niezbędnych do wspierania ambitnej współpracy transgranicznej; stwierdza, że publiczne usługi edukacyjne i kulturalne powinny być otwarte, dostępne i przystępne cenowo dla obywateli po obu stronach granic;</w:t>
      </w:r>
    </w:p>
    <w:p w:rsidR="006D40F3" w:rsidRPr="00554C86" w:rsidRDefault="006D40F3" w:rsidP="006D40F3">
      <w:pPr>
        <w:pStyle w:val="NormalHanging12a"/>
      </w:pPr>
      <w:r w:rsidRPr="00554C86">
        <w:t>64.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>, że zgodnie z zasadą partnerstwa władze regionalne i lokalne, a także przedstawiciele społeczeństwa obywatelskiego i sektora prywatnego powinni być w jak największym stopniu zaangażowani w przygotowanie i realizację projektów od samego początku; wzywa Komisję, aby rozważyła udzielenie wsparcia technicznego władzom lokalnym i regionalnym w krajach sąsiadujących, aby pomóc im w opracowywaniu i wdrażaniu projektów współpracy terytorialnej; apeluje ponadto o opracowanie wytycznych w tym zakresie;</w:t>
      </w:r>
    </w:p>
    <w:p w:rsidR="006D40F3" w:rsidRPr="00554C86" w:rsidRDefault="006D40F3" w:rsidP="006D40F3">
      <w:pPr>
        <w:pStyle w:val="NormalHanging12a"/>
      </w:pPr>
      <w:r w:rsidRPr="00554C86">
        <w:t>65.</w:t>
      </w:r>
      <w:r w:rsidRPr="00554C86">
        <w:tab/>
      </w:r>
      <w:proofErr w:type="gramStart"/>
      <w:r w:rsidRPr="00554C86">
        <w:t>wzywa</w:t>
      </w:r>
      <w:proofErr w:type="gramEnd"/>
      <w:r w:rsidRPr="00554C86">
        <w:t xml:space="preserve"> Komisję, aby nadal uwzględniała cele zrównoważonego rozwoju w przyszłych planach działania dotyczących współpracy transgranicznej, tak aby żaden region ani nikt nie został pominięty;</w:t>
      </w:r>
    </w:p>
    <w:p w:rsidR="006D40F3" w:rsidRPr="00554C86" w:rsidRDefault="006D40F3" w:rsidP="006D40F3">
      <w:pPr>
        <w:pStyle w:val="NormalHanging12a"/>
      </w:pPr>
      <w:r w:rsidRPr="00554C86">
        <w:t>66.</w:t>
      </w:r>
      <w:r w:rsidRPr="00554C86">
        <w:tab/>
      </w:r>
      <w:proofErr w:type="gramStart"/>
      <w:r w:rsidRPr="00554C86">
        <w:t>wzywa</w:t>
      </w:r>
      <w:proofErr w:type="gramEnd"/>
      <w:r w:rsidRPr="00554C86">
        <w:t xml:space="preserve"> Komisję, aby kontynuowała współpracę z krajami partnerskimi w celu promowania współpracy transgranicznej i zapewniała, w razie potrzeby, wiedzę fachową, by udzielać wsparcia organom partnerskim w krajach partnerskich i poprawić jakość przekazywanych im informacji na temat procedur i warunków dostępu do finansowania UE;</w:t>
      </w:r>
    </w:p>
    <w:p w:rsidR="006D40F3" w:rsidRPr="00554C86" w:rsidRDefault="006D40F3" w:rsidP="006D40F3">
      <w:pPr>
        <w:pStyle w:val="NormalHanging12a"/>
      </w:pPr>
      <w:r w:rsidRPr="00554C86">
        <w:t>67.</w:t>
      </w:r>
      <w:r w:rsidRPr="00554C86">
        <w:tab/>
      </w:r>
      <w:proofErr w:type="gramStart"/>
      <w:r w:rsidRPr="00554C86">
        <w:t>apeluje</w:t>
      </w:r>
      <w:proofErr w:type="gramEnd"/>
      <w:r w:rsidRPr="00554C86">
        <w:t xml:space="preserve"> o zwiększenie ogólnego budżetu na transgraniczną współpracę terytorialną;</w:t>
      </w:r>
    </w:p>
    <w:p w:rsidR="006D40F3" w:rsidRPr="00554C86" w:rsidRDefault="006D40F3" w:rsidP="006D40F3">
      <w:pPr>
        <w:pStyle w:val="NormalHanging12a"/>
      </w:pPr>
      <w:r w:rsidRPr="00554C86">
        <w:t>68.</w:t>
      </w:r>
      <w:r w:rsidRPr="00554C86">
        <w:tab/>
      </w:r>
      <w:proofErr w:type="gramStart"/>
      <w:r w:rsidRPr="00554C86">
        <w:t>uważa</w:t>
      </w:r>
      <w:proofErr w:type="gramEnd"/>
      <w:r w:rsidRPr="00554C86">
        <w:t>, że utworzenie wspólnych transgranicznych rad samorządów lokalnych, takich jak rada rumuńsko-mołdawska, mających pomagać w opracowaniu wspólnych projektów będących przedmiotem wspólnego zainteresowania, mogłoby być przykładem do naśladowania;</w:t>
      </w:r>
    </w:p>
    <w:p w:rsidR="006D40F3" w:rsidRPr="00554C86" w:rsidRDefault="006D40F3" w:rsidP="006D40F3">
      <w:pPr>
        <w:pStyle w:val="NormalHanging12a"/>
      </w:pPr>
      <w:r w:rsidRPr="00554C86">
        <w:t>69.</w:t>
      </w:r>
      <w:r w:rsidRPr="00554C86">
        <w:tab/>
      </w:r>
      <w:proofErr w:type="gramStart"/>
      <w:r w:rsidRPr="00554C86">
        <w:t>zachęca</w:t>
      </w:r>
      <w:proofErr w:type="gramEnd"/>
      <w:r w:rsidRPr="00554C86">
        <w:t xml:space="preserve"> do wysiłków na rzecz zbliżenia krajów partnerskich do UE, zachęcania do reform wewnętrznych i budowania zdolności na szczeblu lokalnym i regionalnym oraz promowania demokracji lokalnej, wielopoziomowego sprawowania rządów i współpracy zdecentralizowanej, w tym poprzez współpracę w ramach EuroNest i Konferencji Władz Lokalnych i Regionalnych Partnerstwa Wschodniego (CORLEAP) w przypadku wschodniego sąsiedztwa i w ramach Eurośródziemnomorskiego Zgromadzenia Samorządów Lokalnych i Regionalnych (ARLEM) oraz Zgromadzenia Parlamentarnego Unii dla Śródziemnomorza (PA-UfM) w przypadku południowego sąsiedztwa;</w:t>
      </w:r>
    </w:p>
    <w:p w:rsidR="006D40F3" w:rsidRPr="00554C86" w:rsidRDefault="006D40F3" w:rsidP="006D40F3">
      <w:pPr>
        <w:pStyle w:val="NormalHanging12a"/>
      </w:pPr>
      <w:r w:rsidRPr="00554C86">
        <w:t>70.</w:t>
      </w:r>
      <w:r w:rsidRPr="00554C86">
        <w:tab/>
      </w:r>
      <w:proofErr w:type="gramStart"/>
      <w:r w:rsidRPr="00554C86">
        <w:t>zwraca</w:t>
      </w:r>
      <w:proofErr w:type="gramEnd"/>
      <w:r w:rsidRPr="00554C86">
        <w:t xml:space="preserve"> uwagę, że należy zwiększyć wysiłki i zasoby na projekty transgraniczne mające </w:t>
      </w:r>
      <w:r w:rsidRPr="00554C86">
        <w:lastRenderedPageBreak/>
        <w:t>na celu rozwój infrastruktury informatycznej i zwiększenie dostępu do sieci szerokopasmowych w celu wspierania współpracy gospodarczej i społecznej między regionami transgranicznymi; podkreśla ważną rolę, jaką technologie i innowacje wprowadzane przez sztuczną inteligencję mogą odegrać we wzmacnianiu powiązań, promowaniu zrównoważonego rozwoju oraz ulepszaniu i upraszczaniu procedur administracyjnych;</w:t>
      </w:r>
    </w:p>
    <w:p w:rsidR="006D40F3" w:rsidRPr="00554C86" w:rsidRDefault="006D40F3" w:rsidP="006D40F3">
      <w:pPr>
        <w:pStyle w:val="NormalHanging12a"/>
      </w:pPr>
      <w:r w:rsidRPr="00554C86">
        <w:t>71.</w:t>
      </w:r>
      <w:r w:rsidRPr="00554C86">
        <w:tab/>
      </w:r>
      <w:proofErr w:type="gramStart"/>
      <w:r w:rsidRPr="00554C86">
        <w:t>podkreśla</w:t>
      </w:r>
      <w:proofErr w:type="gramEnd"/>
      <w:r w:rsidRPr="00554C86">
        <w:t xml:space="preserve"> znaczenie identyfikacji i unikania nakładania się projektów i zbędnych wydatków w ramach różnych programów i inicjatyw europejskich;</w:t>
      </w:r>
    </w:p>
    <w:p w:rsidR="006D40F3" w:rsidRPr="00554C86" w:rsidRDefault="006D40F3" w:rsidP="006D40F3">
      <w:pPr>
        <w:pStyle w:val="NormalHanging12a"/>
        <w:rPr>
          <w:szCs w:val="24"/>
        </w:rPr>
      </w:pPr>
      <w:r w:rsidRPr="00554C86">
        <w:t>72.</w:t>
      </w:r>
      <w:r w:rsidRPr="00554C86">
        <w:tab/>
      </w:r>
      <w:proofErr w:type="gramStart"/>
      <w:r w:rsidRPr="00554C86">
        <w:t>zaleca</w:t>
      </w:r>
      <w:proofErr w:type="gramEnd"/>
      <w:r w:rsidRPr="00554C86">
        <w:t xml:space="preserve"> przeprowadzanie okresowych ocen projektów współpracy transgranicznej w celu zapewnienia efektywnego wykorzystania zasobów finansowych UE.</w:t>
      </w:r>
    </w:p>
    <w:p w:rsidR="006D40F3" w:rsidRPr="00554C86" w:rsidRDefault="006D40F3" w:rsidP="006D40F3">
      <w:pPr>
        <w:pStyle w:val="NormalHanging12a"/>
        <w:jc w:val="center"/>
        <w:rPr>
          <w:rFonts w:ascii="Calibri" w:hAnsi="Calibri" w:cs="Calibri"/>
          <w:sz w:val="27"/>
          <w:szCs w:val="27"/>
        </w:rPr>
      </w:pPr>
      <w:r w:rsidRPr="00554C86">
        <w:rPr>
          <w:rFonts w:ascii="Calibri" w:hAnsi="Calibri"/>
          <w:sz w:val="27"/>
        </w:rPr>
        <w:t>°</w:t>
      </w:r>
    </w:p>
    <w:p w:rsidR="006D40F3" w:rsidRPr="00554C86" w:rsidRDefault="006D40F3" w:rsidP="006D40F3">
      <w:pPr>
        <w:pStyle w:val="NormalHanging12a"/>
        <w:jc w:val="center"/>
        <w:rPr>
          <w:szCs w:val="24"/>
        </w:rPr>
      </w:pPr>
      <w:r w:rsidRPr="00554C86">
        <w:rPr>
          <w:rFonts w:ascii="Calibri" w:hAnsi="Calibri"/>
          <w:sz w:val="27"/>
        </w:rPr>
        <w:t>°</w:t>
      </w:r>
      <w:r w:rsidRPr="00554C86">
        <w:rPr>
          <w:rFonts w:ascii="Calibri" w:hAnsi="Calibri"/>
          <w:sz w:val="27"/>
        </w:rPr>
        <w:tab/>
        <w:t>°</w:t>
      </w:r>
    </w:p>
    <w:p w:rsidR="006D40F3" w:rsidRPr="00554C86" w:rsidRDefault="006D40F3" w:rsidP="006D40F3">
      <w:pPr>
        <w:pStyle w:val="NormalHanging12a"/>
      </w:pPr>
      <w:r w:rsidRPr="00554C86">
        <w:t>73.</w:t>
      </w:r>
      <w:r w:rsidRPr="00554C86">
        <w:tab/>
      </w:r>
      <w:proofErr w:type="gramStart"/>
      <w:r w:rsidRPr="00554C86">
        <w:t>zobowiązuje</w:t>
      </w:r>
      <w:proofErr w:type="gramEnd"/>
      <w:r w:rsidRPr="00554C86">
        <w:t xml:space="preserve"> swoją przewodniczącą do przekazania niniejszej rezolucji Radzie Europejskiej, Radzie oraz Komisji, a także Europejskiemu Komitetowi Ekonomiczno-Społecznemu, Europejskiemu Komitetowi Regionów oraz parlamentom narodowym i regionalnym państw członkowskich.</w:t>
      </w:r>
    </w:p>
    <w:p w:rsidR="00E365E1" w:rsidRPr="00554C86" w:rsidRDefault="00E365E1" w:rsidP="00A716A6">
      <w:bookmarkStart w:id="8" w:name="TextBodyEnd"/>
      <w:bookmarkEnd w:id="8"/>
    </w:p>
    <w:sectPr w:rsidR="00E365E1" w:rsidRPr="00554C86" w:rsidSect="00554C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6A6" w:rsidRPr="00554C86" w:rsidRDefault="00A716A6">
      <w:r w:rsidRPr="00554C86">
        <w:separator/>
      </w:r>
    </w:p>
  </w:endnote>
  <w:endnote w:type="continuationSeparator" w:id="0">
    <w:p w:rsidR="00A716A6" w:rsidRPr="00554C86" w:rsidRDefault="00A716A6">
      <w:r w:rsidRPr="00554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4C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4C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4C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6A6" w:rsidRPr="00554C86" w:rsidRDefault="00A716A6">
      <w:r w:rsidRPr="00554C86">
        <w:separator/>
      </w:r>
    </w:p>
  </w:footnote>
  <w:footnote w:type="continuationSeparator" w:id="0">
    <w:p w:rsidR="00A716A6" w:rsidRPr="00554C86" w:rsidRDefault="00A716A6">
      <w:r w:rsidRPr="00554C86">
        <w:continuationSeparator/>
      </w:r>
    </w:p>
  </w:footnote>
  <w:footnote w:id="1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L 231 z 30.6.2021,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159.</w:t>
      </w:r>
    </w:p>
  </w:footnote>
  <w:footnote w:id="2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L 231 z 30.6.2021,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60.</w:t>
      </w:r>
    </w:p>
  </w:footnote>
  <w:footnote w:id="3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L 231 z 30.6.2021,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94.</w:t>
      </w:r>
    </w:p>
  </w:footnote>
  <w:footnote w:id="4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L 109 z 8.4.2022,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1.</w:t>
      </w:r>
    </w:p>
  </w:footnote>
  <w:footnote w:id="5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L 210 z 31.7.2006,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19.</w:t>
      </w:r>
    </w:p>
  </w:footnote>
  <w:footnote w:id="6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C 111 I z 3.4.2020,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1.</w:t>
      </w:r>
    </w:p>
  </w:footnote>
  <w:footnote w:id="7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C 125 z 5.4.2023,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100.</w:t>
      </w:r>
    </w:p>
  </w:footnote>
  <w:footnote w:id="8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>Teksty przyjęte, P9_TA(2023)0133.</w:t>
      </w:r>
    </w:p>
  </w:footnote>
  <w:footnote w:id="9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C 162 z 10.5.2019,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24.</w:t>
      </w:r>
    </w:p>
  </w:footnote>
  <w:footnote w:id="10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>Badanie pt. „EU lagging regions: state of play and future challenges” [Regiony słabiej rozwinięte w UE: aktualna sytuacja i wyzwania na przyszłość], Parlament Europejski, Dyrekcja Generalna ds. Analiz Parlamentarnych, wrzesień 2020 r.</w:t>
      </w:r>
    </w:p>
  </w:footnote>
  <w:footnote w:id="11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C 433 z 23.12.2019,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24.</w:t>
      </w:r>
    </w:p>
  </w:footnote>
  <w:footnote w:id="12">
    <w:p w:rsidR="006D40F3" w:rsidRPr="00835B4A" w:rsidRDefault="006D40F3" w:rsidP="00554C86">
      <w:pPr>
        <w:pStyle w:val="FootnoteText"/>
        <w:ind w:left="567" w:hanging="567"/>
        <w:rPr>
          <w:sz w:val="24"/>
          <w:lang w:val="en-GB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Międzyrządowy Zespół ds. </w:t>
      </w:r>
      <w:r w:rsidRPr="00835B4A">
        <w:rPr>
          <w:sz w:val="24"/>
          <w:lang w:val="en-GB"/>
        </w:rPr>
        <w:t xml:space="preserve">Zmian Klimatu, „Climate Change 2022: Mitigation of Climate Change. Contribution of Working Group III to the Sixth Assessment Report of the Intergovernmental Panel on Climate Change” (Shukla, P.R. i in., eds), Cambridge University Press, Cambridge, UK i Nowy Jork, NY, USA, 2022. </w:t>
      </w:r>
    </w:p>
  </w:footnote>
  <w:footnote w:id="13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C 440 z 29.10.2021,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6.</w:t>
      </w:r>
    </w:p>
  </w:footnote>
  <w:footnote w:id="14">
    <w:p w:rsidR="006D40F3" w:rsidRPr="00554C86" w:rsidRDefault="006D40F3" w:rsidP="00554C86">
      <w:pPr>
        <w:pStyle w:val="FootnoteText"/>
        <w:ind w:left="567" w:hanging="567"/>
        <w:rPr>
          <w:sz w:val="24"/>
          <w:lang w:val="pl-PL"/>
        </w:rPr>
      </w:pPr>
      <w:r w:rsidRPr="00554C86">
        <w:rPr>
          <w:rStyle w:val="FootnoteReference"/>
          <w:sz w:val="24"/>
          <w:lang w:val="pl-PL"/>
        </w:rPr>
        <w:footnoteRef/>
      </w:r>
      <w:r w:rsidR="00554C86" w:rsidRPr="00554C86">
        <w:rPr>
          <w:sz w:val="24"/>
          <w:lang w:val="pl-PL"/>
        </w:rPr>
        <w:t xml:space="preserve"> </w:t>
      </w:r>
      <w:r w:rsidR="00554C86" w:rsidRPr="00554C86">
        <w:rPr>
          <w:sz w:val="24"/>
          <w:lang w:val="pl-PL"/>
        </w:rPr>
        <w:tab/>
      </w:r>
      <w:r w:rsidRPr="00554C86">
        <w:rPr>
          <w:sz w:val="24"/>
          <w:lang w:val="pl-PL"/>
        </w:rPr>
        <w:t xml:space="preserve">Dz.U. C 207 z 30.6.2017, </w:t>
      </w:r>
      <w:proofErr w:type="gramStart"/>
      <w:r w:rsidRPr="00554C86">
        <w:rPr>
          <w:sz w:val="24"/>
          <w:lang w:val="pl-PL"/>
        </w:rPr>
        <w:t>s</w:t>
      </w:r>
      <w:proofErr w:type="gramEnd"/>
      <w:r w:rsidRPr="00554C86">
        <w:rPr>
          <w:sz w:val="24"/>
          <w:lang w:val="pl-PL"/>
        </w:rPr>
        <w:t>. 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4C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4C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4C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PL"/>
    <w:docVar w:name="dvnumam" w:val="0"/>
    <w:docVar w:name="dvpe" w:val="751.733"/>
    <w:docVar w:name="dvrapporteur" w:val="Sprawozdawca: "/>
    <w:docVar w:name="dvstar" w:val="??"/>
    <w:docVar w:name="dvtitre" w:val="Rezolucja Parlamentu Europejskiego z dnia  2024 r. w sprawie obecnych i przyszłych wyzwań dotyczących współpracy transgranicznej z państwami sąsiadującymi(2023/2076(INI))"/>
  </w:docVars>
  <w:rsids>
    <w:rsidRoot w:val="00A716A6"/>
    <w:rsid w:val="00002272"/>
    <w:rsid w:val="00064002"/>
    <w:rsid w:val="000677B9"/>
    <w:rsid w:val="000831BA"/>
    <w:rsid w:val="00084992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336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C86"/>
    <w:rsid w:val="00560270"/>
    <w:rsid w:val="005C2568"/>
    <w:rsid w:val="006037C0"/>
    <w:rsid w:val="006631B6"/>
    <w:rsid w:val="00680577"/>
    <w:rsid w:val="006D40F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B4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6A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A7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B42DC"/>
  <w15:chartTrackingRefBased/>
  <w15:docId w15:val="{A847719D-7DCC-4DD2-AA6C-3E1AFB67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D40F3"/>
    <w:pPr>
      <w:spacing w:after="240"/>
      <w:ind w:left="567" w:hanging="567"/>
    </w:pPr>
  </w:style>
  <w:style w:type="paragraph" w:customStyle="1" w:styleId="EPComma">
    <w:name w:val="EPComma"/>
    <w:basedOn w:val="Normal"/>
    <w:rsid w:val="006D40F3"/>
    <w:pPr>
      <w:spacing w:before="480" w:after="240"/>
    </w:pPr>
  </w:style>
  <w:style w:type="character" w:customStyle="1" w:styleId="y2iqfc">
    <w:name w:val="y2iqfc"/>
    <w:basedOn w:val="DefaultParagraphFont"/>
    <w:rsid w:val="006D40F3"/>
  </w:style>
  <w:style w:type="character" w:customStyle="1" w:styleId="NormalHanging12aChar">
    <w:name w:val="NormalHanging12a Char"/>
    <w:basedOn w:val="DefaultParagraphFont"/>
    <w:link w:val="NormalHanging12a"/>
    <w:rsid w:val="006D40F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232E8-ED19-40C3-AF83-ACF03CC3D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4981</Words>
  <Characters>29886</Characters>
  <Application>Microsoft Office Word</Application>
  <DocSecurity>0</DocSecurity>
  <Lines>249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2024-02-02T13:37:00Z</dcterms:created>
  <dcterms:modified xsi:type="dcterms:W3CDTF">2024-02-02T13:37:00Z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