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37F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C37F7" w:rsidRDefault="00967B51" w:rsidP="0010095E">
            <w:pPr>
              <w:pStyle w:val="EPName"/>
            </w:pPr>
            <w:r w:rsidRPr="00BC37F7">
              <w:t>Parlamento Europeu</w:t>
            </w:r>
          </w:p>
          <w:p w:rsidR="00751A4A" w:rsidRPr="00BC37F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37F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C37F7" w:rsidRDefault="00187494" w:rsidP="0010095E">
            <w:pPr>
              <w:pStyle w:val="EPLogo"/>
            </w:pPr>
            <w:r w:rsidRPr="00BC37F7">
              <w:rPr>
                <w:noProof/>
                <w:lang w:eastAsia="pt-PT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C37F7" w:rsidRDefault="00D058B8" w:rsidP="004C5D52">
      <w:pPr>
        <w:pStyle w:val="LineTop"/>
      </w:pPr>
    </w:p>
    <w:p w:rsidR="00680577" w:rsidRPr="00BC37F7" w:rsidRDefault="00967B51" w:rsidP="00680577">
      <w:pPr>
        <w:pStyle w:val="EPBodyTA1"/>
      </w:pPr>
      <w:r w:rsidRPr="00BC37F7">
        <w:t>TEXTOS APROVADOS</w:t>
      </w:r>
    </w:p>
    <w:p w:rsidR="00D058B8" w:rsidRPr="00BC37F7" w:rsidRDefault="00D058B8" w:rsidP="00D058B8">
      <w:pPr>
        <w:pStyle w:val="LineBottom"/>
      </w:pPr>
    </w:p>
    <w:p w:rsidR="00967B51" w:rsidRPr="00BC37F7" w:rsidRDefault="00967B51" w:rsidP="00967B51">
      <w:pPr>
        <w:pStyle w:val="ATHeading1"/>
      </w:pPr>
      <w:bookmarkStart w:id="0" w:name="TANumber"/>
      <w:r w:rsidRPr="00BC37F7">
        <w:t>P9_</w:t>
      </w:r>
      <w:proofErr w:type="gramStart"/>
      <w:r w:rsidRPr="00BC37F7">
        <w:t>TA(</w:t>
      </w:r>
      <w:proofErr w:type="gramEnd"/>
      <w:r w:rsidRPr="00BC37F7">
        <w:t>2024)00</w:t>
      </w:r>
      <w:r w:rsidR="00BC37F7" w:rsidRPr="00BC37F7">
        <w:t>15</w:t>
      </w:r>
      <w:bookmarkEnd w:id="0"/>
    </w:p>
    <w:p w:rsidR="00967B51" w:rsidRPr="00BC37F7" w:rsidRDefault="00967B51" w:rsidP="00967B51">
      <w:pPr>
        <w:pStyle w:val="ATHeading2"/>
      </w:pPr>
      <w:bookmarkStart w:id="1" w:name="title"/>
      <w:r w:rsidRPr="00BC37F7">
        <w:t>Desafios atuais e futuros relativos à cooperação transfronteiriça com países vizinhos</w:t>
      </w:r>
      <w:bookmarkEnd w:id="1"/>
    </w:p>
    <w:p w:rsidR="00967B51" w:rsidRPr="00BC37F7" w:rsidRDefault="00967B51" w:rsidP="00967B51">
      <w:pPr>
        <w:rPr>
          <w:i/>
          <w:vanish/>
        </w:rPr>
      </w:pPr>
      <w:r w:rsidRPr="00BC37F7">
        <w:rPr>
          <w:i/>
        </w:rPr>
        <w:fldChar w:fldCharType="begin"/>
      </w:r>
      <w:r w:rsidRPr="00BC37F7">
        <w:rPr>
          <w:i/>
        </w:rPr>
        <w:instrText xml:space="preserve"> TC"(</w:instrText>
      </w:r>
      <w:bookmarkStart w:id="2" w:name="DocNumber"/>
      <w:r w:rsidRPr="00BC37F7">
        <w:rPr>
          <w:i/>
        </w:rPr>
        <w:instrText>A9-0415/2023</w:instrText>
      </w:r>
      <w:bookmarkEnd w:id="2"/>
      <w:r w:rsidRPr="00BC37F7">
        <w:rPr>
          <w:i/>
        </w:rPr>
        <w:instrText xml:space="preserve"> - Relator: Daniel Buda)"\l3 \n&gt; \* MERGEFORMAT </w:instrText>
      </w:r>
      <w:r w:rsidRPr="00BC37F7">
        <w:rPr>
          <w:i/>
        </w:rPr>
        <w:fldChar w:fldCharType="end"/>
      </w:r>
    </w:p>
    <w:p w:rsidR="00967B51" w:rsidRPr="00BC37F7" w:rsidRDefault="00967B51" w:rsidP="00967B51">
      <w:pPr>
        <w:rPr>
          <w:vanish/>
        </w:rPr>
      </w:pPr>
      <w:bookmarkStart w:id="3" w:name="Commission"/>
      <w:r w:rsidRPr="00BC37F7">
        <w:rPr>
          <w:vanish/>
        </w:rPr>
        <w:t>Comissão do Desenvolvimento Regional</w:t>
      </w:r>
      <w:bookmarkEnd w:id="3"/>
    </w:p>
    <w:p w:rsidR="00967B51" w:rsidRPr="00BC37F7" w:rsidRDefault="00967B51" w:rsidP="00967B51">
      <w:pPr>
        <w:rPr>
          <w:vanish/>
        </w:rPr>
      </w:pPr>
      <w:bookmarkStart w:id="4" w:name="PE"/>
      <w:r w:rsidRPr="00BC37F7">
        <w:rPr>
          <w:vanish/>
        </w:rPr>
        <w:t>PE751.733</w:t>
      </w:r>
      <w:bookmarkEnd w:id="4"/>
    </w:p>
    <w:p w:rsidR="00967B51" w:rsidRPr="00BC37F7" w:rsidRDefault="00967B51" w:rsidP="00967B51">
      <w:pPr>
        <w:pStyle w:val="ATHeading3"/>
      </w:pPr>
      <w:bookmarkStart w:id="5" w:name="Sujet"/>
      <w:r w:rsidRPr="00BC37F7">
        <w:t xml:space="preserve">Resolução do Parlamento Europeu, de </w:t>
      </w:r>
      <w:r w:rsidR="00B57CA6" w:rsidRPr="00BC37F7">
        <w:t>16</w:t>
      </w:r>
      <w:r w:rsidRPr="00BC37F7">
        <w:t xml:space="preserve"> de </w:t>
      </w:r>
      <w:r w:rsidR="003E1791" w:rsidRPr="00BC37F7">
        <w:t>janeiro</w:t>
      </w:r>
      <w:r w:rsidRPr="00BC37F7">
        <w:t xml:space="preserve"> de 2024, sobre os desafios atuais e futuros relativos à cooperação transfronteiriça com países vizinhos</w:t>
      </w:r>
      <w:bookmarkEnd w:id="5"/>
      <w:r w:rsidRPr="00BC37F7">
        <w:t xml:space="preserve"> </w:t>
      </w:r>
      <w:bookmarkStart w:id="6" w:name="References"/>
      <w:r w:rsidRPr="00BC37F7">
        <w:t>(2023/2076(INI))</w:t>
      </w:r>
      <w:bookmarkEnd w:id="6"/>
    </w:p>
    <w:p w:rsidR="00220770" w:rsidRPr="00BC37F7" w:rsidRDefault="00220770" w:rsidP="00220770">
      <w:pPr>
        <w:pStyle w:val="EPComma"/>
      </w:pPr>
      <w:bookmarkStart w:id="7" w:name="TextBodyBegin"/>
      <w:bookmarkEnd w:id="7"/>
      <w:r w:rsidRPr="00BC37F7">
        <w:rPr>
          <w:i/>
        </w:rPr>
        <w:t>O Parlamento Europeu</w:t>
      </w:r>
      <w:r w:rsidRPr="00BC37F7">
        <w:t>,</w:t>
      </w:r>
    </w:p>
    <w:p w:rsidR="00220770" w:rsidRPr="00BC37F7" w:rsidRDefault="00220770" w:rsidP="00220770">
      <w:pPr>
        <w:pStyle w:val="NormalHanging12a"/>
        <w:rPr>
          <w:snapToGrid w:val="0"/>
        </w:rPr>
      </w:pPr>
      <w:r w:rsidRPr="00BC37F7">
        <w:t>–</w:t>
      </w:r>
      <w:r w:rsidRPr="00BC37F7">
        <w:tab/>
        <w:t>Tendo em conta o artigo 3.º do Tratado da União Europeia</w:t>
      </w:r>
      <w:r w:rsidR="00FA5554" w:rsidRPr="00BC37F7">
        <w:t xml:space="preserve"> (TUE)</w:t>
      </w:r>
      <w:r w:rsidRPr="00BC37F7">
        <w:t xml:space="preserve"> e os artigos 4.º, 162.º, 174.º a 178.º e 349.º do Tratado sobre o Funcionamento da União Europeia,</w:t>
      </w:r>
    </w:p>
    <w:p w:rsidR="00220770" w:rsidRPr="00BC37F7" w:rsidRDefault="00220770" w:rsidP="00220770">
      <w:pPr>
        <w:pStyle w:val="NormalHanging12a"/>
        <w:rPr>
          <w:snapToGrid w:val="0"/>
        </w:rPr>
      </w:pPr>
      <w:r w:rsidRPr="00BC37F7">
        <w:t>–</w:t>
      </w:r>
      <w:r w:rsidRPr="00BC37F7">
        <w:tab/>
        <w:t>Tendo em conta o Regulamento (UE) 2021/1060 do Parlamento Europeu e do Conselho, de 24 de junho de 2021, que estabelece disposições comuns relativas ao Fundo Europeu de Desenvolvimento Regional, ao Fundo Social Europeu Mais, ao Fundo de Coesão, ao Fundo para uma Transição Justa e ao Fundo Europeu dos Assuntos Marítimos, das Pescas e da Aquicultura e regras financeiras aplicáveis a esses fundos e ao Fundo para o Asilo, a Migração e a Integração, ao Fundo para a Segurança Interna e ao Instrumento de Apoio Financeiro à Gestão das Fronteiras e à Política de Vistos</w:t>
      </w:r>
      <w:r w:rsidRPr="00BC37F7">
        <w:rPr>
          <w:rStyle w:val="FootnoteReference"/>
        </w:rPr>
        <w:footnoteReference w:id="1"/>
      </w:r>
      <w:r w:rsidRPr="00BC37F7">
        <w:t>,</w:t>
      </w:r>
    </w:p>
    <w:p w:rsidR="00220770" w:rsidRPr="00BC37F7" w:rsidRDefault="00220770" w:rsidP="00220770">
      <w:pPr>
        <w:pStyle w:val="NormalHanging12a"/>
        <w:rPr>
          <w:snapToGrid w:val="0"/>
        </w:rPr>
      </w:pPr>
      <w:r w:rsidRPr="00BC37F7">
        <w:t>–</w:t>
      </w:r>
      <w:r w:rsidRPr="00BC37F7">
        <w:tab/>
        <w:t>Tendo em conta o Regulamento (UE) 2021/1058 do Parlamento Europeu e do Conselho, de 24 de junho de 2021, relativo ao Fundo Europeu de Desenvolvimento Regional e ao Fundo de Coesão</w:t>
      </w:r>
      <w:r w:rsidRPr="00BC37F7">
        <w:rPr>
          <w:rStyle w:val="FootnoteReference"/>
        </w:rPr>
        <w:footnoteReference w:id="2"/>
      </w:r>
      <w:r w:rsidRPr="00BC37F7">
        <w:t>,</w:t>
      </w:r>
    </w:p>
    <w:p w:rsidR="00220770" w:rsidRPr="00BC37F7" w:rsidRDefault="00220770" w:rsidP="00220770">
      <w:pPr>
        <w:pStyle w:val="NormalHanging12a"/>
        <w:rPr>
          <w:snapToGrid w:val="0"/>
        </w:rPr>
      </w:pPr>
      <w:r w:rsidRPr="00BC37F7">
        <w:t>–</w:t>
      </w:r>
      <w:r w:rsidRPr="00BC37F7">
        <w:tab/>
        <w:t>Tendo em conta o Regulamento (UE) 2021/1059 do Parlamento Europeu e do Conselho, de 24 de junho de 2021, que estabelece disposições específicas relativas ao objetivo de Cooperação Territorial Europeia (Interreg) apoiado pelo Fundo Europeu de Desenvolvimento Regional e pelos instrumentos de financiamento externo</w:t>
      </w:r>
      <w:r w:rsidRPr="00BC37F7">
        <w:rPr>
          <w:rStyle w:val="FootnoteReference"/>
        </w:rPr>
        <w:footnoteReference w:id="3"/>
      </w:r>
      <w:r w:rsidRPr="00BC37F7">
        <w:t>,</w:t>
      </w:r>
    </w:p>
    <w:p w:rsidR="00220770" w:rsidRPr="00BC37F7" w:rsidRDefault="00220770" w:rsidP="00220770">
      <w:pPr>
        <w:pStyle w:val="NormalHanging12a"/>
        <w:rPr>
          <w:snapToGrid w:val="0"/>
        </w:rPr>
      </w:pPr>
      <w:r w:rsidRPr="00BC37F7">
        <w:t>–</w:t>
      </w:r>
      <w:r w:rsidRPr="00BC37F7">
        <w:tab/>
        <w:t>Tendo em conta o Regulamento (UE) 2022/562 do Parlamento Europeu e do Conselho, de 6 de abril de 2022, que altera os Regulamentos (UE) n.º 1303/2013 e (UE) n.º 223/2014 no que respeita à Ação de Coesão a favor dos Refugiados na Europa (CARE)</w:t>
      </w:r>
      <w:r w:rsidRPr="00BC37F7">
        <w:rPr>
          <w:rStyle w:val="FootnoteReference"/>
        </w:rPr>
        <w:footnoteReference w:id="4"/>
      </w:r>
      <w:r w:rsidRPr="00BC37F7">
        <w:t>,</w:t>
      </w:r>
    </w:p>
    <w:p w:rsidR="00220770" w:rsidRPr="00BC37F7" w:rsidRDefault="00220770" w:rsidP="00220770">
      <w:pPr>
        <w:pStyle w:val="NormalHanging12a"/>
        <w:rPr>
          <w:snapToGrid w:val="0"/>
        </w:rPr>
      </w:pPr>
      <w:r w:rsidRPr="00BC37F7">
        <w:t>–</w:t>
      </w:r>
      <w:r w:rsidRPr="00BC37F7">
        <w:tab/>
        <w:t xml:space="preserve">Tendo em conta o Regulamento (CE) n.º 1082/2006 do Parlamento Europeu e do </w:t>
      </w:r>
      <w:r w:rsidRPr="00BC37F7">
        <w:lastRenderedPageBreak/>
        <w:t>Conselho, de 5 de julho de 2006, relativo aos agrupamentos europeus de cooperação territorial (AECT)</w:t>
      </w:r>
      <w:r w:rsidRPr="00BC37F7">
        <w:rPr>
          <w:rStyle w:val="FootnoteReference"/>
        </w:rPr>
        <w:footnoteReference w:id="5"/>
      </w:r>
      <w:r w:rsidRPr="00BC37F7">
        <w:t>,</w:t>
      </w:r>
    </w:p>
    <w:p w:rsidR="00220770" w:rsidRPr="00BC37F7" w:rsidRDefault="00220770" w:rsidP="00220770">
      <w:pPr>
        <w:pStyle w:val="NormalHanging12a"/>
        <w:rPr>
          <w:snapToGrid w:val="0"/>
        </w:rPr>
      </w:pPr>
      <w:r w:rsidRPr="00BC37F7">
        <w:t>–</w:t>
      </w:r>
      <w:r w:rsidRPr="00BC37F7">
        <w:tab/>
        <w:t>Tendo em conta a proposta da Comissão, de 29 de maio de 2018, de um regulamento do Parlamento Europeu e do Conselho relativo à criação de um mecanismo para remover os obstáculos jurídicos e administrativos num contexto transfronteiriço (</w:t>
      </w:r>
      <w:proofErr w:type="gramStart"/>
      <w:r w:rsidRPr="00BC37F7">
        <w:t>COM(</w:t>
      </w:r>
      <w:proofErr w:type="gramEnd"/>
      <w:r w:rsidRPr="00BC37F7">
        <w:t>2018)0373),</w:t>
      </w:r>
    </w:p>
    <w:p w:rsidR="00220770" w:rsidRPr="00BC37F7" w:rsidRDefault="00220770" w:rsidP="00220770">
      <w:pPr>
        <w:pStyle w:val="NormalHanging12a"/>
        <w:rPr>
          <w:snapToGrid w:val="0"/>
        </w:rPr>
      </w:pPr>
      <w:r w:rsidRPr="00BC37F7">
        <w:t>–</w:t>
      </w:r>
      <w:r w:rsidRPr="00BC37F7">
        <w:tab/>
        <w:t>Tendo em Conta a Comunicação da Comissão, de 20 de setembro de 2017, intitulada «Impulsionar o crescimento e a coesão nas regiões fronteiriças da UE» (</w:t>
      </w:r>
      <w:proofErr w:type="gramStart"/>
      <w:r w:rsidRPr="00BC37F7">
        <w:t>COM(</w:t>
      </w:r>
      <w:proofErr w:type="gramEnd"/>
      <w:r w:rsidRPr="00BC37F7">
        <w:t>2017)0534),</w:t>
      </w:r>
    </w:p>
    <w:p w:rsidR="00220770" w:rsidRPr="00BC37F7" w:rsidRDefault="00220770" w:rsidP="00220770">
      <w:pPr>
        <w:pStyle w:val="NormalHanging12a"/>
        <w:rPr>
          <w:snapToGrid w:val="0"/>
        </w:rPr>
      </w:pPr>
      <w:r w:rsidRPr="00BC37F7">
        <w:t>–</w:t>
      </w:r>
      <w:r w:rsidRPr="00BC37F7">
        <w:tab/>
        <w:t>Tendo em conta a Comunicação da Comissão, de 3 de abril de 2020, intitulada «Orientações sobre a assistência de emergência da UE em matéria de cooperação transfronteiriça no domínio dos cuidados de saúde no contexto da crise da COVID</w:t>
      </w:r>
      <w:r w:rsidRPr="00BC37F7">
        <w:noBreakHyphen/>
        <w:t>19»</w:t>
      </w:r>
      <w:r w:rsidRPr="00BC37F7">
        <w:rPr>
          <w:rStyle w:val="FootnoteReference"/>
        </w:rPr>
        <w:footnoteReference w:id="6"/>
      </w:r>
      <w:r w:rsidRPr="00BC37F7">
        <w:t>,</w:t>
      </w:r>
    </w:p>
    <w:p w:rsidR="00220770" w:rsidRPr="00BC37F7" w:rsidRDefault="00220770" w:rsidP="00220770">
      <w:pPr>
        <w:pStyle w:val="NormalHanging12a"/>
        <w:rPr>
          <w:snapToGrid w:val="0"/>
        </w:rPr>
      </w:pPr>
      <w:r w:rsidRPr="00BC37F7">
        <w:t>–</w:t>
      </w:r>
      <w:r w:rsidRPr="00BC37F7">
        <w:tab/>
        <w:t>Tendo em conta a Comunicação da Comissão, de 30 de setembro de 2020, intitulada «Concretizar o Espaço Europeu da Educação até 2025» (</w:t>
      </w:r>
      <w:proofErr w:type="gramStart"/>
      <w:r w:rsidRPr="00BC37F7">
        <w:t>COM(</w:t>
      </w:r>
      <w:proofErr w:type="gramEnd"/>
      <w:r w:rsidRPr="00BC37F7">
        <w:t>2020)0625),</w:t>
      </w:r>
    </w:p>
    <w:p w:rsidR="00220770" w:rsidRPr="00BC37F7" w:rsidRDefault="00220770" w:rsidP="00220770">
      <w:pPr>
        <w:pStyle w:val="NormalHanging12a"/>
      </w:pPr>
      <w:r w:rsidRPr="00BC37F7">
        <w:t>–</w:t>
      </w:r>
      <w:r w:rsidRPr="00BC37F7">
        <w:tab/>
        <w:t>Tendo em conta a sua Resolução, de 15 de setembro de 2022, sobre coesão económica, social e territorial na União Europeia: oitavo relatório sobre a coesão</w:t>
      </w:r>
      <w:r w:rsidRPr="00BC37F7">
        <w:rPr>
          <w:rStyle w:val="FootnoteReference"/>
        </w:rPr>
        <w:footnoteReference w:id="7"/>
      </w:r>
      <w:r w:rsidRPr="00BC37F7">
        <w:t>,</w:t>
      </w:r>
    </w:p>
    <w:p w:rsidR="00220770" w:rsidRPr="00BC37F7" w:rsidRDefault="00220770" w:rsidP="00220770">
      <w:pPr>
        <w:pStyle w:val="NormalHanging12a"/>
      </w:pPr>
      <w:r w:rsidRPr="00BC37F7">
        <w:t>–</w:t>
      </w:r>
      <w:r w:rsidRPr="00BC37F7">
        <w:tab/>
        <w:t>Tendo em conta a sua Resolução, de 9 de maio de 2023, sobre o papel da política de coesão na resposta aos desafios ambientais multidimensionais na bacia mediterrânica</w:t>
      </w:r>
      <w:r w:rsidRPr="00BC37F7">
        <w:rPr>
          <w:rStyle w:val="FootnoteReference"/>
        </w:rPr>
        <w:footnoteReference w:id="8"/>
      </w:r>
      <w:r w:rsidRPr="00BC37F7">
        <w:t>,</w:t>
      </w:r>
    </w:p>
    <w:p w:rsidR="00220770" w:rsidRPr="00BC37F7" w:rsidRDefault="00220770" w:rsidP="00220770">
      <w:pPr>
        <w:pStyle w:val="NormalHanging12a"/>
      </w:pPr>
      <w:r w:rsidRPr="00BC37F7">
        <w:t>–</w:t>
      </w:r>
      <w:r w:rsidRPr="00BC37F7">
        <w:tab/>
        <w:t>Tendo em conta a sua Resolução, de 13 de março de 2018, sobre as regiões mais atrasadas na UE</w:t>
      </w:r>
      <w:r w:rsidRPr="00BC37F7">
        <w:rPr>
          <w:rStyle w:val="FootnoteReference"/>
        </w:rPr>
        <w:footnoteReference w:id="9"/>
      </w:r>
      <w:r w:rsidRPr="00BC37F7">
        <w:t>,</w:t>
      </w:r>
    </w:p>
    <w:p w:rsidR="00220770" w:rsidRPr="00BC37F7" w:rsidRDefault="00220770" w:rsidP="00220770">
      <w:pPr>
        <w:pStyle w:val="NormalHanging12a"/>
      </w:pPr>
      <w:r w:rsidRPr="00BC37F7">
        <w:t>–</w:t>
      </w:r>
      <w:r w:rsidRPr="00BC37F7">
        <w:tab/>
        <w:t>Tendo em conta o estudo intitulado «EU lagging regions: state of play and future challenges» [Regiões menos desenvolvidas da UE: ponto da situação e desafios futuros], publicado pela Direção</w:t>
      </w:r>
      <w:r w:rsidRPr="00BC37F7">
        <w:noBreakHyphen/>
        <w:t>Geral dos Serviços de Estudos do Parlamento Europeu em 26 de outubro de 2020</w:t>
      </w:r>
      <w:r w:rsidRPr="00BC37F7">
        <w:rPr>
          <w:rStyle w:val="FootnoteReference"/>
        </w:rPr>
        <w:footnoteReference w:id="10"/>
      </w:r>
      <w:r w:rsidRPr="00BC37F7">
        <w:t>,</w:t>
      </w:r>
    </w:p>
    <w:p w:rsidR="00220770" w:rsidRPr="00BC37F7" w:rsidRDefault="00220770" w:rsidP="00220770">
      <w:pPr>
        <w:pStyle w:val="NormalHanging12a"/>
      </w:pPr>
      <w:r w:rsidRPr="00BC37F7">
        <w:t>–</w:t>
      </w:r>
      <w:r w:rsidRPr="00BC37F7">
        <w:tab/>
        <w:t>Tendo em conta a sua Resolução, de 11 de setembro de 2018, sobre «Impulsionar o crescimento e a coesão nas regiões fronteiriças da UE»</w:t>
      </w:r>
      <w:r w:rsidRPr="00BC37F7">
        <w:rPr>
          <w:rStyle w:val="FootnoteReference"/>
        </w:rPr>
        <w:footnoteReference w:id="11"/>
      </w:r>
      <w:r w:rsidRPr="00BC37F7">
        <w:t>,</w:t>
      </w:r>
    </w:p>
    <w:p w:rsidR="00220770" w:rsidRPr="00BC37F7" w:rsidRDefault="00220770" w:rsidP="00220770">
      <w:pPr>
        <w:pStyle w:val="NormalHanging12a"/>
      </w:pPr>
      <w:r w:rsidRPr="00BC37F7">
        <w:t>–</w:t>
      </w:r>
      <w:r w:rsidRPr="00BC37F7">
        <w:tab/>
        <w:t xml:space="preserve">Tendo em conta o Relatório de 2022 do Painel Intergovernamental das Nações Unidas sobre as Alterações Climáticas intitulado «Climate Change 2022: Mitigation of Climate Change. </w:t>
      </w:r>
      <w:r w:rsidRPr="00BC37F7">
        <w:rPr>
          <w:lang w:val="en-GB"/>
        </w:rPr>
        <w:t xml:space="preserve">Contribution of Working Group III to the Sixth Assessment Report of the Intergovernmental Panel on Climate Change» [Alterações climáticas em 2022: atenuação das alterações climáticas. </w:t>
      </w:r>
      <w:r w:rsidRPr="00BC37F7">
        <w:t xml:space="preserve">Contributo do Grupo de Trabalho III para o Sexto </w:t>
      </w:r>
      <w:r w:rsidRPr="00BC37F7">
        <w:lastRenderedPageBreak/>
        <w:t>Relatório de Avaliação do Painel Intergovernamental sobre as Alterações Climáticas]</w:t>
      </w:r>
      <w:r w:rsidRPr="00BC37F7">
        <w:rPr>
          <w:rStyle w:val="FootnoteReference"/>
        </w:rPr>
        <w:footnoteReference w:id="12"/>
      </w:r>
      <w:r w:rsidRPr="00BC37F7">
        <w:t>,</w:t>
      </w:r>
    </w:p>
    <w:p w:rsidR="00220770" w:rsidRPr="00BC37F7" w:rsidRDefault="00220770" w:rsidP="00220770">
      <w:pPr>
        <w:pStyle w:val="NormalHanging12a"/>
      </w:pPr>
      <w:r w:rsidRPr="00BC37F7">
        <w:t>–</w:t>
      </w:r>
      <w:r w:rsidRPr="00BC37F7">
        <w:tab/>
        <w:t>Tendo em conta o acordo adotado na 21.ª Conferência das Partes na Convenção</w:t>
      </w:r>
      <w:r w:rsidRPr="00BC37F7">
        <w:noBreakHyphen/>
        <w:t>Quadro das Nações Unidas sobre Alterações Climáticas (COP21), realizada em Paris, em 12 de dezembro de 2015 (Acordo de Paris),</w:t>
      </w:r>
    </w:p>
    <w:p w:rsidR="00220770" w:rsidRPr="00BC37F7" w:rsidRDefault="00220770" w:rsidP="00220770">
      <w:pPr>
        <w:pStyle w:val="NormalHanging12a"/>
      </w:pPr>
      <w:r w:rsidRPr="00BC37F7">
        <w:t>–</w:t>
      </w:r>
      <w:r w:rsidRPr="00BC37F7">
        <w:tab/>
        <w:t>Tendo em conta as Conclusões do Conselho, de 19 de abril de 2021, sobre uma parceria renovada com a vizinhança meridional – Uma nova agenda para o Mediterrâneo,</w:t>
      </w:r>
    </w:p>
    <w:p w:rsidR="00220770" w:rsidRPr="00BC37F7" w:rsidRDefault="00220770" w:rsidP="00220770">
      <w:pPr>
        <w:pStyle w:val="NormalHanging12a"/>
      </w:pPr>
      <w:r w:rsidRPr="00BC37F7">
        <w:t>–</w:t>
      </w:r>
      <w:r w:rsidRPr="00BC37F7">
        <w:tab/>
        <w:t>Tendo em conta a Resolução do Comité das Regiões Europeu, de 1 de julho de 2021, sobre uma visão para a Europa: futuro da cooperação transfronteiriça</w:t>
      </w:r>
      <w:r w:rsidRPr="00BC37F7">
        <w:rPr>
          <w:rStyle w:val="FootnoteReference"/>
        </w:rPr>
        <w:footnoteReference w:id="13"/>
      </w:r>
      <w:r w:rsidRPr="00BC37F7">
        <w:t>,</w:t>
      </w:r>
    </w:p>
    <w:p w:rsidR="00220770" w:rsidRPr="00BC37F7" w:rsidRDefault="00220770" w:rsidP="00220770">
      <w:pPr>
        <w:pStyle w:val="NormalHanging12a"/>
      </w:pPr>
      <w:r w:rsidRPr="00BC37F7">
        <w:t>–</w:t>
      </w:r>
      <w:r w:rsidRPr="00BC37F7">
        <w:tab/>
        <w:t>Tendo em conta o Parecer do Comité das Regiões, de 8 de fevereiro de 2017, intitulado «Ligações de transporte em falta nas regiões fronteiriças»</w:t>
      </w:r>
      <w:r w:rsidRPr="00BC37F7">
        <w:rPr>
          <w:rStyle w:val="FootnoteReference"/>
        </w:rPr>
        <w:footnoteReference w:id="14"/>
      </w:r>
      <w:r w:rsidRPr="00BC37F7">
        <w:t>,</w:t>
      </w:r>
    </w:p>
    <w:p w:rsidR="00220770" w:rsidRPr="00BC37F7" w:rsidRDefault="00220770" w:rsidP="00220770">
      <w:pPr>
        <w:pStyle w:val="NormalHanging12a"/>
      </w:pPr>
      <w:r w:rsidRPr="00BC37F7">
        <w:t>–</w:t>
      </w:r>
      <w:r w:rsidRPr="00BC37F7">
        <w:tab/>
        <w:t>Tendo em conta o artigo 54.º do seu Regimento,</w:t>
      </w:r>
    </w:p>
    <w:p w:rsidR="00220770" w:rsidRPr="00BC37F7" w:rsidRDefault="00220770" w:rsidP="00220770">
      <w:pPr>
        <w:pStyle w:val="NormalHanging12a"/>
      </w:pPr>
      <w:r w:rsidRPr="00BC37F7">
        <w:t>–</w:t>
      </w:r>
      <w:r w:rsidRPr="00BC37F7">
        <w:tab/>
        <w:t>Tendo em conta o relatório da Comissão do Desenvolvimento Regional (A9</w:t>
      </w:r>
      <w:r w:rsidRPr="00BC37F7">
        <w:noBreakHyphen/>
        <w:t>0415/2023),</w:t>
      </w:r>
    </w:p>
    <w:p w:rsidR="00220770" w:rsidRPr="00BC37F7" w:rsidRDefault="00220770" w:rsidP="00220770">
      <w:pPr>
        <w:pStyle w:val="NormalHanging12a"/>
        <w:rPr>
          <w:szCs w:val="24"/>
        </w:rPr>
      </w:pPr>
      <w:r w:rsidRPr="00BC37F7">
        <w:t>A.</w:t>
      </w:r>
      <w:r w:rsidRPr="00BC37F7">
        <w:tab/>
        <w:t>Considerando que a cooperação transfronteiriça da UE com os países vizinhos, tanto nas fronteiras terrestres como marítimas, que abrange 184 regiões, 33 países e 260 milhões de habitantes, constitui um elemento fundamental das políticas da UE;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B.</w:t>
      </w:r>
      <w:r w:rsidRPr="00BC37F7">
        <w:tab/>
        <w:t>Considerando</w:t>
      </w:r>
      <w:proofErr w:type="gramEnd"/>
      <w:r w:rsidRPr="00BC37F7">
        <w:t xml:space="preserve"> que o artigo 8.º do </w:t>
      </w:r>
      <w:r w:rsidR="0083056E" w:rsidRPr="00BC37F7">
        <w:t>TUE</w:t>
      </w:r>
      <w:r w:rsidRPr="00BC37F7">
        <w:t xml:space="preserve"> estabelece que a União desenvolve relações privilegiadas com os países vizinhos, a fim de criar um espaço de prosperidade e boa vizinhança, fundado nos valores da União e caracterizado por relações estreitas e pacíficas, baseadas na cooperação;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C.</w:t>
      </w:r>
      <w:r w:rsidRPr="00BC37F7">
        <w:tab/>
        <w:t>Considerando</w:t>
      </w:r>
      <w:proofErr w:type="gramEnd"/>
      <w:r w:rsidRPr="00BC37F7">
        <w:t xml:space="preserve"> que a cooperação transfronteiriça é um passo importante no processo de pré</w:t>
      </w:r>
      <w:r w:rsidRPr="00BC37F7">
        <w:noBreakHyphen/>
        <w:t>adesão à UE de países candidatos;</w:t>
      </w:r>
    </w:p>
    <w:p w:rsidR="00220770" w:rsidRPr="00BC37F7" w:rsidRDefault="00220770" w:rsidP="00220770">
      <w:pPr>
        <w:pStyle w:val="NormalHanging12a"/>
      </w:pPr>
      <w:r w:rsidRPr="00BC37F7">
        <w:t>D.</w:t>
      </w:r>
      <w:r w:rsidRPr="00BC37F7">
        <w:tab/>
        <w:t>Considerando que a cooperação transfronteiriça contribui para a paz e o desenvolvimento sustentável ao longo das fronteiras externas da UE, apoia as reformas democráticas, o respeito pelos valores europeus, o desenvolvimento económico e social das zonas fronteiriças, incluindo a proteção do ambiente, os serviços de saúde pública e as medidas de segurança, contribui para os objetivos da UE de uma União Europeia e vizinhança mais inteligentes, mais ecológicas e mais interligadas, bem como para dar resposta às necessidades regionais em matéria de boa cooperação, governação e desafios comuns, ajuda a promover a compreensão e a confiança mútuas e contribui para prevenir futuros conflitos e guerras através de instrumentos como o programa PEACE+;</w:t>
      </w:r>
    </w:p>
    <w:p w:rsidR="00220770" w:rsidRPr="00BC37F7" w:rsidRDefault="00220770" w:rsidP="00220770">
      <w:pPr>
        <w:pStyle w:val="NormalHanging12a"/>
        <w:rPr>
          <w:szCs w:val="24"/>
        </w:rPr>
      </w:pPr>
      <w:r w:rsidRPr="00BC37F7">
        <w:t>E.</w:t>
      </w:r>
      <w:r w:rsidRPr="00BC37F7">
        <w:tab/>
        <w:t xml:space="preserve">Considerando que a atual situação geopolítica reafirma a importância da estabilidade e do desenvolvimento democrático nos países e nas regiões situadas nas fronteiras </w:t>
      </w:r>
      <w:r w:rsidRPr="00BC37F7">
        <w:lastRenderedPageBreak/>
        <w:t>externas da UE;</w:t>
      </w:r>
    </w:p>
    <w:p w:rsidR="00220770" w:rsidRPr="00BC37F7" w:rsidRDefault="00220770" w:rsidP="00220770">
      <w:pPr>
        <w:pStyle w:val="NormalHanging12a"/>
      </w:pPr>
      <w:r w:rsidRPr="00BC37F7">
        <w:t>F.</w:t>
      </w:r>
      <w:r w:rsidRPr="00BC37F7">
        <w:tab/>
        <w:t>Considerando que a pandemia de COVID</w:t>
      </w:r>
      <w:r w:rsidRPr="00BC37F7">
        <w:noBreakHyphen/>
        <w:t>19 e, em particular, a guerra de agressão da Rússia contra a Ucrânia tiveram um efeito profundo em todos os programas de cooperação transfronteiriça apoiados pelo Instrumento Europeu de Vizinhança (IEV</w:t>
      </w:r>
      <w:r w:rsidRPr="00BC37F7">
        <w:noBreakHyphen/>
        <w:t>CT) que incluem a Rússia e a Bielorrússia, com um impacto significativo em metade dos programas propostos para o período 2021</w:t>
      </w:r>
      <w:r w:rsidRPr="00BC37F7">
        <w:noBreakHyphen/>
        <w:t>2027</w:t>
      </w:r>
      <w:r w:rsidR="0083056E" w:rsidRPr="00BC37F7">
        <w:t>; considerando que</w:t>
      </w:r>
      <w:r w:rsidRPr="00BC37F7">
        <w:t xml:space="preserve"> a política de coesão pode contribuir para a cooperação transfronteiriça, desde que a sua abordagem estratégica seja mantida e q</w:t>
      </w:r>
      <w:bookmarkStart w:id="8" w:name="_GoBack"/>
      <w:bookmarkEnd w:id="8"/>
      <w:r w:rsidRPr="00BC37F7">
        <w:t>ue seja acordado um orçamento sólido;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G</w:t>
      </w:r>
      <w:r w:rsidR="001268FC">
        <w:t>.</w:t>
      </w:r>
      <w:r w:rsidRPr="00BC37F7">
        <w:tab/>
        <w:t>Considerando</w:t>
      </w:r>
      <w:proofErr w:type="gramEnd"/>
      <w:r w:rsidRPr="00BC37F7">
        <w:t xml:space="preserve"> que a fuga de cérebros afeta de forma desproporcionada algumas regiões menos desenvolvidas e que, se não for travada, terá efeitos negativos e a longo prazo no futuro da UE;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H.</w:t>
      </w:r>
      <w:r w:rsidRPr="00BC37F7">
        <w:tab/>
        <w:t>Considerando</w:t>
      </w:r>
      <w:proofErr w:type="gramEnd"/>
      <w:r w:rsidRPr="00BC37F7">
        <w:t xml:space="preserve"> que a elevada emigração em algumas regiões fronteiriças, sobretudo de jovens e de trabalhadores qualificados, demonstra a falta de desenvolvimento económico dessas regiões</w:t>
      </w:r>
      <w:r w:rsidR="0083056E" w:rsidRPr="00BC37F7">
        <w:t>; considerando que</w:t>
      </w:r>
      <w:r w:rsidRPr="00BC37F7">
        <w:t xml:space="preserve"> a cooperação transfronteiriça pode contribuir para criar novas oportunidades de emprego e de desenvolvimento económico sustentável;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I.</w:t>
      </w:r>
      <w:r w:rsidRPr="00BC37F7">
        <w:tab/>
        <w:t>Considerando</w:t>
      </w:r>
      <w:proofErr w:type="gramEnd"/>
      <w:r w:rsidRPr="00BC37F7">
        <w:t xml:space="preserve"> que a frágil situação política, económica e de segurança no Norte de África e a gestão da crise migratória evidenciam a necessidade de cooperação na bacia do Mediterrâneo;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J.</w:t>
      </w:r>
      <w:r w:rsidRPr="00BC37F7">
        <w:tab/>
        <w:t>Considerando</w:t>
      </w:r>
      <w:proofErr w:type="gramEnd"/>
      <w:r w:rsidRPr="00BC37F7">
        <w:t xml:space="preserve"> que as regiões fronteiriças são frequentemente sensíveis a tensões e conflitos e a cooperação transfronteiriça e a diplomacia regional têm um impacto positivo na prevenção e na resolução de litígios e potenciais crises;</w:t>
      </w:r>
    </w:p>
    <w:p w:rsidR="00220770" w:rsidRPr="00BC37F7" w:rsidRDefault="00220770" w:rsidP="00220770">
      <w:pPr>
        <w:pStyle w:val="NormalHanging12a"/>
        <w:rPr>
          <w:rStyle w:val="y2iqfc"/>
          <w:b/>
          <w:i/>
        </w:rPr>
      </w:pPr>
      <w:r w:rsidRPr="00BC37F7">
        <w:rPr>
          <w:rStyle w:val="y2iqfc"/>
          <w:b/>
          <w:i/>
        </w:rPr>
        <w:t>Considerações gerais sobre os programas Interreg NEXT</w:t>
      </w:r>
    </w:p>
    <w:p w:rsidR="00220770" w:rsidRPr="00BC37F7" w:rsidRDefault="00220770" w:rsidP="00220770">
      <w:pPr>
        <w:pStyle w:val="NormalHanging12a"/>
        <w:ind w:hanging="570"/>
      </w:pPr>
      <w:r w:rsidRPr="00BC37F7">
        <w:t>1.</w:t>
      </w:r>
      <w:r w:rsidRPr="00BC37F7">
        <w:tab/>
        <w:t>Congratula</w:t>
      </w:r>
      <w:r w:rsidRPr="00BC37F7">
        <w:noBreakHyphen/>
        <w:t>se com o alinhamento dos programas Interreg NEXT com os programas Interreg, uma vez que daí pode resultar a simplificação de procedimentos, o reforço de sinergias entre programas e o aumento da eficácia dos investimentos europeus; salienta, no entanto, que são necessários procedimentos mais simplificados, tanto na fase de avaliação como na fase de execução dos projetos, com maior ênfase nos resultados quantificáveis, sempre que adequado, e no impacto global no desenvolvimento das regiões e na vida dos cidadãos;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2.</w:t>
      </w:r>
      <w:r w:rsidRPr="00BC37F7">
        <w:tab/>
        <w:t>Sublinha</w:t>
      </w:r>
      <w:proofErr w:type="gramEnd"/>
      <w:r w:rsidRPr="00BC37F7">
        <w:t xml:space="preserve"> que os órgãos de poder local e regional desempenham um papel fundamental na cooperação transfronteiriça com os países vizinhos devido ao seu conhecimento da situação geográfica, cultural, linguística e social, das oportunidades, dos condicionalismos e dos desafios comuns;</w:t>
      </w:r>
    </w:p>
    <w:p w:rsidR="00220770" w:rsidRPr="00BC37F7" w:rsidRDefault="00220770" w:rsidP="00220770">
      <w:pPr>
        <w:pStyle w:val="NormalHanging12a"/>
      </w:pPr>
      <w:r w:rsidRPr="00BC37F7">
        <w:t>3.</w:t>
      </w:r>
      <w:r w:rsidRPr="00BC37F7">
        <w:tab/>
        <w:t>Destaca a importância dos projetos transfronteiriços, incluindo projetos interpessoais, para aproximar as pessoas e, desse modo, criar novas possibilidades de desenvolvimento local sustentável e de cooperação transfronteiriça; salienta a importância de investimentos transfronteiras para reforçar as inovações, a transferência de tecnologias, as soluções comuns e as sinergias entre os diferentes programas e, dessa forma, aumentar a coesão territorial para além das fronteiras administrativas e reforçar a solidariedade;</w:t>
      </w:r>
    </w:p>
    <w:p w:rsidR="00220770" w:rsidRPr="00BC37F7" w:rsidRDefault="00220770" w:rsidP="00220770">
      <w:pPr>
        <w:pStyle w:val="NormalHanging12a"/>
        <w:ind w:hanging="570"/>
      </w:pPr>
      <w:r w:rsidRPr="00BC37F7">
        <w:t>4.</w:t>
      </w:r>
      <w:r w:rsidRPr="00BC37F7">
        <w:tab/>
        <w:t>Afirma que a afetação para o período 2021</w:t>
      </w:r>
      <w:r w:rsidRPr="00BC37F7">
        <w:noBreakHyphen/>
        <w:t xml:space="preserve">2027 está longe de ser ideal e sublinha, por </w:t>
      </w:r>
      <w:r w:rsidRPr="00BC37F7">
        <w:lastRenderedPageBreak/>
        <w:t>conseguinte, a importância do reforço financeiro destes programas; saúda a maior responsabilização dos países terceiros pelas recuperações junto de beneficiários do setor privado; realça a importância do Estado de direito e de condições de concorrência equitativas para todos os beneficiários, quer sejam públicos ou privados, e sublinha a necessidade de incentivar a participação dos investidores privados, juntamente com o investimento público, no desenvolvimento sustentável das regiões fronteiriças e dos países terceiros, disponibilizando mais fundos para o setor privado;</w:t>
      </w:r>
    </w:p>
    <w:p w:rsidR="00220770" w:rsidRPr="00BC37F7" w:rsidRDefault="00220770" w:rsidP="00220770">
      <w:pPr>
        <w:pStyle w:val="NormalHanging12a"/>
        <w:ind w:hanging="570"/>
      </w:pPr>
      <w:proofErr w:type="gramStart"/>
      <w:r w:rsidRPr="00BC37F7">
        <w:t>5.</w:t>
      </w:r>
      <w:r w:rsidRPr="00BC37F7">
        <w:tab/>
        <w:t>Congratula</w:t>
      </w:r>
      <w:proofErr w:type="gramEnd"/>
      <w:r w:rsidRPr="00BC37F7">
        <w:noBreakHyphen/>
        <w:t>se com a possibilidade de as autoridades de gestão transmitirem dados à Comissão por via eletrónica, mas salienta, simultaneamente, que uma transmissão de dados mais frequente não deve resultar numa maior burocratização; sublinha, por conseguinte, a importância de dispor de sistemas interoperáveis que possam enviar automaticamente dados para uma base de dados comum e incentiva a Comissão a desenvolver a cooperação com países terceiros a este respeito;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6.</w:t>
      </w:r>
      <w:r w:rsidRPr="00BC37F7">
        <w:tab/>
        <w:t>Manifesta</w:t>
      </w:r>
      <w:proofErr w:type="gramEnd"/>
      <w:r w:rsidRPr="00BC37F7">
        <w:t xml:space="preserve"> a sua preocupação pelo facto de os grandes projetos de infraestruturas deixarem de estar sujeitos à aprovação da Comissão;</w:t>
      </w:r>
    </w:p>
    <w:p w:rsidR="00220770" w:rsidRPr="00BC37F7" w:rsidRDefault="00220770" w:rsidP="00220770">
      <w:pPr>
        <w:pStyle w:val="NormalHanging12a"/>
      </w:pPr>
      <w:r w:rsidRPr="00BC37F7">
        <w:t>7.</w:t>
      </w:r>
      <w:r w:rsidRPr="00BC37F7">
        <w:tab/>
        <w:t>Acolhe favoravelmente a eliminação do limite de financiamento da UE para grandes projetos de infraestruturas e considera que o desenvolvimento de infraestruturas sustentáveis contribui para o crescimento socioeconómico nas regiões transfronteiriças; destaca, simultaneamente, a necessidade de envolver os setores público e privado, o que poderá conduzir a uma maior inovação e ao desenvolvimento de infraestrutura relacionada com o setor da energia, os transportes, a comunicação e a digitalização;</w:t>
      </w:r>
    </w:p>
    <w:p w:rsidR="00220770" w:rsidRPr="00BC37F7" w:rsidRDefault="00220770" w:rsidP="00220770">
      <w:pPr>
        <w:pStyle w:val="NormalHanging12a"/>
        <w:rPr>
          <w:szCs w:val="24"/>
        </w:rPr>
      </w:pPr>
      <w:r w:rsidRPr="00BC37F7">
        <w:t>8.</w:t>
      </w:r>
      <w:r w:rsidRPr="00BC37F7">
        <w:tab/>
        <w:t>Alerta para o facto de os grandes desafios da UE também poderem ser enfrentados através da promoção da cooperação transfronteiriça entre regiões vizinhas (por exemplo, o futuro sustentável do Mediterrâneo, do mar Negro, do mar Báltico e de outras bacias marítimas; um futuro sustentável para os Alpes, os Pirenéus, os Cárpatos e outras cadeias montanhosas; um futuro sustentável para as grandes bacias hidrográficas do Reno, do Danúbio, do Mosa, etc.).</w:t>
      </w:r>
    </w:p>
    <w:p w:rsidR="00220770" w:rsidRPr="00BC37F7" w:rsidRDefault="00220770" w:rsidP="00220770">
      <w:pPr>
        <w:pStyle w:val="NormalHanging12a"/>
        <w:rPr>
          <w:szCs w:val="24"/>
        </w:rPr>
      </w:pPr>
      <w:r w:rsidRPr="00BC37F7">
        <w:t>9.</w:t>
      </w:r>
      <w:r w:rsidRPr="00BC37F7">
        <w:tab/>
        <w:t>Salienta que a cooperação transfronteiriça é um passo importante nos processos de pré</w:t>
      </w:r>
      <w:r w:rsidRPr="00BC37F7">
        <w:noBreakHyphen/>
        <w:t>adesão da UE, o que incentiva os países candidatos a partilharem experiências e a aprenderem sobre o funcionamento interno da UE; sublinha que tal contribui para aproximar as iniciativas e os objetivos da UE dos países candidatos, para partilhar experiências e para iniciar o processo de convergência económica e social; salienta que, aquando da adesão à UE, os países candidatos que tenham participado na cooperação transfronteiriça já estarão familiarizados com os programas e projetos da UE;</w:t>
      </w:r>
    </w:p>
    <w:p w:rsidR="00220770" w:rsidRPr="00BC37F7" w:rsidRDefault="00220770" w:rsidP="00220770">
      <w:pPr>
        <w:pStyle w:val="NormalHanging12a"/>
        <w:rPr>
          <w:szCs w:val="24"/>
        </w:rPr>
      </w:pPr>
      <w:r w:rsidRPr="00BC37F7">
        <w:t>10.</w:t>
      </w:r>
      <w:r w:rsidRPr="00BC37F7">
        <w:tab/>
        <w:t>Destaca o papel crucial da cooperação transfronteiriça na gestão sustentável dos recursos naturais e nos desafios das alterações climáticas, incluindo catástrofes naturais, ambiente, biodiversidade e segurança alimentar, bem como ecossistemas nas zonas fronteiriças; salienta, neste âmbito, a importância da prevenção e do desenvolvimento de planos locais e regionais para medidas de adaptação às alterações climáticas além</w:t>
      </w:r>
      <w:r w:rsidRPr="00BC37F7">
        <w:noBreakHyphen/>
        <w:t>fronteiras; sublinha a necessidade de intensificar os esforços para combater as alterações climáticas e reforçar a atenuação das alterações climáticas nessas regiões, em particular para assegurar o alinhamento com as metas climáticas da UE;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11.</w:t>
      </w:r>
      <w:r w:rsidRPr="00BC37F7">
        <w:tab/>
        <w:t>Salienta</w:t>
      </w:r>
      <w:proofErr w:type="gramEnd"/>
      <w:r w:rsidRPr="00BC37F7">
        <w:t xml:space="preserve"> o potencial da cooperação transfronteiriça, em particular nas zonas transfronteiriças mais escassamente povoadas, em domínios como as energias </w:t>
      </w:r>
      <w:r w:rsidRPr="00BC37F7">
        <w:lastRenderedPageBreak/>
        <w:t>renováveis e a economia circular, e insta a uma melhor utilização das oportunidades existentes para desenvolver uma economia sustentável e empregos de qualidade;</w:t>
      </w:r>
    </w:p>
    <w:p w:rsidR="00220770" w:rsidRPr="00BC37F7" w:rsidRDefault="00220770" w:rsidP="00220770">
      <w:pPr>
        <w:pStyle w:val="NormalHanging12a"/>
        <w:ind w:left="0" w:firstLine="0"/>
        <w:rPr>
          <w:b/>
          <w:i/>
        </w:rPr>
      </w:pPr>
      <w:r w:rsidRPr="00BC37F7">
        <w:rPr>
          <w:b/>
          <w:i/>
        </w:rPr>
        <w:t>Cooperação transfronteiriça com a Vizinhança Oriental</w:t>
      </w:r>
    </w:p>
    <w:p w:rsidR="00220770" w:rsidRPr="00BC37F7" w:rsidRDefault="00220770" w:rsidP="00220770">
      <w:pPr>
        <w:pStyle w:val="NormalHanging12a"/>
      </w:pPr>
      <w:r w:rsidRPr="00BC37F7">
        <w:t>12.</w:t>
      </w:r>
      <w:r w:rsidRPr="00BC37F7">
        <w:tab/>
        <w:t>Congratula</w:t>
      </w:r>
      <w:r w:rsidRPr="00BC37F7">
        <w:noBreakHyphen/>
        <w:t>se com a suspensão da cooperação transfronteiriça com a Rússia e a Bielorrússia, na sequência da guerra de agressão da Rússia contra a Ucrânia, bem como com o reencaminhamento de fundos para a Ucrânia e a República da Moldávia, que alterou profundamente a arquitetura da segurança europeia; salienta, por conseguinte, a necessidade de cooperação em matéria de política de segurança, a fim de alcançar os objetivos comuns de dissuasão e defesa coletiva fiáveis no âmbito da cooperação transfronteiriça;</w:t>
      </w:r>
    </w:p>
    <w:p w:rsidR="00220770" w:rsidRPr="00BC37F7" w:rsidRDefault="00220770" w:rsidP="00220770">
      <w:pPr>
        <w:pStyle w:val="NormalHanging12a"/>
        <w:rPr>
          <w:szCs w:val="24"/>
        </w:rPr>
      </w:pPr>
      <w:r w:rsidRPr="00BC37F7">
        <w:t>13.</w:t>
      </w:r>
      <w:r w:rsidRPr="00BC37F7">
        <w:tab/>
        <w:t>Chama a atenção para a difícil situação das regiões que partilham uma fronteira com a Rússia e a Bielorrússia na sequência da suspensão da cooperação transfronteiriça com esses países e incentiva a Comissão a trabalhar em estreita colaboração com os Estados</w:t>
      </w:r>
      <w:r w:rsidRPr="00BC37F7">
        <w:noBreakHyphen/>
        <w:t>Membros afetados a fim de encontrar soluções sustentáveis para enfrentar os desafios sociais e económicos nessas regiões;</w:t>
      </w:r>
    </w:p>
    <w:p w:rsidR="00220770" w:rsidRPr="00BC37F7" w:rsidRDefault="00220770" w:rsidP="00220770">
      <w:pPr>
        <w:pStyle w:val="NormalHanging12a"/>
      </w:pPr>
      <w:r w:rsidRPr="00BC37F7">
        <w:t>14.</w:t>
      </w:r>
      <w:r w:rsidRPr="00BC37F7">
        <w:tab/>
        <w:t>Solicita que os fundos provenientes de programas transfronteiriços sejam utilizados para o desenvolvimento de infraestruturas de transportes sustentáveis, incluindo a construção de ligações ferroviárias e instalações de armazenamento perto das fronteiras da UE com a Ucrânia e a República da Moldávia, a fim de racionalizar o fluxo de mercadorias e cereais de modo a garantir a segurança alimentar mundial, contribuir para promover o desenvolvimento de uma economia sustentável para ambos os países e ajudar os Estados</w:t>
      </w:r>
      <w:r w:rsidRPr="00BC37F7">
        <w:noBreakHyphen/>
        <w:t>Membros da primeira linha, bem como a Moldávia e a Ucrânia, a enfrentar estes desafios;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15.</w:t>
      </w:r>
      <w:r w:rsidRPr="00BC37F7">
        <w:tab/>
        <w:t>Reconhece</w:t>
      </w:r>
      <w:proofErr w:type="gramEnd"/>
      <w:r w:rsidRPr="00BC37F7">
        <w:t xml:space="preserve"> a importância de promover a cultura local e regional e a conservação do património, bem como os intercâmbios educativos e económicos entre as regiões fronteiriças, a fim de reforçar a compreensão mútua dos costumes dos países vizinhos e criar grandes incentivos à educação multilingue; sublinha a importância de uma educação inclusiva no que respeita aos valores democráticos e a necessidade de apoiar uma maior qualidade neste domínio;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16.</w:t>
      </w:r>
      <w:r w:rsidRPr="00BC37F7">
        <w:tab/>
        <w:t>Exorta</w:t>
      </w:r>
      <w:proofErr w:type="gramEnd"/>
      <w:r w:rsidRPr="00BC37F7">
        <w:t xml:space="preserve"> ao apoio a projetos de infraestruturas mais sustentáveis que contribuam para melhorar a conectividade das regiões transfronteiriças, impulsionar a mobilidade dentro e entre estas regiões e melhorar a qualidade de vida e as oportunidades para os residentes das regiões, bem como projetos que respondam à necessidade de infraestruturas;</w:t>
      </w:r>
    </w:p>
    <w:p w:rsidR="00220770" w:rsidRPr="00BC37F7" w:rsidRDefault="00220770" w:rsidP="00220770">
      <w:pPr>
        <w:pStyle w:val="NormalHanging12a"/>
        <w:rPr>
          <w:szCs w:val="24"/>
        </w:rPr>
      </w:pPr>
      <w:r w:rsidRPr="00BC37F7">
        <w:t>17.</w:t>
      </w:r>
      <w:r w:rsidRPr="00BC37F7">
        <w:tab/>
        <w:t>Reconhece os enormes esforços envidados pelos governos nacionais, pelas autoridades locais e regionais e pela sociedade civil nos Estados</w:t>
      </w:r>
      <w:r w:rsidRPr="00BC37F7">
        <w:noBreakHyphen/>
        <w:t>Membros da UE situados à volta da Ucrânia, bem como os esforços da República da Moldávia para acolher ucranianos deslocados e dar resposta a todos os desafios decorrentes da guerra de agressão da Rússia, incluindo a questão dos cereais provenientes da Ucrânia e a falta de infraestruturas de transporte; solicita, a este respeito, que seja dado um apoio adequado, nomeadamente através de programas de cooperação transfronteiriça, para fazer face a necessidades emergentes</w:t>
      </w:r>
      <w:r w:rsidR="000C6031" w:rsidRPr="00BC37F7">
        <w:t>;</w:t>
      </w:r>
    </w:p>
    <w:p w:rsidR="00220770" w:rsidRPr="00BC37F7" w:rsidRDefault="00220770" w:rsidP="00220770">
      <w:pPr>
        <w:pStyle w:val="NormalHanging12a"/>
        <w:rPr>
          <w:szCs w:val="24"/>
        </w:rPr>
      </w:pPr>
      <w:r w:rsidRPr="00BC37F7">
        <w:t>18.</w:t>
      </w:r>
      <w:r w:rsidRPr="00BC37F7">
        <w:tab/>
        <w:t xml:space="preserve">Sublinha que, embora não esteja em guerra aberta com a Rússia, a República da </w:t>
      </w:r>
      <w:r w:rsidRPr="00BC37F7">
        <w:lastRenderedPageBreak/>
        <w:t>Moldávia também tem zonas de conflito apoiadas pela Rússia e acolheu um grande número de refugiados ucranianos, e que a situação económica e social da Moldávia foi fortemente afetada pela cessação das suas relações comerciais com a Rússia; salienta, por conseguinte, que são extremamente necessários investimentos sólidos e um mercado aberto e que os projetos comuns são mais do que bem</w:t>
      </w:r>
      <w:r w:rsidRPr="00BC37F7">
        <w:noBreakHyphen/>
        <w:t>vindos em todos os domínios económicos e sociais;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19.</w:t>
      </w:r>
      <w:r w:rsidRPr="00BC37F7">
        <w:tab/>
        <w:t>Manifesta</w:t>
      </w:r>
      <w:proofErr w:type="gramEnd"/>
      <w:r w:rsidRPr="00BC37F7">
        <w:t xml:space="preserve"> indignação com a perda de vidas humanas e destruição de habitações e infraestruturas na Ucrânia; salienta o papel ativo que os programas de cooperação transfronteiriça e o Novo Bauhaus Europeu devem desempenhar na reconstrução sustentável do pós</w:t>
      </w:r>
      <w:r w:rsidRPr="00BC37F7">
        <w:noBreakHyphen/>
        <w:t>guerra e sublinha a necessidade urgente de apoiar os órgãos de poder local e regional da Ucrânia, continuando simultaneamente a ajudar as regiões vizinhas e a incentivar uma maior cooperação;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20.</w:t>
      </w:r>
      <w:r w:rsidRPr="00BC37F7">
        <w:tab/>
        <w:t>Congratula</w:t>
      </w:r>
      <w:proofErr w:type="gramEnd"/>
      <w:r w:rsidRPr="00BC37F7">
        <w:noBreakHyphen/>
        <w:t>se com a iniciativa que visa a inclusão da Ucrânia no Programa de Cooperação Territorial Europeia URBACT e a adesão da Ucrânia e da República da Moldávia como membros observadores da Rede Europeia de Observação do Desenvolvimento e Coesão Territoriais (ESPON);</w:t>
      </w:r>
    </w:p>
    <w:p w:rsidR="00220770" w:rsidRPr="00BC37F7" w:rsidRDefault="00220770" w:rsidP="00220770">
      <w:pPr>
        <w:pStyle w:val="NormalHanging12a"/>
        <w:rPr>
          <w:szCs w:val="24"/>
        </w:rPr>
      </w:pPr>
      <w:r w:rsidRPr="00BC37F7">
        <w:t>21.</w:t>
      </w:r>
      <w:r w:rsidRPr="00BC37F7">
        <w:tab/>
        <w:t>Lamenta que a Rússia utilize as suas fontes de energia como meio para exercer pressão política e económica; insta a que se proceda rapidamente a investigações sobre a cooperação económica com a Rússia nos setores da energia de alguns Estados</w:t>
      </w:r>
      <w:r w:rsidRPr="00BC37F7">
        <w:noBreakHyphen/>
        <w:t>Membros e a que adotem novas medidas para reforçar as energias renováveis e aumentar a eficiência energética, a fim de reduzir a dependência da Rússia nos Estados</w:t>
      </w:r>
      <w:r w:rsidRPr="00BC37F7">
        <w:noBreakHyphen/>
        <w:t>Membros que diminuíram drasticamente a sua cooperação com o agressor e foram afetados pelas sanções, incluindo países vizinhos;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22.</w:t>
      </w:r>
      <w:r w:rsidRPr="00BC37F7">
        <w:tab/>
        <w:t>Lamenta</w:t>
      </w:r>
      <w:proofErr w:type="gramEnd"/>
      <w:r w:rsidRPr="00BC37F7">
        <w:t xml:space="preserve"> o aumento da influência da Rússia nos países vizinhos, nomeadamente através do recurso à manipulação e à desinformação, tanto nos meios de comunicação tradicionais como nas redes sociais em linha, e sublinha a importância de reforçar a cooperação com esses países, em particular nos setores da educação e da cultura, a fim de manter os seus cidadãos informados e educados sobre os valores democráticos;</w:t>
      </w:r>
    </w:p>
    <w:p w:rsidR="00220770" w:rsidRPr="00BC37F7" w:rsidRDefault="00220770" w:rsidP="00220770">
      <w:pPr>
        <w:pStyle w:val="NormalHanging12a"/>
        <w:rPr>
          <w:b/>
          <w:i/>
        </w:rPr>
      </w:pPr>
      <w:r w:rsidRPr="00BC37F7">
        <w:rPr>
          <w:b/>
          <w:i/>
        </w:rPr>
        <w:t>Cooperação relacionada com as bacias marítimas</w:t>
      </w:r>
    </w:p>
    <w:p w:rsidR="00220770" w:rsidRPr="00BC37F7" w:rsidRDefault="00220770" w:rsidP="00220770">
      <w:pPr>
        <w:pStyle w:val="NormalHanging12a"/>
        <w:rPr>
          <w:i/>
        </w:rPr>
      </w:pPr>
      <w:r w:rsidRPr="00BC37F7">
        <w:rPr>
          <w:i/>
        </w:rPr>
        <w:t>Bacia do mar Negro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23.</w:t>
      </w:r>
      <w:r w:rsidRPr="00BC37F7">
        <w:tab/>
        <w:t>Salienta</w:t>
      </w:r>
      <w:proofErr w:type="gramEnd"/>
      <w:r w:rsidRPr="00BC37F7">
        <w:t xml:space="preserve"> a importância de conceder um maior apoio financeiro ao programa, tendo em conta os desafios em matéria de segurança no Mar Negro resultantes dos ataques russos e do bloqueio aos portos do mar e do Danúbio, que visam impedir o transporte de cereais que são essenciais para a economia da Ucrânia; salienta o risco de segurança que estes ataques representam para os Estados</w:t>
      </w:r>
      <w:r w:rsidRPr="00BC37F7">
        <w:noBreakHyphen/>
        <w:t>Membros que têm fronteiras com a Ucrânia;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24.</w:t>
      </w:r>
      <w:r w:rsidRPr="00BC37F7">
        <w:tab/>
        <w:t>Destaca</w:t>
      </w:r>
      <w:proofErr w:type="gramEnd"/>
      <w:r w:rsidRPr="00BC37F7">
        <w:t xml:space="preserve"> o potencial das fontes de energia do mar Negro, que são capazes de contribuir para um futuro energético sustentável na UE; sublinha que, apesar do seu potencial, as fontes de energia renováveis continuam, em grande medida, por explorar;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25.</w:t>
      </w:r>
      <w:r w:rsidRPr="00BC37F7">
        <w:tab/>
        <w:t>Considera</w:t>
      </w:r>
      <w:proofErr w:type="gramEnd"/>
      <w:r w:rsidRPr="00BC37F7">
        <w:t xml:space="preserve"> que o programa Interreg NEXT para a bacia do mar Negro deve facilitar o desenvolvimento económico sustentável e a gestão eficiente dos recursos partilhados; 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26.</w:t>
      </w:r>
      <w:r w:rsidRPr="00BC37F7">
        <w:tab/>
        <w:t>Salienta</w:t>
      </w:r>
      <w:proofErr w:type="gramEnd"/>
      <w:r w:rsidRPr="00BC37F7">
        <w:t xml:space="preserve"> a importância do desenvolvimento do turismo sustentável nas regiões costeiras do Mar Negro e defende uma abordagem responsável de proteção do ambiente;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lastRenderedPageBreak/>
        <w:t>27.</w:t>
      </w:r>
      <w:r w:rsidRPr="00BC37F7">
        <w:tab/>
        <w:t>Insta</w:t>
      </w:r>
      <w:proofErr w:type="gramEnd"/>
      <w:r w:rsidRPr="00BC37F7">
        <w:t xml:space="preserve"> a uma forte ênfase no Mar Negro, reforçando a cooperação regional para abordar as questões de segurança, incluindo as relacionadas com os conflitos regionais e a segurança energética, e incentivando projetos de modernização dos portos e das infraestruturas conexas e de aumento das suas ligações às plataformas de transporte existentes; exorta, em particular, à sua ligação aos corredores da RTE</w:t>
      </w:r>
      <w:r w:rsidRPr="00BC37F7">
        <w:noBreakHyphen/>
        <w:t>T;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28.</w:t>
      </w:r>
      <w:r w:rsidRPr="00BC37F7">
        <w:tab/>
        <w:t>Insiste</w:t>
      </w:r>
      <w:proofErr w:type="gramEnd"/>
      <w:r w:rsidRPr="00BC37F7">
        <w:t xml:space="preserve"> que a adoção de uma estratégia coerente para a região do mar Negro e à criação de sinergias com o Programa Danúbio 2021</w:t>
      </w:r>
      <w:r w:rsidRPr="00BC37F7">
        <w:noBreakHyphen/>
        <w:t>2027;</w:t>
      </w:r>
    </w:p>
    <w:p w:rsidR="00220770" w:rsidRPr="00BC37F7" w:rsidRDefault="00220770" w:rsidP="00220770">
      <w:pPr>
        <w:pStyle w:val="NormalHanging12a"/>
        <w:rPr>
          <w:i/>
        </w:rPr>
      </w:pPr>
      <w:r w:rsidRPr="00BC37F7">
        <w:rPr>
          <w:i/>
        </w:rPr>
        <w:t>Bacia do Mediterrâneo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29.</w:t>
      </w:r>
      <w:r w:rsidRPr="00BC37F7">
        <w:tab/>
        <w:t>Sublinha</w:t>
      </w:r>
      <w:proofErr w:type="gramEnd"/>
      <w:r w:rsidRPr="00BC37F7">
        <w:t xml:space="preserve"> a importância de parcerias económicas e sociais fortes com países terceiros da bacia mediterrânica; congratula</w:t>
      </w:r>
      <w:r w:rsidRPr="00BC37F7">
        <w:noBreakHyphen/>
        <w:t>se com o facto de o número de países que participam nos programas 2021</w:t>
      </w:r>
      <w:r w:rsidRPr="00BC37F7">
        <w:noBreakHyphen/>
        <w:t>2027 Interreg Euro</w:t>
      </w:r>
      <w:r w:rsidRPr="00BC37F7">
        <w:noBreakHyphen/>
        <w:t>MED estar a aumentar;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30.</w:t>
      </w:r>
      <w:r w:rsidRPr="00BC37F7">
        <w:tab/>
        <w:t>Exorta</w:t>
      </w:r>
      <w:proofErr w:type="gramEnd"/>
      <w:r w:rsidRPr="00BC37F7">
        <w:t xml:space="preserve"> a uma utilização mais coordenada e eficiente dos fundos existentes, no quadro das atuais regras sociais, climáticas e ambientais, a fim de aumentar a competitividade da bacia do Mediterrâneo, promovendo simultaneamente o potencial das energias renováveis em terra e no mar;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31.</w:t>
      </w:r>
      <w:r w:rsidRPr="00BC37F7">
        <w:tab/>
        <w:t>Considera</w:t>
      </w:r>
      <w:proofErr w:type="gramEnd"/>
      <w:r w:rsidRPr="00BC37F7">
        <w:t xml:space="preserve"> que os programas transfronteiriços devem desempenhar um papel ativo na abordagem dos desafios de segurança comuns e visar a estabilidade regional;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32.</w:t>
      </w:r>
      <w:r w:rsidRPr="00BC37F7">
        <w:tab/>
        <w:t>Insta</w:t>
      </w:r>
      <w:proofErr w:type="gramEnd"/>
      <w:r w:rsidRPr="00BC37F7">
        <w:t xml:space="preserve"> à gestão dos fluxos migratórios e à luta contra a migração irregular e o tráfico de seres humanos, nomeadamente através do financiamento de projetos destinados a receber, prestar cuidados e formação aos migrantes, a fim de os ajudar a enfrentar os desafios de um ambiente económico competitivo e a compreender e respeitar melhor os valores europeus, promovendo simultaneamente a inclusividade em ambos os lados do Mediterrâneo;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33.</w:t>
      </w:r>
      <w:r w:rsidRPr="00BC37F7">
        <w:tab/>
        <w:t>Reconhece</w:t>
      </w:r>
      <w:proofErr w:type="gramEnd"/>
      <w:r w:rsidRPr="00BC37F7">
        <w:t xml:space="preserve"> o papel crucial da investigação e da inovação na prevenção dos riscos de catástrofes naturais, na gestão sustentável da água e na redução das emissões de CO</w:t>
      </w:r>
      <w:r w:rsidRPr="00BC37F7">
        <w:rPr>
          <w:vertAlign w:val="subscript"/>
        </w:rPr>
        <w:t>2</w:t>
      </w:r>
      <w:r w:rsidRPr="00BC37F7">
        <w:t xml:space="preserve"> e sublinha a necessidade de dar prioridade a projetos que tenham objetivos quantificáveis em termos de impacto económico, social e ambiental; 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34.</w:t>
      </w:r>
      <w:r w:rsidRPr="00BC37F7">
        <w:tab/>
        <w:t>Salienta</w:t>
      </w:r>
      <w:proofErr w:type="gramEnd"/>
      <w:r w:rsidRPr="00BC37F7">
        <w:t xml:space="preserve"> que, apesar do seu potencial, as fontes de energia renováveis continuam em larga medida por explorar e que este potencial deve ser estimulado, nomeadamente através da participação de PME e de empresas de média capitalização;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35.</w:t>
      </w:r>
      <w:r w:rsidRPr="00BC37F7">
        <w:tab/>
        <w:t>Congratula</w:t>
      </w:r>
      <w:proofErr w:type="gramEnd"/>
      <w:r w:rsidRPr="00BC37F7">
        <w:noBreakHyphen/>
        <w:t>se com a estratégia WestMed para a bacia marítima do Mediterrâneo Ocidental e com os programas Interreg, como o MARITTIMO, enquanto bons exemplos de cooperação direta e diversificada, incluindo a nível regional, com objetivos partilhados;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36.</w:t>
      </w:r>
      <w:r w:rsidRPr="00BC37F7">
        <w:tab/>
        <w:t>Congratula</w:t>
      </w:r>
      <w:proofErr w:type="gramEnd"/>
      <w:r w:rsidRPr="00BC37F7">
        <w:noBreakHyphen/>
        <w:t>se com os progressos da estratégia macrorregional para a região adriática e jónica (EUSAIR), que mobilizou os países membros e respetivas regiões, os países terceiros e as respetivas autoridades locais; considera a EUSAIR um exemplo bem</w:t>
      </w:r>
      <w:r w:rsidRPr="00BC37F7">
        <w:noBreakHyphen/>
        <w:t>sucedido em que a União demonstrou ser uma força motriz e um vetor de abertura; defende que estes mesmos princípios e uma abordagem comum semelhante devem ser aplicados às outras regiões do Mediterrâneo;</w:t>
      </w:r>
    </w:p>
    <w:p w:rsidR="00220770" w:rsidRPr="00BC37F7" w:rsidRDefault="00220770" w:rsidP="00220770">
      <w:pPr>
        <w:pStyle w:val="NormalHanging12a"/>
        <w:rPr>
          <w:szCs w:val="24"/>
        </w:rPr>
      </w:pPr>
      <w:r w:rsidRPr="00BC37F7">
        <w:t>37.</w:t>
      </w:r>
      <w:r w:rsidRPr="00BC37F7">
        <w:tab/>
        <w:t xml:space="preserve">Convida o Conselho Europeu a solicitar à Comissão que apresente uma estratégia </w:t>
      </w:r>
      <w:r w:rsidRPr="00BC37F7">
        <w:lastRenderedPageBreak/>
        <w:t>macrorregional pormenorizada para o Mediterrâneo, tendo em conta a sua Nova Agenda para o Mediterrâneo, nomeadamente a sua secção 5 («Transição ecológica: resiliência às alterações climáticas, energia e ambiente»), e a adotá</w:t>
      </w:r>
      <w:r w:rsidRPr="00BC37F7">
        <w:noBreakHyphen/>
        <w:t>la; lamenta a degradação contínua do ambiente em toda a bacia marítima do Mediterrâneo, a perda de biodiversidade e o aumento da poluição atmosférica e marinha, em particular com plásticos e resíduos domésticos, e solicita que sejam evitados, limitados e geridos mediante a promoção da economia circular;</w:t>
      </w:r>
    </w:p>
    <w:p w:rsidR="00220770" w:rsidRPr="00BC37F7" w:rsidRDefault="00220770" w:rsidP="00220770">
      <w:pPr>
        <w:pStyle w:val="NormalHanging12a"/>
        <w:rPr>
          <w:b/>
          <w:i/>
        </w:rPr>
      </w:pPr>
      <w:r w:rsidRPr="00BC37F7">
        <w:rPr>
          <w:b/>
          <w:i/>
        </w:rPr>
        <w:t>Desafios no domínio da cooperação transfronteiriça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38.</w:t>
      </w:r>
      <w:r w:rsidRPr="00BC37F7">
        <w:tab/>
        <w:t>Observa</w:t>
      </w:r>
      <w:proofErr w:type="gramEnd"/>
      <w:r w:rsidRPr="00BC37F7">
        <w:t xml:space="preserve"> que a existência de diferentes quadros jurídicos e institucionais cria obstáculos suplementares à execução dos projetos e, por conseguinte, dificulta a sua execução; recorda que os procedimentos administrativos podem ser complexos e morosos, o que é suscetível de desincentivar a participação dos órgãos de poder local e regional na cooperação territorial; insta a Comissão a contribuir para a simplificação destes procedimentos, tornando</w:t>
      </w:r>
      <w:r w:rsidRPr="00BC37F7">
        <w:noBreakHyphen/>
        <w:t>os mais acessíveis e transparentes;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39.</w:t>
      </w:r>
      <w:r w:rsidRPr="00BC37F7">
        <w:tab/>
        <w:t>Constata</w:t>
      </w:r>
      <w:proofErr w:type="gramEnd"/>
      <w:r w:rsidRPr="00BC37F7">
        <w:t xml:space="preserve"> que as barreiras linguísticas e as diferenças culturais dificultam a comunicação e podem conduzir a encargos administrativos, que devem ser ultrapassados através de medidas adequadas;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40.</w:t>
      </w:r>
      <w:r w:rsidRPr="00BC37F7">
        <w:tab/>
        <w:t>Salienta</w:t>
      </w:r>
      <w:proofErr w:type="gramEnd"/>
      <w:r w:rsidRPr="00BC37F7">
        <w:t xml:space="preserve"> que existem diferenças entre os Estados no que respeita às competências das autoridades, bem como mudanças a nível das autoridades regionais, o que pode causar atrasos; considera que se deve incentivar o diálogo entre as autoridades locais e promover a participação da sociedade civil em projetos de cooperação territorial, envolvendo organizações não governamentais, empresas sociais e outras partes interessadas;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41.</w:t>
      </w:r>
      <w:r w:rsidRPr="00BC37F7">
        <w:tab/>
        <w:t>Sublinha</w:t>
      </w:r>
      <w:proofErr w:type="gramEnd"/>
      <w:r w:rsidRPr="00BC37F7">
        <w:t xml:space="preserve"> a necessidade de desenvolver um intercâmbio a longo prazo e programas de colaboração empresarial entre instituições e empresas nas regiões transfronteiriças, a fim de promover o desenvolvimento económico sustentável e reforçar a coordenação administrativa entre os Estados participantes, desenvolvendo, reorganizando ou, se for caso disso, criando estruturas funcionais sustentáveis para a cooperação e as redes transfronteiriças;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42.</w:t>
      </w:r>
      <w:r w:rsidRPr="00BC37F7">
        <w:tab/>
        <w:t>Sublinha</w:t>
      </w:r>
      <w:proofErr w:type="gramEnd"/>
      <w:r w:rsidRPr="00BC37F7">
        <w:t xml:space="preserve"> a importância de criar um sistema de intercâmbio intercultural a curto e médio prazo para promover a aprendizagem de línguas comuns, fomentar uma compreensão mais profunda das culturas regionais e facilitar a colaboração entre as comunidades transfronteiriças, salientando que este sistema deve também incluir aspetos empresariais e administrativos para estimular o desenvolvimento económico e administrativo;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43.</w:t>
      </w:r>
      <w:r w:rsidRPr="00BC37F7">
        <w:tab/>
        <w:t>Destaca</w:t>
      </w:r>
      <w:proofErr w:type="gramEnd"/>
      <w:r w:rsidRPr="00BC37F7">
        <w:t xml:space="preserve"> a necessidade de adaptar os programas às necessidades e especificidades individuais de cada país/região participante; solicita igualmente que se elaborem orientações a este respeito;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44.</w:t>
      </w:r>
      <w:r w:rsidRPr="00BC37F7">
        <w:tab/>
        <w:t>Observa</w:t>
      </w:r>
      <w:proofErr w:type="gramEnd"/>
      <w:r w:rsidRPr="00BC37F7">
        <w:t xml:space="preserve"> que a pandemia de COVID</w:t>
      </w:r>
      <w:r w:rsidRPr="00BC37F7">
        <w:noBreakHyphen/>
        <w:t>19 teve um impacto negativo nas regiões fronteiriças e afetou a execução dos programas e projetos atuais;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45.</w:t>
      </w:r>
      <w:r w:rsidRPr="00BC37F7">
        <w:tab/>
        <w:t>Salienta</w:t>
      </w:r>
      <w:proofErr w:type="gramEnd"/>
      <w:r w:rsidRPr="00BC37F7">
        <w:t xml:space="preserve"> que a falta de infraestruturas e redes de transportes adequadas, nomeadamente no que respeita à cooperação transfronteiriça marítima e insular, dificulta o comércio e a mobilidade e complica a cooperação;</w:t>
      </w:r>
    </w:p>
    <w:p w:rsidR="00220770" w:rsidRPr="00BC37F7" w:rsidRDefault="00220770" w:rsidP="00220770">
      <w:pPr>
        <w:pStyle w:val="NormalHanging12a"/>
        <w:rPr>
          <w:szCs w:val="24"/>
        </w:rPr>
      </w:pPr>
      <w:r w:rsidRPr="00BC37F7">
        <w:lastRenderedPageBreak/>
        <w:t>46.</w:t>
      </w:r>
      <w:r w:rsidRPr="00BC37F7">
        <w:tab/>
        <w:t>Chama a atenção para os desafios específicos das fronteiras marítimas e para a necessidade de as reconhecer como fronteiras específicas com necessidades próprias, nomeadamente tendo em conta as diferenças linguísticas e culturais, os encargos administrativos e jurídicos, as disparidades socioeconómicas e as questões ambientais;</w:t>
      </w:r>
    </w:p>
    <w:p w:rsidR="00220770" w:rsidRPr="00BC37F7" w:rsidRDefault="00220770" w:rsidP="00220770">
      <w:pPr>
        <w:pStyle w:val="NormalHanging12a"/>
        <w:rPr>
          <w:b/>
          <w:i/>
        </w:rPr>
      </w:pPr>
      <w:r w:rsidRPr="00BC37F7">
        <w:rPr>
          <w:b/>
          <w:i/>
        </w:rPr>
        <w:t>Oportunidades de cooperação transfronteiriça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47.</w:t>
      </w:r>
      <w:r w:rsidRPr="00BC37F7">
        <w:tab/>
        <w:t>Salienta</w:t>
      </w:r>
      <w:proofErr w:type="gramEnd"/>
      <w:r w:rsidRPr="00BC37F7">
        <w:t xml:space="preserve"> que, tendo em conta as múltiplas crises e conflitos, a cooperação transfronteiriça com os países vizinhos exige investimento na resiliência dos países e das sociedades e que as prioridades de parceria devem contribuir para melhorar substancialmente as condições de vida em ambos os lados da fronteira, em particular, assegurando um desenvolvimento sustentável inclusivo, a justiça social, as oportunidades de emprego e a prosperidade económica;</w:t>
      </w:r>
    </w:p>
    <w:p w:rsidR="00220770" w:rsidRPr="00BC37F7" w:rsidRDefault="00220770" w:rsidP="00220770">
      <w:pPr>
        <w:pStyle w:val="NormalHanging12a"/>
        <w:rPr>
          <w:szCs w:val="24"/>
        </w:rPr>
      </w:pPr>
      <w:r w:rsidRPr="00BC37F7">
        <w:t>48.</w:t>
      </w:r>
      <w:r w:rsidRPr="00BC37F7">
        <w:tab/>
        <w:t>Considera que a cooperação transfronteiriça pode contribuir significativamente para reforçar a democracia local e regional e as capacidades administrativas dos países parceiros; salienta a importância dos Agrupamentos Europeus de Cooperação Territorial (AECT) para facilitar e promover a cooperação territorial, nomeadamente no que respeita à gestão de serviços de transporte transfronteiriços ou de hospitais, à execução ou gestão de projetos de desenvolvimento transfronteiriços e ao intercâmbio de conhecimentos e de boas práticas;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49.</w:t>
      </w:r>
      <w:r w:rsidRPr="00BC37F7">
        <w:tab/>
        <w:t>Destaca</w:t>
      </w:r>
      <w:proofErr w:type="gramEnd"/>
      <w:r w:rsidRPr="00BC37F7">
        <w:t xml:space="preserve"> a importância de os programas transfronteiriços da UE incluírem a cultura como um indicador importante do desenvolvimento regional, em particular nas zonas fronteiriças em que as pessoas que vivem de ambos os lados da fronteira partilham o mesmo contexto cultural e linguístico, a fim de assegurar regiões dinâmicas e aumentar a sua atratividade, aumentar o intercâmbio cultural e promover a diversidade e a solidariedade para além das fronteiras da UE;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50.</w:t>
      </w:r>
      <w:r w:rsidRPr="00BC37F7">
        <w:tab/>
        <w:t>Salienta</w:t>
      </w:r>
      <w:proofErr w:type="gramEnd"/>
      <w:r w:rsidRPr="00BC37F7">
        <w:t xml:space="preserve"> o facto de os programas proporcionarem oportunidades para um diálogo aprofundado com uma série de partes interessadas, incluindo representantes da sociedade civil, autoridades locais e regionais, universidades, cidadãos, ONG e o setor privado; salienta, em particular, a importância dos programas transfronteiriços para os países candidatos à UE, uma vez que proporcionam às autoridades locais e nacionais a oportunidade de se familiarizarem com a legislação da UE;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51.</w:t>
      </w:r>
      <w:r w:rsidRPr="00BC37F7">
        <w:tab/>
        <w:t>Observa</w:t>
      </w:r>
      <w:proofErr w:type="gramEnd"/>
      <w:r w:rsidRPr="00BC37F7">
        <w:t xml:space="preserve"> que a cooperação transfronteiriça pode contribuir para reduzir as disparidades regionais, promover o desenvolvimento económico e social, a integração da perspetiva de género, o emprego, o comércio e a coesão territorial, bem como melhorar a mobilidade das pessoas e a conetividade das regiões;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52.</w:t>
      </w:r>
      <w:r w:rsidRPr="00BC37F7">
        <w:tab/>
        <w:t>Destaca</w:t>
      </w:r>
      <w:proofErr w:type="gramEnd"/>
      <w:r w:rsidRPr="00BC37F7">
        <w:t xml:space="preserve"> a importância da cooperação transfronteiriça em matéria de digitalização e sublinha a necessidade de projetos comuns em matéria de infraestruturas digitais, nomeadamente nos serviços públicos, a fim de assegurar um setor público coerente e eficiente, centrado nas necessidades de todos;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53.</w:t>
      </w:r>
      <w:r w:rsidRPr="00BC37F7">
        <w:tab/>
        <w:t>Salienta</w:t>
      </w:r>
      <w:proofErr w:type="gramEnd"/>
      <w:r w:rsidRPr="00BC37F7">
        <w:t xml:space="preserve"> que a UE e os Estados</w:t>
      </w:r>
      <w:r w:rsidRPr="00BC37F7">
        <w:noBreakHyphen/>
        <w:t>Membros devem cooperar mais estreitamente com os países vizinhos no domínio dos cuidados de saúde e dos serviços de emergência e devem reforçar a capacidade das PME e das empresas de média capitalização para exercerem a sua atividade além</w:t>
      </w:r>
      <w:r w:rsidRPr="00BC37F7">
        <w:noBreakHyphen/>
        <w:t>fronteiras;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lastRenderedPageBreak/>
        <w:t>54.</w:t>
      </w:r>
      <w:r w:rsidRPr="00BC37F7">
        <w:tab/>
        <w:t>Destaca</w:t>
      </w:r>
      <w:proofErr w:type="gramEnd"/>
      <w:r w:rsidRPr="00BC37F7">
        <w:t xml:space="preserve"> a importância da ligação em rede e da avaliação comparativa na eliminação dos obstáculos à cooperação transfronteiriça e observa que tal deverá permitir uma melhor utilização de instrumentos, como os AECT, o instrumento de investimento territorial integrado e a estratégia de desenvolvimento local de base comunitária;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55.</w:t>
      </w:r>
      <w:r w:rsidRPr="00BC37F7">
        <w:tab/>
        <w:t>Salienta</w:t>
      </w:r>
      <w:proofErr w:type="gramEnd"/>
      <w:r w:rsidRPr="00BC37F7">
        <w:t xml:space="preserve"> o papel crucial que os investimentos em serviços públicos de elevada qualidade desempenham na criação de resiliência social e no combate às crises económicas, sanitárias e sociais;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56.</w:t>
      </w:r>
      <w:r w:rsidRPr="00BC37F7">
        <w:tab/>
        <w:t>Saúda</w:t>
      </w:r>
      <w:proofErr w:type="gramEnd"/>
      <w:r w:rsidRPr="00BC37F7">
        <w:t xml:space="preserve"> o empenho constante do Governo do Reino Unido no programa PEACE, que desempenha um papel fundamental na cooperação entre as regiões fronteiriças da Irlanda e da Irlanda do Norte;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57.</w:t>
      </w:r>
      <w:r w:rsidRPr="00BC37F7">
        <w:tab/>
        <w:t>Sublinha</w:t>
      </w:r>
      <w:proofErr w:type="gramEnd"/>
      <w:r w:rsidRPr="00BC37F7">
        <w:t xml:space="preserve"> o papel vital do programa PEACE PLUS, mantendo boas relações de vizinhança nas regiões e assegurando o seu desenvolvimento socioeconómico;</w:t>
      </w:r>
    </w:p>
    <w:p w:rsidR="00220770" w:rsidRPr="00BC37F7" w:rsidRDefault="00220770" w:rsidP="00220770">
      <w:pPr>
        <w:pStyle w:val="NormalHanging12a"/>
        <w:rPr>
          <w:rFonts w:eastAsiaTheme="majorEastAsia"/>
          <w:b/>
          <w:bCs/>
          <w:i/>
          <w:kern w:val="32"/>
        </w:rPr>
      </w:pPr>
      <w:r w:rsidRPr="00BC37F7">
        <w:rPr>
          <w:b/>
          <w:i/>
        </w:rPr>
        <w:t>Recomendações políticas</w:t>
      </w:r>
    </w:p>
    <w:p w:rsidR="00220770" w:rsidRPr="00BC37F7" w:rsidRDefault="00220770" w:rsidP="00220770">
      <w:pPr>
        <w:pStyle w:val="NormalHanging12a"/>
      </w:pPr>
      <w:r w:rsidRPr="00BC37F7">
        <w:t>58.</w:t>
      </w:r>
      <w:r w:rsidRPr="00BC37F7">
        <w:tab/>
        <w:t>Recomenda uma maior complementaridade entre os projetos e salienta a necessidade de sinergias com outros instrumentos de financiamento da UE que tenham a mesma cobertura geográfica e temática, a fim de evitar qualquer duplo financiamento; salienta a necessidade de, durante o período de programação 2021</w:t>
      </w:r>
      <w:r w:rsidRPr="00BC37F7">
        <w:noBreakHyphen/>
        <w:t>2027, os programas específicos identificarem claramente os requisitos e as prioridades comuns às regiões situadas ao longo das fronteiras externas da UE e complementarem outras iniciativas financiadas pela UE, sem se sobreporem às mesmas;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59.</w:t>
      </w:r>
      <w:r w:rsidRPr="00BC37F7">
        <w:tab/>
        <w:t>Considera</w:t>
      </w:r>
      <w:proofErr w:type="gramEnd"/>
      <w:r w:rsidRPr="00BC37F7">
        <w:t xml:space="preserve"> que o papel desempenhado pelas estratégias macrorregionais da UE na abordagem dos desafios relacionados com as regiões fronteiriças deve continuar a ser reforçado;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60.</w:t>
      </w:r>
      <w:r w:rsidRPr="00BC37F7">
        <w:tab/>
        <w:t>Recomenda</w:t>
      </w:r>
      <w:proofErr w:type="gramEnd"/>
      <w:r w:rsidRPr="00BC37F7">
        <w:t>, no domínio da governação transfronteiriça, o desenvolvimento de uma estratégia de infraestruturas plenamente integrada (a nível rodoviário, ferroviário, marítimo), tendo em conta a região transfronteiriça no seu conjunto; salienta a importância de desenvolver soluções de mobilidade mais sustentáveis em todas as zonas transfronteiriças, incluindo através da política da RTE</w:t>
      </w:r>
      <w:r w:rsidRPr="00BC37F7">
        <w:noBreakHyphen/>
        <w:t>T; insta a Comissão e os Estados</w:t>
      </w:r>
      <w:r w:rsidRPr="00BC37F7">
        <w:noBreakHyphen/>
        <w:t xml:space="preserve">Membros a promoverem a mobilidade inteligente; 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61.</w:t>
      </w:r>
      <w:r w:rsidRPr="00BC37F7">
        <w:tab/>
        <w:t>Recomenda</w:t>
      </w:r>
      <w:proofErr w:type="gramEnd"/>
      <w:r w:rsidRPr="00BC37F7">
        <w:t xml:space="preserve"> a promoção de instrumentos financeiros da UE com valor social e económico acrescentado, de modo a aumentar a sensibilização sobre os benefícios da UE;</w:t>
      </w:r>
    </w:p>
    <w:p w:rsidR="00220770" w:rsidRPr="00BC37F7" w:rsidRDefault="00220770" w:rsidP="00220770">
      <w:pPr>
        <w:pStyle w:val="NormalHanging12a"/>
      </w:pPr>
      <w:r w:rsidRPr="00BC37F7">
        <w:t>62.</w:t>
      </w:r>
      <w:r w:rsidRPr="00BC37F7">
        <w:tab/>
        <w:t>Insta a Comissão a reduzir os encargos burocráticos, a simplificar significativamente os procedimentos e a reduzir os obstáculos relacionados com diferentes legislações; insiste em que tal deve permitir satisfazer as necessidades reais das zonas transfronteiriças; salienta que o desenvolvimento sustentável e inclusivo exige medidas a todos os níveis; reconhece explicitamente a importância de prestar atenção às zonas rurais nas regiões transfronteiriças, uma vez que estas são particularmente afetadas pelos desafios demográficos;</w:t>
      </w:r>
    </w:p>
    <w:p w:rsidR="00220770" w:rsidRPr="00BC37F7" w:rsidRDefault="00220770" w:rsidP="00220770">
      <w:pPr>
        <w:pStyle w:val="NormalHanging12a"/>
      </w:pPr>
      <w:r w:rsidRPr="00BC37F7">
        <w:t>63.</w:t>
      </w:r>
      <w:r w:rsidRPr="00BC37F7">
        <w:tab/>
        <w:t>Exorta a uma melhor coordenação, ao diálogo e a um maior intercâmbio de boas práticas entre regiões e Estados, por exemplo através de uma plataforma como o INTERREG Europa; insta a Comissão e os Estados</w:t>
      </w:r>
      <w:r w:rsidRPr="00BC37F7">
        <w:noBreakHyphen/>
        <w:t xml:space="preserve">Membros a reforçarem a </w:t>
      </w:r>
      <w:r w:rsidRPr="00BC37F7">
        <w:lastRenderedPageBreak/>
        <w:t>cooperação neste domínio e exorta os Estados</w:t>
      </w:r>
      <w:r w:rsidRPr="00BC37F7">
        <w:noBreakHyphen/>
        <w:t>Membros a dotarem os órgãos de poder local e regional dos instrumentos e recursos de que necessitem para promover uma cooperação transfronteiriça ambiciosa; afirma que os serviços públicos de educação e cultura devem ser abertos, acessíveis e ter preços comportáveis para os cidadãos de ambos os lados das fronteiras;</w:t>
      </w:r>
    </w:p>
    <w:p w:rsidR="00220770" w:rsidRPr="00BC37F7" w:rsidRDefault="00220770" w:rsidP="00220770">
      <w:pPr>
        <w:pStyle w:val="NormalHanging12a"/>
      </w:pPr>
      <w:r w:rsidRPr="00BC37F7">
        <w:t>64.</w:t>
      </w:r>
      <w:r w:rsidRPr="00BC37F7">
        <w:tab/>
        <w:t>Salienta que, em conformidade com o princípio da parceria, as autoridades regionais e locais e os representantes da sociedade civil e do setor privado devem participar, tanto quanto possível, na preparação e execução dos projetos desde o início; insta a Comissão a ponderar a prestação de apoio técnico aos órgãos de poder local e regional dos países vizinhos, a fim de os ajudar a desenvolver e executar projetos de cooperação territorial; insta ainda à elaboração de diretrizes a este respeito;</w:t>
      </w:r>
    </w:p>
    <w:p w:rsidR="00220770" w:rsidRPr="00BC37F7" w:rsidRDefault="00220770" w:rsidP="00220770">
      <w:pPr>
        <w:pStyle w:val="NormalHanging12a"/>
      </w:pPr>
      <w:r w:rsidRPr="00BC37F7">
        <w:t>65.</w:t>
      </w:r>
      <w:r w:rsidRPr="00BC37F7">
        <w:tab/>
        <w:t>Exorta a Comissão a continuar a integrar os Objetivos de Desenvolvimento Sustentável nos futuros planos de ação para a cooperação transfronteiriça, para que nenhum lugar e nenhuma pessoa seja deixado para trás;</w:t>
      </w:r>
    </w:p>
    <w:p w:rsidR="00220770" w:rsidRPr="00BC37F7" w:rsidRDefault="00220770" w:rsidP="00220770">
      <w:pPr>
        <w:pStyle w:val="NormalHanging12a"/>
      </w:pPr>
      <w:r w:rsidRPr="00BC37F7">
        <w:t>66.</w:t>
      </w:r>
      <w:r w:rsidRPr="00BC37F7">
        <w:tab/>
        <w:t>Solicita à Comissão que continue a cooperar com os Estados parceiros para promover a cooperação transfronteiriça, fornecendo, sempre que necessário, conhecimentos especializados para ajudar as autoridades homólogas dos países parceiros e melhorar a informação que lhes é fornecida no que respeita aos procedimentos e condições de acesso ao financiamento da UE;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67.</w:t>
      </w:r>
      <w:r w:rsidRPr="00BC37F7">
        <w:tab/>
        <w:t>Insta</w:t>
      </w:r>
      <w:proofErr w:type="gramEnd"/>
      <w:r w:rsidRPr="00BC37F7">
        <w:t xml:space="preserve"> ao aumento do orçamento global para a cooperação territorial transfronteiriça;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68.</w:t>
      </w:r>
      <w:r w:rsidRPr="00BC37F7">
        <w:tab/>
        <w:t>Considera</w:t>
      </w:r>
      <w:proofErr w:type="gramEnd"/>
      <w:r w:rsidRPr="00BC37F7">
        <w:t xml:space="preserve"> que a criação de conselhos transfronteiriços conjuntos entre governos locais, como o criado entre a Roménia e a Moldávia para ajudar a desenvolver projetos conjuntos de interesse mútuo, poderia ser um exemplo a seguir;</w:t>
      </w:r>
    </w:p>
    <w:p w:rsidR="00220770" w:rsidRPr="00BC37F7" w:rsidRDefault="00220770" w:rsidP="00220770">
      <w:pPr>
        <w:pStyle w:val="NormalHanging12a"/>
      </w:pPr>
      <w:r w:rsidRPr="00BC37F7">
        <w:t>69.</w:t>
      </w:r>
      <w:r w:rsidRPr="00BC37F7">
        <w:tab/>
        <w:t>Incentiva os esforços para aproximar os países parceiros da UE, estimular a reforma interna e o reforço das capacidades a nível local e regional e promover a democracia local, a governação a vários níveis e a cooperação descentralizada, nomeadamente através da cooperação no âmbito da EuroNest e da Conferência de Órgãos de Poder Local e Regional para a Parceria Oriental (CORLEAP) para a Vizinhança Oriental e da Assembleia Regional e Local Euro</w:t>
      </w:r>
      <w:r w:rsidRPr="00BC37F7">
        <w:noBreakHyphen/>
        <w:t>Mediterrânica (ARLEM) e da Assembleia Parlamentar da União para o Mediterrâneo (AP</w:t>
      </w:r>
      <w:r w:rsidRPr="00BC37F7">
        <w:noBreakHyphen/>
        <w:t>UpM) para a Vizinhança Meridional;</w:t>
      </w:r>
    </w:p>
    <w:p w:rsidR="00220770" w:rsidRPr="00BC37F7" w:rsidRDefault="00220770" w:rsidP="00220770">
      <w:pPr>
        <w:pStyle w:val="NormalHanging12a"/>
      </w:pPr>
      <w:r w:rsidRPr="00BC37F7">
        <w:t>70.</w:t>
      </w:r>
      <w:r w:rsidRPr="00BC37F7">
        <w:tab/>
        <w:t>Salienta a necessidade de intensificar os esforços e de alocar mais recursos aos projetos transfronteiriços destinados a desenvolver infraestruturas informáticas e a alargar o acesso às redes de banda larga, a fim de apoiar a cooperação económica e social entre regiões transfronteiriças; sublinha o papel fundamental que a tecnologia e as inovações geradas pela inteligência artificial podem desempenhar no reforço das ligações, na promoção do desenvolvimento sustentável e na melhoria e simplificação de procedimentos administrativos;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71.</w:t>
      </w:r>
      <w:r w:rsidRPr="00BC37F7">
        <w:tab/>
        <w:t>Destaca</w:t>
      </w:r>
      <w:proofErr w:type="gramEnd"/>
      <w:r w:rsidRPr="00BC37F7">
        <w:t xml:space="preserve"> a importância de identificar e evitar sobreposições de projetos e despesas desnecessárias entre os diferentes programas e iniciativas europeus;</w:t>
      </w:r>
    </w:p>
    <w:p w:rsidR="00220770" w:rsidRPr="00BC37F7" w:rsidRDefault="00220770" w:rsidP="00220770">
      <w:pPr>
        <w:pStyle w:val="NormalHanging12a"/>
        <w:rPr>
          <w:szCs w:val="24"/>
        </w:rPr>
      </w:pPr>
      <w:proofErr w:type="gramStart"/>
      <w:r w:rsidRPr="00BC37F7">
        <w:t>72.</w:t>
      </w:r>
      <w:r w:rsidRPr="00BC37F7">
        <w:tab/>
        <w:t>Recomenda</w:t>
      </w:r>
      <w:proofErr w:type="gramEnd"/>
      <w:r w:rsidRPr="00BC37F7">
        <w:t xml:space="preserve"> a realização de avaliações periódicas dos projetos de cooperação transfronteiriça para garantir a utilização eficiente dos recursos financeiros da UE;</w:t>
      </w:r>
    </w:p>
    <w:p w:rsidR="00220770" w:rsidRPr="00BC37F7" w:rsidRDefault="00220770" w:rsidP="00220770">
      <w:pPr>
        <w:pStyle w:val="NormalHanging12a"/>
        <w:jc w:val="center"/>
        <w:rPr>
          <w:rFonts w:ascii="Calibri" w:hAnsi="Calibri" w:cs="Calibri"/>
          <w:sz w:val="27"/>
          <w:szCs w:val="27"/>
        </w:rPr>
      </w:pPr>
      <w:r w:rsidRPr="00BC37F7">
        <w:rPr>
          <w:rFonts w:ascii="Calibri" w:hAnsi="Calibri"/>
          <w:sz w:val="27"/>
        </w:rPr>
        <w:lastRenderedPageBreak/>
        <w:t>°</w:t>
      </w:r>
    </w:p>
    <w:p w:rsidR="00220770" w:rsidRPr="00BC37F7" w:rsidRDefault="00220770" w:rsidP="00220770">
      <w:pPr>
        <w:pStyle w:val="NormalHanging12a"/>
        <w:jc w:val="center"/>
        <w:rPr>
          <w:szCs w:val="24"/>
        </w:rPr>
      </w:pPr>
      <w:r w:rsidRPr="00BC37F7">
        <w:rPr>
          <w:rFonts w:ascii="Calibri" w:hAnsi="Calibri"/>
          <w:sz w:val="27"/>
        </w:rPr>
        <w:t>°</w:t>
      </w:r>
      <w:r w:rsidRPr="00BC37F7">
        <w:rPr>
          <w:rFonts w:ascii="Calibri" w:hAnsi="Calibri"/>
          <w:sz w:val="27"/>
        </w:rPr>
        <w:tab/>
        <w:t>°</w:t>
      </w:r>
    </w:p>
    <w:p w:rsidR="00220770" w:rsidRPr="00BC37F7" w:rsidRDefault="00220770" w:rsidP="00220770">
      <w:pPr>
        <w:pStyle w:val="NormalHanging12a"/>
      </w:pPr>
      <w:proofErr w:type="gramStart"/>
      <w:r w:rsidRPr="00BC37F7">
        <w:t>73.</w:t>
      </w:r>
      <w:r w:rsidRPr="00BC37F7">
        <w:tab/>
        <w:t>Encarrega</w:t>
      </w:r>
      <w:proofErr w:type="gramEnd"/>
      <w:r w:rsidRPr="00BC37F7">
        <w:t xml:space="preserve"> a sua Presidente de transmitir a presente resolução ao Conselho Europeu, ao Conselho, à Comissão, ao Comité Económico e Social Europeu, ao Comité das Regiões e aos parlamentos nacionais e regionais dos Estados</w:t>
      </w:r>
      <w:r w:rsidRPr="00BC37F7">
        <w:noBreakHyphen/>
        <w:t>Membros.</w:t>
      </w:r>
    </w:p>
    <w:sectPr w:rsidR="00220770" w:rsidRPr="00BC37F7" w:rsidSect="00C90E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B51" w:rsidRPr="00C90E5A" w:rsidRDefault="00967B51">
      <w:r w:rsidRPr="00C90E5A">
        <w:separator/>
      </w:r>
    </w:p>
  </w:endnote>
  <w:endnote w:type="continuationSeparator" w:id="0">
    <w:p w:rsidR="00967B51" w:rsidRPr="00C90E5A" w:rsidRDefault="00967B51">
      <w:r w:rsidRPr="00C90E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E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E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E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B51" w:rsidRPr="00C90E5A" w:rsidRDefault="00967B51">
      <w:r w:rsidRPr="00C90E5A">
        <w:separator/>
      </w:r>
    </w:p>
  </w:footnote>
  <w:footnote w:type="continuationSeparator" w:id="0">
    <w:p w:rsidR="00967B51" w:rsidRPr="00C90E5A" w:rsidRDefault="00967B51">
      <w:r w:rsidRPr="00C90E5A">
        <w:continuationSeparator/>
      </w:r>
    </w:p>
  </w:footnote>
  <w:footnote w:id="1">
    <w:p w:rsidR="00220770" w:rsidRPr="00BC37F7" w:rsidRDefault="00220770" w:rsidP="00C90E5A">
      <w:pPr>
        <w:pStyle w:val="FootnoteText"/>
        <w:ind w:left="567" w:hanging="567"/>
        <w:rPr>
          <w:sz w:val="24"/>
          <w:lang w:val="da-DK"/>
        </w:rPr>
      </w:pPr>
      <w:r w:rsidRPr="00C90E5A">
        <w:rPr>
          <w:rStyle w:val="FootnoteReference"/>
          <w:sz w:val="24"/>
          <w:lang w:val="pt-PT"/>
        </w:rPr>
        <w:footnoteRef/>
      </w:r>
      <w:r w:rsidR="00C90E5A" w:rsidRPr="00BC37F7">
        <w:rPr>
          <w:sz w:val="24"/>
          <w:lang w:val="da-DK"/>
        </w:rPr>
        <w:t xml:space="preserve"> </w:t>
      </w:r>
      <w:r w:rsidR="00C90E5A" w:rsidRPr="00BC37F7">
        <w:rPr>
          <w:sz w:val="24"/>
          <w:lang w:val="da-DK"/>
        </w:rPr>
        <w:tab/>
      </w:r>
      <w:r w:rsidRPr="00BC37F7">
        <w:rPr>
          <w:sz w:val="24"/>
          <w:lang w:val="da-DK"/>
        </w:rPr>
        <w:t>JO L 231 de 30.6.2021, p. 159.</w:t>
      </w:r>
    </w:p>
  </w:footnote>
  <w:footnote w:id="2">
    <w:p w:rsidR="00220770" w:rsidRPr="00BC37F7" w:rsidRDefault="00220770" w:rsidP="00C90E5A">
      <w:pPr>
        <w:pStyle w:val="FootnoteText"/>
        <w:ind w:left="567" w:hanging="567"/>
        <w:rPr>
          <w:sz w:val="24"/>
          <w:lang w:val="da-DK"/>
        </w:rPr>
      </w:pPr>
      <w:r w:rsidRPr="00C90E5A">
        <w:rPr>
          <w:rStyle w:val="FootnoteReference"/>
          <w:sz w:val="24"/>
          <w:lang w:val="pt-PT"/>
        </w:rPr>
        <w:footnoteRef/>
      </w:r>
      <w:r w:rsidR="00C90E5A" w:rsidRPr="00BC37F7">
        <w:rPr>
          <w:sz w:val="24"/>
          <w:lang w:val="da-DK"/>
        </w:rPr>
        <w:t xml:space="preserve"> </w:t>
      </w:r>
      <w:r w:rsidR="00C90E5A" w:rsidRPr="00BC37F7">
        <w:rPr>
          <w:sz w:val="24"/>
          <w:lang w:val="da-DK"/>
        </w:rPr>
        <w:tab/>
      </w:r>
      <w:r w:rsidRPr="00BC37F7">
        <w:rPr>
          <w:sz w:val="24"/>
          <w:lang w:val="da-DK"/>
        </w:rPr>
        <w:t>JO L 231 de 30.6.2021, p. 60.</w:t>
      </w:r>
    </w:p>
  </w:footnote>
  <w:footnote w:id="3">
    <w:p w:rsidR="00220770" w:rsidRPr="00BC37F7" w:rsidRDefault="00220770" w:rsidP="00C90E5A">
      <w:pPr>
        <w:pStyle w:val="FootnoteText"/>
        <w:ind w:left="567" w:hanging="567"/>
        <w:rPr>
          <w:sz w:val="24"/>
          <w:lang w:val="da-DK"/>
        </w:rPr>
      </w:pPr>
      <w:r w:rsidRPr="00C90E5A">
        <w:rPr>
          <w:rStyle w:val="FootnoteReference"/>
          <w:sz w:val="24"/>
          <w:lang w:val="pt-PT"/>
        </w:rPr>
        <w:footnoteRef/>
      </w:r>
      <w:r w:rsidR="00C90E5A" w:rsidRPr="00BC37F7">
        <w:rPr>
          <w:sz w:val="24"/>
          <w:lang w:val="da-DK"/>
        </w:rPr>
        <w:t xml:space="preserve"> </w:t>
      </w:r>
      <w:r w:rsidR="00C90E5A" w:rsidRPr="00BC37F7">
        <w:rPr>
          <w:sz w:val="24"/>
          <w:lang w:val="da-DK"/>
        </w:rPr>
        <w:tab/>
      </w:r>
      <w:r w:rsidRPr="00BC37F7">
        <w:rPr>
          <w:sz w:val="24"/>
          <w:lang w:val="da-DK"/>
        </w:rPr>
        <w:t>JO L 231 de 30.6.2021, p. 94.</w:t>
      </w:r>
    </w:p>
  </w:footnote>
  <w:footnote w:id="4">
    <w:p w:rsidR="00220770" w:rsidRPr="00BC37F7" w:rsidRDefault="00220770" w:rsidP="00C90E5A">
      <w:pPr>
        <w:pStyle w:val="FootnoteText"/>
        <w:ind w:left="567" w:hanging="567"/>
        <w:rPr>
          <w:sz w:val="24"/>
          <w:lang w:val="da-DK"/>
        </w:rPr>
      </w:pPr>
      <w:r w:rsidRPr="00C90E5A">
        <w:rPr>
          <w:rStyle w:val="FootnoteReference"/>
          <w:sz w:val="24"/>
          <w:lang w:val="pt-PT"/>
        </w:rPr>
        <w:footnoteRef/>
      </w:r>
      <w:r w:rsidR="00C90E5A" w:rsidRPr="00BC37F7">
        <w:rPr>
          <w:sz w:val="24"/>
          <w:lang w:val="da-DK"/>
        </w:rPr>
        <w:t xml:space="preserve"> </w:t>
      </w:r>
      <w:r w:rsidR="00C90E5A" w:rsidRPr="00BC37F7">
        <w:rPr>
          <w:sz w:val="24"/>
          <w:lang w:val="da-DK"/>
        </w:rPr>
        <w:tab/>
      </w:r>
      <w:r w:rsidRPr="00BC37F7">
        <w:rPr>
          <w:sz w:val="24"/>
          <w:lang w:val="da-DK"/>
        </w:rPr>
        <w:t>JO L 109 de 8.4.2022, p. 1.</w:t>
      </w:r>
    </w:p>
  </w:footnote>
  <w:footnote w:id="5">
    <w:p w:rsidR="00220770" w:rsidRPr="00BC37F7" w:rsidRDefault="00220770" w:rsidP="00C90E5A">
      <w:pPr>
        <w:pStyle w:val="FootnoteText"/>
        <w:ind w:left="567" w:hanging="567"/>
        <w:rPr>
          <w:sz w:val="24"/>
          <w:lang w:val="da-DK"/>
        </w:rPr>
      </w:pPr>
      <w:r w:rsidRPr="00C90E5A">
        <w:rPr>
          <w:rStyle w:val="FootnoteReference"/>
          <w:sz w:val="24"/>
          <w:lang w:val="pt-PT"/>
        </w:rPr>
        <w:footnoteRef/>
      </w:r>
      <w:r w:rsidR="00C90E5A" w:rsidRPr="00BC37F7">
        <w:rPr>
          <w:sz w:val="24"/>
          <w:lang w:val="da-DK"/>
        </w:rPr>
        <w:t xml:space="preserve"> </w:t>
      </w:r>
      <w:r w:rsidR="00C90E5A" w:rsidRPr="00BC37F7">
        <w:rPr>
          <w:sz w:val="24"/>
          <w:lang w:val="da-DK"/>
        </w:rPr>
        <w:tab/>
      </w:r>
      <w:r w:rsidRPr="00BC37F7">
        <w:rPr>
          <w:sz w:val="24"/>
          <w:lang w:val="da-DK"/>
        </w:rPr>
        <w:t>JO L 210 de 31.7.2006, p. 19.</w:t>
      </w:r>
    </w:p>
  </w:footnote>
  <w:footnote w:id="6">
    <w:p w:rsidR="00220770" w:rsidRPr="00BC37F7" w:rsidRDefault="00220770" w:rsidP="00C90E5A">
      <w:pPr>
        <w:pStyle w:val="FootnoteText"/>
        <w:ind w:left="567" w:hanging="567"/>
        <w:rPr>
          <w:sz w:val="24"/>
          <w:lang w:val="da-DK"/>
        </w:rPr>
      </w:pPr>
      <w:r w:rsidRPr="00C90E5A">
        <w:rPr>
          <w:rStyle w:val="FootnoteReference"/>
          <w:sz w:val="24"/>
          <w:lang w:val="pt-PT"/>
        </w:rPr>
        <w:footnoteRef/>
      </w:r>
      <w:r w:rsidR="00C90E5A" w:rsidRPr="00BC37F7">
        <w:rPr>
          <w:sz w:val="24"/>
          <w:lang w:val="da-DK"/>
        </w:rPr>
        <w:t xml:space="preserve"> </w:t>
      </w:r>
      <w:r w:rsidR="00C90E5A" w:rsidRPr="00BC37F7">
        <w:rPr>
          <w:sz w:val="24"/>
          <w:lang w:val="da-DK"/>
        </w:rPr>
        <w:tab/>
      </w:r>
      <w:r w:rsidRPr="00BC37F7">
        <w:rPr>
          <w:sz w:val="24"/>
          <w:lang w:val="da-DK"/>
        </w:rPr>
        <w:t>JO C 111 I de 3.4.2020, p. 1.</w:t>
      </w:r>
    </w:p>
  </w:footnote>
  <w:footnote w:id="7">
    <w:p w:rsidR="00220770" w:rsidRPr="00C90E5A" w:rsidRDefault="00220770" w:rsidP="00C90E5A">
      <w:pPr>
        <w:pStyle w:val="FootnoteText"/>
        <w:ind w:left="567" w:hanging="567"/>
        <w:rPr>
          <w:sz w:val="24"/>
          <w:lang w:val="pt-PT"/>
        </w:rPr>
      </w:pPr>
      <w:r w:rsidRPr="00C90E5A">
        <w:rPr>
          <w:rStyle w:val="FootnoteReference"/>
          <w:sz w:val="24"/>
          <w:lang w:val="pt-PT"/>
        </w:rPr>
        <w:footnoteRef/>
      </w:r>
      <w:r w:rsidR="00C90E5A" w:rsidRPr="00C90E5A">
        <w:rPr>
          <w:sz w:val="24"/>
          <w:lang w:val="pt-PT"/>
        </w:rPr>
        <w:t xml:space="preserve"> </w:t>
      </w:r>
      <w:r w:rsidR="00C90E5A" w:rsidRPr="00C90E5A">
        <w:rPr>
          <w:sz w:val="24"/>
          <w:lang w:val="pt-PT"/>
        </w:rPr>
        <w:tab/>
      </w:r>
      <w:r w:rsidRPr="00C90E5A">
        <w:rPr>
          <w:sz w:val="24"/>
          <w:lang w:val="pt-PT"/>
        </w:rPr>
        <w:t>JO C 125 de 5.4.2023, p. 100.</w:t>
      </w:r>
    </w:p>
  </w:footnote>
  <w:footnote w:id="8">
    <w:p w:rsidR="00220770" w:rsidRPr="00C90E5A" w:rsidRDefault="00220770" w:rsidP="00C90E5A">
      <w:pPr>
        <w:pStyle w:val="FootnoteText"/>
        <w:ind w:left="567" w:hanging="567"/>
        <w:rPr>
          <w:sz w:val="24"/>
          <w:lang w:val="pt-PT"/>
        </w:rPr>
      </w:pPr>
      <w:r w:rsidRPr="00C90E5A">
        <w:rPr>
          <w:rStyle w:val="FootnoteReference"/>
          <w:sz w:val="24"/>
          <w:lang w:val="pt-PT"/>
        </w:rPr>
        <w:footnoteRef/>
      </w:r>
      <w:r w:rsidR="00C90E5A" w:rsidRPr="00C90E5A">
        <w:rPr>
          <w:sz w:val="24"/>
          <w:lang w:val="pt-PT"/>
        </w:rPr>
        <w:t xml:space="preserve"> </w:t>
      </w:r>
      <w:r w:rsidR="00C90E5A" w:rsidRPr="00C90E5A">
        <w:rPr>
          <w:sz w:val="24"/>
          <w:lang w:val="pt-PT"/>
        </w:rPr>
        <w:tab/>
      </w:r>
      <w:r w:rsidRPr="00C90E5A">
        <w:rPr>
          <w:sz w:val="24"/>
          <w:lang w:val="pt-PT"/>
        </w:rPr>
        <w:t xml:space="preserve">Textos </w:t>
      </w:r>
      <w:r w:rsidR="0083056E">
        <w:rPr>
          <w:sz w:val="24"/>
          <w:lang w:val="pt-PT"/>
        </w:rPr>
        <w:t>A</w:t>
      </w:r>
      <w:r w:rsidRPr="00C90E5A">
        <w:rPr>
          <w:sz w:val="24"/>
          <w:lang w:val="pt-PT"/>
        </w:rPr>
        <w:t>provados, P9_</w:t>
      </w:r>
      <w:proofErr w:type="gramStart"/>
      <w:r w:rsidRPr="00C90E5A">
        <w:rPr>
          <w:sz w:val="24"/>
          <w:lang w:val="pt-PT"/>
        </w:rPr>
        <w:t>TA(</w:t>
      </w:r>
      <w:proofErr w:type="gramEnd"/>
      <w:r w:rsidRPr="00C90E5A">
        <w:rPr>
          <w:sz w:val="24"/>
          <w:lang w:val="pt-PT"/>
        </w:rPr>
        <w:t>2023)0133.</w:t>
      </w:r>
    </w:p>
  </w:footnote>
  <w:footnote w:id="9">
    <w:p w:rsidR="00220770" w:rsidRPr="00C90E5A" w:rsidRDefault="00220770" w:rsidP="00C90E5A">
      <w:pPr>
        <w:pStyle w:val="FootnoteText"/>
        <w:ind w:left="567" w:hanging="567"/>
        <w:rPr>
          <w:sz w:val="24"/>
          <w:lang w:val="pt-PT"/>
        </w:rPr>
      </w:pPr>
      <w:r w:rsidRPr="00C90E5A">
        <w:rPr>
          <w:rStyle w:val="FootnoteReference"/>
          <w:sz w:val="24"/>
          <w:lang w:val="pt-PT"/>
        </w:rPr>
        <w:footnoteRef/>
      </w:r>
      <w:r w:rsidR="00C90E5A" w:rsidRPr="00C90E5A">
        <w:rPr>
          <w:sz w:val="24"/>
          <w:lang w:val="pt-PT"/>
        </w:rPr>
        <w:t xml:space="preserve"> </w:t>
      </w:r>
      <w:r w:rsidR="00C90E5A" w:rsidRPr="00C90E5A">
        <w:rPr>
          <w:sz w:val="24"/>
          <w:lang w:val="pt-PT"/>
        </w:rPr>
        <w:tab/>
      </w:r>
      <w:r w:rsidRPr="00C90E5A">
        <w:rPr>
          <w:sz w:val="24"/>
          <w:lang w:val="pt-PT"/>
        </w:rPr>
        <w:t>JO C 162 de 10.5.2019, p. 24.</w:t>
      </w:r>
    </w:p>
  </w:footnote>
  <w:footnote w:id="10">
    <w:p w:rsidR="00220770" w:rsidRPr="00C90E5A" w:rsidRDefault="00220770" w:rsidP="00C90E5A">
      <w:pPr>
        <w:pStyle w:val="FootnoteText"/>
        <w:ind w:left="567" w:hanging="567"/>
        <w:rPr>
          <w:sz w:val="24"/>
          <w:lang w:val="pt-PT"/>
        </w:rPr>
      </w:pPr>
      <w:r w:rsidRPr="00C90E5A">
        <w:rPr>
          <w:rStyle w:val="FootnoteReference"/>
          <w:sz w:val="24"/>
          <w:lang w:val="pt-PT"/>
        </w:rPr>
        <w:footnoteRef/>
      </w:r>
      <w:r w:rsidR="00C90E5A" w:rsidRPr="00C90E5A">
        <w:rPr>
          <w:sz w:val="24"/>
          <w:lang w:val="pt-PT"/>
        </w:rPr>
        <w:t xml:space="preserve"> </w:t>
      </w:r>
      <w:r w:rsidR="00C90E5A" w:rsidRPr="00C90E5A">
        <w:rPr>
          <w:sz w:val="24"/>
          <w:lang w:val="pt-PT"/>
        </w:rPr>
        <w:tab/>
      </w:r>
      <w:r w:rsidRPr="00C90E5A">
        <w:rPr>
          <w:sz w:val="24"/>
          <w:lang w:val="pt-PT"/>
        </w:rPr>
        <w:t>Study – EU lagging regions: state of play and future challenges [Estudo – Regiões menos desenvolvidas da UE: ponto da situação e desafios futuros], Parlamento Europeu, Direção</w:t>
      </w:r>
      <w:r w:rsidRPr="00C90E5A">
        <w:rPr>
          <w:sz w:val="24"/>
          <w:lang w:val="pt-PT"/>
        </w:rPr>
        <w:noBreakHyphen/>
        <w:t>Geral dos Serviços de Estudos do Parlamento Europeu, setembro de 2020,</w:t>
      </w:r>
    </w:p>
  </w:footnote>
  <w:footnote w:id="11">
    <w:p w:rsidR="00220770" w:rsidRPr="00C90E5A" w:rsidRDefault="00220770" w:rsidP="00C90E5A">
      <w:pPr>
        <w:pStyle w:val="FootnoteText"/>
        <w:ind w:left="567" w:hanging="567"/>
        <w:rPr>
          <w:sz w:val="24"/>
          <w:lang w:val="pt-PT"/>
        </w:rPr>
      </w:pPr>
      <w:r w:rsidRPr="00C90E5A">
        <w:rPr>
          <w:rStyle w:val="FootnoteReference"/>
          <w:sz w:val="24"/>
          <w:lang w:val="pt-PT"/>
        </w:rPr>
        <w:footnoteRef/>
      </w:r>
      <w:r w:rsidR="00C90E5A" w:rsidRPr="00C90E5A">
        <w:rPr>
          <w:sz w:val="24"/>
          <w:lang w:val="pt-PT"/>
        </w:rPr>
        <w:t xml:space="preserve"> </w:t>
      </w:r>
      <w:r w:rsidR="00C90E5A" w:rsidRPr="00C90E5A">
        <w:rPr>
          <w:sz w:val="24"/>
          <w:lang w:val="pt-PT"/>
        </w:rPr>
        <w:tab/>
      </w:r>
      <w:r w:rsidRPr="00C90E5A">
        <w:rPr>
          <w:sz w:val="24"/>
          <w:lang w:val="pt-PT"/>
        </w:rPr>
        <w:t>JO C 433 de 23.12.2019, p. 24.</w:t>
      </w:r>
    </w:p>
  </w:footnote>
  <w:footnote w:id="12">
    <w:p w:rsidR="00220770" w:rsidRPr="00BC37F7" w:rsidRDefault="00220770" w:rsidP="00C90E5A">
      <w:pPr>
        <w:pStyle w:val="FootnoteText"/>
        <w:ind w:left="567" w:hanging="567"/>
        <w:rPr>
          <w:sz w:val="24"/>
          <w:lang w:val="en-GB"/>
        </w:rPr>
      </w:pPr>
      <w:r w:rsidRPr="00C90E5A">
        <w:rPr>
          <w:rStyle w:val="FootnoteReference"/>
          <w:sz w:val="24"/>
          <w:lang w:val="pt-PT"/>
        </w:rPr>
        <w:footnoteRef/>
      </w:r>
      <w:r w:rsidR="00C90E5A" w:rsidRPr="00C90E5A">
        <w:rPr>
          <w:sz w:val="24"/>
          <w:lang w:val="pt-PT"/>
        </w:rPr>
        <w:t xml:space="preserve"> </w:t>
      </w:r>
      <w:r w:rsidR="00C90E5A" w:rsidRPr="00C90E5A">
        <w:rPr>
          <w:sz w:val="24"/>
          <w:lang w:val="pt-PT"/>
        </w:rPr>
        <w:tab/>
      </w:r>
      <w:r w:rsidRPr="00C90E5A">
        <w:rPr>
          <w:sz w:val="24"/>
          <w:lang w:val="pt-PT"/>
        </w:rPr>
        <w:t xml:space="preserve">Painel Intergovernamental sobre as Alterações Climáticas, «Climate Change 2022: Mitigation of Climate Change. </w:t>
      </w:r>
      <w:r w:rsidRPr="00BC37F7">
        <w:rPr>
          <w:sz w:val="24"/>
          <w:lang w:val="en-GB"/>
        </w:rPr>
        <w:t xml:space="preserve">Contribution of Working Group III to the Sixth Assessment Report of the Intergovernmental Panel on Climate Change» (Shukla, P.R. e o., eds), Cambridge University Press, Cambridge, UK e New York, NY, EUA, 2022. </w:t>
      </w:r>
    </w:p>
  </w:footnote>
  <w:footnote w:id="13">
    <w:p w:rsidR="00220770" w:rsidRPr="00BC37F7" w:rsidRDefault="00220770" w:rsidP="00C90E5A">
      <w:pPr>
        <w:pStyle w:val="FootnoteText"/>
        <w:ind w:left="567" w:hanging="567"/>
        <w:rPr>
          <w:sz w:val="24"/>
          <w:lang w:val="da-DK"/>
        </w:rPr>
      </w:pPr>
      <w:r w:rsidRPr="00C90E5A">
        <w:rPr>
          <w:rStyle w:val="FootnoteReference"/>
          <w:sz w:val="24"/>
          <w:lang w:val="pt-PT"/>
        </w:rPr>
        <w:footnoteRef/>
      </w:r>
      <w:r w:rsidR="00C90E5A" w:rsidRPr="00BC37F7">
        <w:rPr>
          <w:sz w:val="24"/>
          <w:lang w:val="da-DK"/>
        </w:rPr>
        <w:t xml:space="preserve"> </w:t>
      </w:r>
      <w:r w:rsidR="00C90E5A" w:rsidRPr="00BC37F7">
        <w:rPr>
          <w:sz w:val="24"/>
          <w:lang w:val="da-DK"/>
        </w:rPr>
        <w:tab/>
      </w:r>
      <w:r w:rsidRPr="00BC37F7">
        <w:rPr>
          <w:sz w:val="24"/>
          <w:lang w:val="da-DK"/>
        </w:rPr>
        <w:t>JO C 440 de 29.10.2021, p. 6.</w:t>
      </w:r>
    </w:p>
  </w:footnote>
  <w:footnote w:id="14">
    <w:p w:rsidR="00220770" w:rsidRPr="00BC37F7" w:rsidRDefault="00220770" w:rsidP="00C90E5A">
      <w:pPr>
        <w:pStyle w:val="FootnoteText"/>
        <w:ind w:left="567" w:hanging="567"/>
        <w:rPr>
          <w:sz w:val="24"/>
          <w:lang w:val="da-DK"/>
        </w:rPr>
      </w:pPr>
      <w:r w:rsidRPr="00C90E5A">
        <w:rPr>
          <w:rStyle w:val="FootnoteReference"/>
          <w:sz w:val="24"/>
          <w:lang w:val="pt-PT"/>
        </w:rPr>
        <w:footnoteRef/>
      </w:r>
      <w:r w:rsidR="00C90E5A" w:rsidRPr="00BC37F7">
        <w:rPr>
          <w:sz w:val="24"/>
          <w:lang w:val="da-DK"/>
        </w:rPr>
        <w:t xml:space="preserve"> </w:t>
      </w:r>
      <w:r w:rsidR="00C90E5A" w:rsidRPr="00BC37F7">
        <w:rPr>
          <w:sz w:val="24"/>
          <w:lang w:val="da-DK"/>
        </w:rPr>
        <w:tab/>
      </w:r>
      <w:r w:rsidRPr="00BC37F7">
        <w:rPr>
          <w:sz w:val="24"/>
          <w:lang w:val="da-DK"/>
        </w:rPr>
        <w:t>JO C 207 de 30.6.2017, p. 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E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E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E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5/2023"/>
    <w:docVar w:name="dvlangue" w:val="PT"/>
    <w:docVar w:name="dvnumam" w:val="0"/>
    <w:docVar w:name="dvpe" w:val="751.733"/>
    <w:docVar w:name="dvrapporteur" w:val="Relator: "/>
    <w:docVar w:name="dvtitre" w:val="Resolução do Parlamento Europeu, de ... de ... de 2024,_x000d__x000a_ sobre os desafios atuais e futuros relativos à cooperação transfronteiriça com países vizinhos(2023/2076(INI))"/>
  </w:docVars>
  <w:rsids>
    <w:rsidRoot w:val="00967B51"/>
    <w:rsid w:val="00002272"/>
    <w:rsid w:val="000275E8"/>
    <w:rsid w:val="00064002"/>
    <w:rsid w:val="000677B9"/>
    <w:rsid w:val="000831BA"/>
    <w:rsid w:val="000A42CC"/>
    <w:rsid w:val="000B64D7"/>
    <w:rsid w:val="000C6031"/>
    <w:rsid w:val="000E7DD9"/>
    <w:rsid w:val="0010095E"/>
    <w:rsid w:val="00125B37"/>
    <w:rsid w:val="001268FC"/>
    <w:rsid w:val="00187494"/>
    <w:rsid w:val="001F32AE"/>
    <w:rsid w:val="00220770"/>
    <w:rsid w:val="002767FF"/>
    <w:rsid w:val="002B18FE"/>
    <w:rsid w:val="002B5493"/>
    <w:rsid w:val="00343214"/>
    <w:rsid w:val="00361C00"/>
    <w:rsid w:val="00395FA1"/>
    <w:rsid w:val="003E15D4"/>
    <w:rsid w:val="003E179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056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B5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CA6"/>
    <w:rsid w:val="00BC37F7"/>
    <w:rsid w:val="00BD48FE"/>
    <w:rsid w:val="00BD7BD8"/>
    <w:rsid w:val="00BE6ADC"/>
    <w:rsid w:val="00C05BFE"/>
    <w:rsid w:val="00C23CD4"/>
    <w:rsid w:val="00C61C0C"/>
    <w:rsid w:val="00C90E5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55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E1A237"/>
  <w15:chartTrackingRefBased/>
  <w15:docId w15:val="{EBD72C22-C30B-4838-8C2B-5F797A23A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20770"/>
    <w:pPr>
      <w:spacing w:after="240"/>
      <w:ind w:left="567" w:hanging="567"/>
    </w:pPr>
  </w:style>
  <w:style w:type="paragraph" w:customStyle="1" w:styleId="EPComma">
    <w:name w:val="EPComma"/>
    <w:basedOn w:val="Normal"/>
    <w:rsid w:val="00220770"/>
    <w:pPr>
      <w:spacing w:before="480" w:after="240"/>
    </w:pPr>
  </w:style>
  <w:style w:type="character" w:customStyle="1" w:styleId="y2iqfc">
    <w:name w:val="y2iqfc"/>
    <w:basedOn w:val="DefaultParagraphFont"/>
    <w:rsid w:val="00220770"/>
  </w:style>
  <w:style w:type="character" w:customStyle="1" w:styleId="NormalHanging12aChar">
    <w:name w:val="NormalHanging12a Char"/>
    <w:basedOn w:val="DefaultParagraphFont"/>
    <w:link w:val="NormalHanging12a"/>
    <w:rsid w:val="00220770"/>
    <w:rPr>
      <w:sz w:val="24"/>
      <w:lang w:val="pt-PT"/>
    </w:rPr>
  </w:style>
  <w:style w:type="paragraph" w:styleId="BalloonText">
    <w:name w:val="Balloon Text"/>
    <w:basedOn w:val="Normal"/>
    <w:link w:val="BalloonTextChar"/>
    <w:rsid w:val="00B57C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57CA6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46987-4991-478A-B02F-9966916EA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5268</Words>
  <Characters>30187</Characters>
  <Application>Microsoft Office Word</Application>
  <DocSecurity>0</DocSecurity>
  <Lines>1312</Lines>
  <Paragraphs>499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SILVA Carla Marina</cp:lastModifiedBy>
  <cp:revision>2</cp:revision>
  <cp:lastPrinted>2004-11-19T15:42:00Z</cp:lastPrinted>
  <dcterms:created xsi:type="dcterms:W3CDTF">2024-02-26T10:46:00Z</dcterms:created>
  <dcterms:modified xsi:type="dcterms:W3CDTF">2024-02-26T10:46:00Z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A9-0415/2023</vt:lpwstr>
  </property>
  <property fmtid="{D5CDD505-2E9C-101B-9397-08002B2CF9AE}" pid="4" name="&lt;Type&gt;">
    <vt:lpwstr>RR</vt:lpwstr>
  </property>
</Properties>
</file>