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246076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246076" w:rsidRDefault="009802E0" w:rsidP="0010095E">
            <w:pPr>
              <w:pStyle w:val="EPName"/>
            </w:pPr>
            <w:bookmarkStart w:id="0" w:name="_GoBack"/>
            <w:bookmarkEnd w:id="0"/>
            <w:r w:rsidRPr="00246076">
              <w:t>Európsky parlament</w:t>
            </w:r>
          </w:p>
          <w:p w:rsidR="00751A4A" w:rsidRPr="00246076" w:rsidRDefault="00817416" w:rsidP="00756632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246076">
              <w:t>2019-2024</w:t>
            </w:r>
          </w:p>
        </w:tc>
        <w:tc>
          <w:tcPr>
            <w:tcW w:w="2268" w:type="dxa"/>
            <w:shd w:val="clear" w:color="auto" w:fill="auto"/>
          </w:tcPr>
          <w:p w:rsidR="00751A4A" w:rsidRPr="00246076" w:rsidRDefault="00187494" w:rsidP="0010095E">
            <w:pPr>
              <w:pStyle w:val="EPLogo"/>
            </w:pPr>
            <w:r w:rsidRPr="00246076">
              <w:rPr>
                <w:noProof/>
                <w:lang w:val="en-GB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246076" w:rsidRDefault="00D058B8" w:rsidP="004C5D52">
      <w:pPr>
        <w:pStyle w:val="LineTop"/>
      </w:pPr>
    </w:p>
    <w:p w:rsidR="00680577" w:rsidRPr="00246076" w:rsidRDefault="009802E0" w:rsidP="00680577">
      <w:pPr>
        <w:pStyle w:val="EPBodyTA1"/>
      </w:pPr>
      <w:r w:rsidRPr="00246076">
        <w:t>PRIJATÉ TEXTY</w:t>
      </w:r>
    </w:p>
    <w:p w:rsidR="00D058B8" w:rsidRPr="00246076" w:rsidRDefault="00D058B8" w:rsidP="00D058B8">
      <w:pPr>
        <w:pStyle w:val="LineBottom"/>
      </w:pPr>
    </w:p>
    <w:p w:rsidR="009802E0" w:rsidRPr="00246076" w:rsidRDefault="009802E0" w:rsidP="009802E0">
      <w:pPr>
        <w:pStyle w:val="ATHeading1"/>
      </w:pPr>
      <w:bookmarkStart w:id="1" w:name="TANumber"/>
      <w:r w:rsidRPr="00246076">
        <w:t>P9_TA(2024)00</w:t>
      </w:r>
      <w:r w:rsidR="00656F32" w:rsidRPr="00246076">
        <w:t>15</w:t>
      </w:r>
      <w:bookmarkEnd w:id="1"/>
    </w:p>
    <w:p w:rsidR="009802E0" w:rsidRPr="00246076" w:rsidRDefault="009802E0" w:rsidP="009802E0">
      <w:pPr>
        <w:pStyle w:val="ATHeading2"/>
      </w:pPr>
      <w:bookmarkStart w:id="2" w:name="title"/>
      <w:r w:rsidRPr="00246076">
        <w:t>Súčasné a budúce výzvy cezhraničnej spolupráce so susednými krajinami</w:t>
      </w:r>
      <w:bookmarkEnd w:id="2"/>
    </w:p>
    <w:p w:rsidR="009802E0" w:rsidRPr="00246076" w:rsidRDefault="009802E0" w:rsidP="009802E0">
      <w:pPr>
        <w:rPr>
          <w:i/>
          <w:vanish/>
        </w:rPr>
      </w:pPr>
      <w:r w:rsidRPr="00246076">
        <w:rPr>
          <w:i/>
        </w:rPr>
        <w:fldChar w:fldCharType="begin"/>
      </w:r>
      <w:r w:rsidRPr="00246076">
        <w:rPr>
          <w:i/>
        </w:rPr>
        <w:instrText xml:space="preserve"> TC"(</w:instrText>
      </w:r>
      <w:bookmarkStart w:id="3" w:name="DocNumber"/>
      <w:r w:rsidRPr="00246076">
        <w:rPr>
          <w:i/>
        </w:rPr>
        <w:instrText>A9-0415/2023</w:instrText>
      </w:r>
      <w:bookmarkEnd w:id="3"/>
      <w:r w:rsidRPr="00246076">
        <w:rPr>
          <w:i/>
        </w:rPr>
        <w:instrText xml:space="preserve"> - Spravodajca: Daniel Buda)"\l3 \n&gt; \* MERGEFORMAT </w:instrText>
      </w:r>
      <w:r w:rsidRPr="00246076">
        <w:rPr>
          <w:i/>
        </w:rPr>
        <w:fldChar w:fldCharType="end"/>
      </w:r>
    </w:p>
    <w:p w:rsidR="009802E0" w:rsidRPr="00246076" w:rsidRDefault="009802E0" w:rsidP="009802E0">
      <w:pPr>
        <w:rPr>
          <w:vanish/>
        </w:rPr>
      </w:pPr>
      <w:bookmarkStart w:id="4" w:name="Commission"/>
      <w:r w:rsidRPr="00246076">
        <w:rPr>
          <w:vanish/>
        </w:rPr>
        <w:t>Výbor pre regionálny rozvoj</w:t>
      </w:r>
      <w:bookmarkEnd w:id="4"/>
    </w:p>
    <w:p w:rsidR="009802E0" w:rsidRPr="00246076" w:rsidRDefault="009802E0" w:rsidP="009802E0">
      <w:pPr>
        <w:rPr>
          <w:vanish/>
        </w:rPr>
      </w:pPr>
      <w:bookmarkStart w:id="5" w:name="PE"/>
      <w:r w:rsidRPr="00246076">
        <w:rPr>
          <w:vanish/>
        </w:rPr>
        <w:t>PE751.733</w:t>
      </w:r>
      <w:bookmarkEnd w:id="5"/>
    </w:p>
    <w:p w:rsidR="009802E0" w:rsidRPr="00246076" w:rsidRDefault="009802E0" w:rsidP="009802E0">
      <w:pPr>
        <w:pStyle w:val="ATHeading3"/>
      </w:pPr>
      <w:bookmarkStart w:id="6" w:name="Sujet"/>
      <w:r w:rsidRPr="00246076">
        <w:t>Uznesenie Európskeho parlamentu z</w:t>
      </w:r>
      <w:r w:rsidR="00656F32" w:rsidRPr="00246076">
        <w:t>o</w:t>
      </w:r>
      <w:r w:rsidRPr="00246076">
        <w:t xml:space="preserve"> </w:t>
      </w:r>
      <w:r w:rsidR="00656F32" w:rsidRPr="00246076">
        <w:t>16</w:t>
      </w:r>
      <w:r w:rsidRPr="00246076">
        <w:t>. januára 2024 o súčasných a budúcich výzvach cezhraničnej spolupráce so susednými krajinami</w:t>
      </w:r>
      <w:bookmarkEnd w:id="6"/>
      <w:r w:rsidRPr="00246076">
        <w:t xml:space="preserve"> </w:t>
      </w:r>
      <w:bookmarkStart w:id="7" w:name="References"/>
      <w:r w:rsidRPr="00246076">
        <w:t>(2023/2076(INI))</w:t>
      </w:r>
      <w:bookmarkEnd w:id="7"/>
    </w:p>
    <w:p w:rsidR="00485152" w:rsidRPr="00246076" w:rsidRDefault="00485152" w:rsidP="00485152">
      <w:pPr>
        <w:pStyle w:val="EPComma"/>
      </w:pPr>
      <w:bookmarkStart w:id="8" w:name="TextBodyBegin"/>
      <w:bookmarkEnd w:id="8"/>
      <w:r w:rsidRPr="00246076">
        <w:rPr>
          <w:i/>
        </w:rPr>
        <w:t>Európsky parlament</w:t>
      </w:r>
      <w:r w:rsidRPr="00246076">
        <w:t>,</w:t>
      </w:r>
    </w:p>
    <w:p w:rsidR="00485152" w:rsidRPr="00246076" w:rsidRDefault="00485152" w:rsidP="00485152">
      <w:pPr>
        <w:pStyle w:val="NormalHanging12a"/>
        <w:rPr>
          <w:snapToGrid w:val="0"/>
        </w:rPr>
      </w:pPr>
      <w:r w:rsidRPr="00246076">
        <w:t>–</w:t>
      </w:r>
      <w:r w:rsidRPr="00246076">
        <w:tab/>
        <w:t>so zreteľom na článok 3 Zmluvy o Európskej únii (</w:t>
      </w:r>
      <w:r w:rsidR="00FE2EEA" w:rsidRPr="00246076">
        <w:t>ďalej len „</w:t>
      </w:r>
      <w:r w:rsidRPr="00246076">
        <w:t>Zmluva o</w:t>
      </w:r>
      <w:r w:rsidR="00FE2EEA" w:rsidRPr="00246076">
        <w:t> </w:t>
      </w:r>
      <w:r w:rsidRPr="00246076">
        <w:t>EÚ</w:t>
      </w:r>
      <w:r w:rsidR="00FE2EEA" w:rsidRPr="00246076">
        <w:t>“</w:t>
      </w:r>
      <w:r w:rsidRPr="00246076">
        <w:t>) a články 4, 162, 174 až 178 a 349 Zmluvy o fungovaní Európskej únie,</w:t>
      </w:r>
    </w:p>
    <w:p w:rsidR="00485152" w:rsidRPr="00246076" w:rsidRDefault="00485152" w:rsidP="00485152">
      <w:pPr>
        <w:pStyle w:val="NormalHanging12a"/>
        <w:rPr>
          <w:snapToGrid w:val="0"/>
        </w:rPr>
      </w:pPr>
      <w:r w:rsidRPr="00246076">
        <w:t>–</w:t>
      </w:r>
      <w:r w:rsidRPr="00246076">
        <w:tab/>
        <w:t xml:space="preserve">so zreteľom na nariadenie Európskeho parlamentu a Rady (EÚ) 2021/1060 z 24. júna 2021, ktorým sa stanovujú spoločné ustanovenia o Európskom fonde regionálneho rozvoja, Európskom sociálnom fonde plus, Kohéznom fonde, Fonde na spravodlivú transformáciu a Európskom námornom, rybolovnom a </w:t>
      </w:r>
      <w:proofErr w:type="spellStart"/>
      <w:r w:rsidRPr="00246076">
        <w:t>akvakultúrnom</w:t>
      </w:r>
      <w:proofErr w:type="spellEnd"/>
      <w:r w:rsidRPr="00246076">
        <w:t xml:space="preserve"> fonde a rozpočtové pravidlá pre uvedené fondy, ako aj pre Fond pre azyl, migráciu a integráciu, Fond pre vnútornú bezpečnosť a Nástroj finančnej podpory na riadenie hraníc a vízovú politiku</w:t>
      </w:r>
      <w:r w:rsidRPr="00246076">
        <w:rPr>
          <w:rStyle w:val="FootnoteReference"/>
        </w:rPr>
        <w:footnoteReference w:id="1"/>
      </w:r>
      <w:r w:rsidRPr="00246076">
        <w:t>,</w:t>
      </w:r>
    </w:p>
    <w:p w:rsidR="00485152" w:rsidRPr="00246076" w:rsidRDefault="00485152" w:rsidP="00485152">
      <w:pPr>
        <w:pStyle w:val="NormalHanging12a"/>
        <w:rPr>
          <w:snapToGrid w:val="0"/>
        </w:rPr>
      </w:pPr>
      <w:r w:rsidRPr="00246076">
        <w:t>–</w:t>
      </w:r>
      <w:r w:rsidRPr="00246076">
        <w:tab/>
        <w:t>so zreteľom na nariadenie Európskeho parlamentu a Rady (EÚ) 2021/1058 z 24. júna 2021 o Európskom fonde regionálneho rozvoja a Kohéznom fonde</w:t>
      </w:r>
      <w:r w:rsidRPr="00246076">
        <w:rPr>
          <w:rStyle w:val="FootnoteReference"/>
        </w:rPr>
        <w:footnoteReference w:id="2"/>
      </w:r>
      <w:r w:rsidRPr="00246076">
        <w:t>,</w:t>
      </w:r>
    </w:p>
    <w:p w:rsidR="00485152" w:rsidRPr="00246076" w:rsidRDefault="00485152" w:rsidP="00485152">
      <w:pPr>
        <w:pStyle w:val="NormalHanging12a"/>
        <w:rPr>
          <w:snapToGrid w:val="0"/>
        </w:rPr>
      </w:pPr>
      <w:r w:rsidRPr="00246076">
        <w:t>–</w:t>
      </w:r>
      <w:r w:rsidRPr="00246076">
        <w:tab/>
        <w:t>so zreteľom na nariadenie Európskeho parlamentu a Rady (EÚ) 2021/1059 z 24. júna 2021 o osobitných ustanoveniach týkajúcich sa cieľa Európska územná spolupráca (</w:t>
      </w:r>
      <w:proofErr w:type="spellStart"/>
      <w:r w:rsidRPr="00246076">
        <w:t>Interreg</w:t>
      </w:r>
      <w:proofErr w:type="spellEnd"/>
      <w:r w:rsidRPr="00246076">
        <w:t>) podporovaného z Európskeho fondu regionálneho rozvoja a vonkajších finančných nástrojov</w:t>
      </w:r>
      <w:r w:rsidRPr="00246076">
        <w:rPr>
          <w:rStyle w:val="FootnoteReference"/>
        </w:rPr>
        <w:footnoteReference w:id="3"/>
      </w:r>
      <w:r w:rsidRPr="00246076">
        <w:t>,</w:t>
      </w:r>
    </w:p>
    <w:p w:rsidR="00485152" w:rsidRPr="00246076" w:rsidRDefault="00485152" w:rsidP="00485152">
      <w:pPr>
        <w:pStyle w:val="NormalHanging12a"/>
        <w:rPr>
          <w:snapToGrid w:val="0"/>
        </w:rPr>
      </w:pPr>
      <w:r w:rsidRPr="00246076">
        <w:t>–</w:t>
      </w:r>
      <w:r w:rsidRPr="00246076">
        <w:tab/>
        <w:t>so zreteľom na nariadenie Európskeho parlamentu a Rady (EÚ) 2022/562 zo 6. apríla 2022, ktorým sa menia nariadenia (EÚ) č. 1303/2013 a (EÚ) č. 223/2014, pokiaľ ide o Kohézne opatrenia na podporu utečencov v Európe (CARE)</w:t>
      </w:r>
      <w:r w:rsidRPr="00246076">
        <w:rPr>
          <w:rStyle w:val="FootnoteReference"/>
        </w:rPr>
        <w:footnoteReference w:id="4"/>
      </w:r>
      <w:r w:rsidRPr="00246076">
        <w:t>,</w:t>
      </w:r>
    </w:p>
    <w:p w:rsidR="00485152" w:rsidRPr="00246076" w:rsidRDefault="00485152" w:rsidP="00485152">
      <w:pPr>
        <w:pStyle w:val="NormalHanging12a"/>
        <w:rPr>
          <w:snapToGrid w:val="0"/>
        </w:rPr>
      </w:pPr>
      <w:r w:rsidRPr="00246076">
        <w:t>–</w:t>
      </w:r>
      <w:r w:rsidRPr="00246076">
        <w:tab/>
        <w:t xml:space="preserve">so zreteľom na nariadenie Európskeho parlamentu a Rady (ES) č. 1082/2006 z 5. júla </w:t>
      </w:r>
      <w:r w:rsidRPr="00246076">
        <w:lastRenderedPageBreak/>
        <w:t>2006 o Európskom zoskupení územnej spolupráce (EZÚS)</w:t>
      </w:r>
      <w:r w:rsidRPr="00246076">
        <w:rPr>
          <w:rStyle w:val="FootnoteReference"/>
        </w:rPr>
        <w:footnoteReference w:id="5"/>
      </w:r>
      <w:r w:rsidRPr="00246076">
        <w:t>,</w:t>
      </w:r>
    </w:p>
    <w:p w:rsidR="00485152" w:rsidRPr="00246076" w:rsidRDefault="00485152" w:rsidP="00485152">
      <w:pPr>
        <w:pStyle w:val="NormalHanging12a"/>
        <w:rPr>
          <w:snapToGrid w:val="0"/>
        </w:rPr>
      </w:pPr>
      <w:r w:rsidRPr="00246076">
        <w:t>–</w:t>
      </w:r>
      <w:r w:rsidRPr="00246076">
        <w:tab/>
        <w:t>so zreteľom na návrh Komisie z 29. mája 2018 na nariadenie Európskeho parlamentu a Rady o mechanizme riešenia právnych a administratívnych prekážok v cezhraničnom kontexte (COM(2018)0373),</w:t>
      </w:r>
    </w:p>
    <w:p w:rsidR="00485152" w:rsidRPr="00246076" w:rsidRDefault="00485152" w:rsidP="00485152">
      <w:pPr>
        <w:pStyle w:val="NormalHanging12a"/>
        <w:rPr>
          <w:snapToGrid w:val="0"/>
        </w:rPr>
      </w:pPr>
      <w:r w:rsidRPr="00246076">
        <w:t>–</w:t>
      </w:r>
      <w:r w:rsidRPr="00246076">
        <w:tab/>
        <w:t>so zreteľom na oznámenie Komisie z 20. septembra 2017 s názvom Podpora rastu a súdržnosti v pohraničných regiónoch EÚ (COM(2017)0534),</w:t>
      </w:r>
    </w:p>
    <w:p w:rsidR="00485152" w:rsidRPr="00246076" w:rsidRDefault="00485152" w:rsidP="00485152">
      <w:pPr>
        <w:pStyle w:val="NormalHanging12a"/>
        <w:rPr>
          <w:snapToGrid w:val="0"/>
        </w:rPr>
      </w:pPr>
      <w:r w:rsidRPr="00246076">
        <w:t>–</w:t>
      </w:r>
      <w:r w:rsidRPr="00246076">
        <w:tab/>
        <w:t>so zreteľom na oznámenie Komisie z 3. apríla 2020 s názvom Usmernenia týkajúce sa núdzovej pomoci EÚ pri cezhraničnej spolupráci v oblasti zdravotnej starostlivosti v súvislosti s krízou vyvolanou ochorením COVID-19</w:t>
      </w:r>
      <w:r w:rsidRPr="00246076">
        <w:rPr>
          <w:rStyle w:val="FootnoteReference"/>
        </w:rPr>
        <w:footnoteReference w:id="6"/>
      </w:r>
      <w:r w:rsidRPr="00246076">
        <w:t>,</w:t>
      </w:r>
    </w:p>
    <w:p w:rsidR="00485152" w:rsidRPr="00246076" w:rsidRDefault="00485152" w:rsidP="00485152">
      <w:pPr>
        <w:pStyle w:val="NormalHanging12a"/>
        <w:rPr>
          <w:snapToGrid w:val="0"/>
        </w:rPr>
      </w:pPr>
      <w:r w:rsidRPr="00246076">
        <w:t>–</w:t>
      </w:r>
      <w:r w:rsidRPr="00246076">
        <w:tab/>
        <w:t>so zreteľom na oznámenie Komisie z 30. septembra 2020 o vytvorení európskeho vzdelávacieho priestoru do roku 2025 (COM(2020)0625),</w:t>
      </w:r>
    </w:p>
    <w:p w:rsidR="00485152" w:rsidRPr="00246076" w:rsidRDefault="00485152" w:rsidP="00485152">
      <w:pPr>
        <w:pStyle w:val="NormalHanging12a"/>
      </w:pPr>
      <w:r w:rsidRPr="00246076">
        <w:t>–</w:t>
      </w:r>
      <w:r w:rsidRPr="00246076">
        <w:tab/>
        <w:t>so zreteľom na svoje uznesenie z 15. septembra 2022 o hospodárskej, sociálnej a územnej súdržnosti v EÚ: ôsma správa o súdržnosti</w:t>
      </w:r>
      <w:r w:rsidRPr="00246076">
        <w:rPr>
          <w:rStyle w:val="FootnoteReference"/>
        </w:rPr>
        <w:footnoteReference w:id="7"/>
      </w:r>
      <w:r w:rsidRPr="00246076">
        <w:t>,</w:t>
      </w:r>
    </w:p>
    <w:p w:rsidR="00485152" w:rsidRPr="00246076" w:rsidRDefault="00485152" w:rsidP="00485152">
      <w:pPr>
        <w:pStyle w:val="NormalHanging12a"/>
      </w:pPr>
      <w:r w:rsidRPr="00246076">
        <w:t>–</w:t>
      </w:r>
      <w:r w:rsidRPr="00246076">
        <w:tab/>
        <w:t>so zreteľom na svoje uznesenie z 9. mája 2023 o úlohe politiky súdržnosti pri riešení viacrozmerných environmentálnych výziev v oblasti Stredozemného mora</w:t>
      </w:r>
      <w:r w:rsidRPr="00246076">
        <w:rPr>
          <w:rStyle w:val="FootnoteReference"/>
        </w:rPr>
        <w:footnoteReference w:id="8"/>
      </w:r>
      <w:r w:rsidRPr="00246076">
        <w:t>,</w:t>
      </w:r>
    </w:p>
    <w:p w:rsidR="00485152" w:rsidRPr="00246076" w:rsidRDefault="00485152" w:rsidP="00485152">
      <w:pPr>
        <w:pStyle w:val="NormalHanging12a"/>
      </w:pPr>
      <w:r w:rsidRPr="00246076">
        <w:t>–</w:t>
      </w:r>
      <w:r w:rsidRPr="00246076">
        <w:tab/>
        <w:t>so zreteľom na svoje uznesenie z 13. marca 2018 o zaostávajúcich regiónoch v EÚ</w:t>
      </w:r>
      <w:r w:rsidRPr="00246076">
        <w:rPr>
          <w:rStyle w:val="FootnoteReference"/>
        </w:rPr>
        <w:footnoteReference w:id="9"/>
      </w:r>
      <w:r w:rsidRPr="00246076">
        <w:t>,</w:t>
      </w:r>
    </w:p>
    <w:p w:rsidR="00485152" w:rsidRPr="00246076" w:rsidRDefault="00485152" w:rsidP="00485152">
      <w:pPr>
        <w:pStyle w:val="NormalHanging12a"/>
      </w:pPr>
      <w:r w:rsidRPr="00246076">
        <w:t>–</w:t>
      </w:r>
      <w:r w:rsidRPr="00246076">
        <w:tab/>
        <w:t xml:space="preserve">so zreteľom na štúdiu s názvom </w:t>
      </w:r>
      <w:r w:rsidRPr="00246076">
        <w:rPr>
          <w:i/>
          <w:iCs/>
        </w:rPr>
        <w:t xml:space="preserve">EU </w:t>
      </w:r>
      <w:proofErr w:type="spellStart"/>
      <w:r w:rsidRPr="00246076">
        <w:rPr>
          <w:i/>
          <w:iCs/>
        </w:rPr>
        <w:t>lagging</w:t>
      </w:r>
      <w:proofErr w:type="spellEnd"/>
      <w:r w:rsidRPr="00246076">
        <w:rPr>
          <w:i/>
          <w:iCs/>
        </w:rPr>
        <w:t xml:space="preserve"> </w:t>
      </w:r>
      <w:proofErr w:type="spellStart"/>
      <w:r w:rsidRPr="00246076">
        <w:rPr>
          <w:i/>
          <w:iCs/>
        </w:rPr>
        <w:t>regions</w:t>
      </w:r>
      <w:proofErr w:type="spellEnd"/>
      <w:r w:rsidRPr="00246076">
        <w:rPr>
          <w:i/>
          <w:iCs/>
        </w:rPr>
        <w:t>:</w:t>
      </w:r>
      <w:r w:rsidRPr="00246076">
        <w:t xml:space="preserve"> </w:t>
      </w:r>
      <w:r w:rsidRPr="00246076">
        <w:rPr>
          <w:i/>
          <w:iCs/>
        </w:rPr>
        <w:t xml:space="preserve">state of </w:t>
      </w:r>
      <w:proofErr w:type="spellStart"/>
      <w:r w:rsidRPr="00246076">
        <w:rPr>
          <w:i/>
          <w:iCs/>
        </w:rPr>
        <w:t>play</w:t>
      </w:r>
      <w:proofErr w:type="spellEnd"/>
      <w:r w:rsidRPr="00246076">
        <w:rPr>
          <w:i/>
          <w:iCs/>
        </w:rPr>
        <w:t xml:space="preserve"> and </w:t>
      </w:r>
      <w:proofErr w:type="spellStart"/>
      <w:r w:rsidRPr="00246076">
        <w:rPr>
          <w:i/>
          <w:iCs/>
        </w:rPr>
        <w:t>future</w:t>
      </w:r>
      <w:proofErr w:type="spellEnd"/>
      <w:r w:rsidRPr="00246076">
        <w:rPr>
          <w:i/>
          <w:iCs/>
        </w:rPr>
        <w:t xml:space="preserve"> </w:t>
      </w:r>
      <w:proofErr w:type="spellStart"/>
      <w:r w:rsidRPr="00246076">
        <w:rPr>
          <w:i/>
          <w:iCs/>
        </w:rPr>
        <w:t>challenges</w:t>
      </w:r>
      <w:proofErr w:type="spellEnd"/>
      <w:r w:rsidRPr="00246076">
        <w:t xml:space="preserve"> (Zaostávajúce regióny EÚ: súčasný stav a budúce výzvy), ktorú uverejnilo generálne riaditeľstvo pre parlamentné výskumné služby 26. októbra 2020</w:t>
      </w:r>
      <w:r w:rsidRPr="00246076">
        <w:rPr>
          <w:rStyle w:val="FootnoteReference"/>
        </w:rPr>
        <w:footnoteReference w:id="10"/>
      </w:r>
      <w:r w:rsidRPr="00246076">
        <w:t>,</w:t>
      </w:r>
    </w:p>
    <w:p w:rsidR="00485152" w:rsidRPr="00246076" w:rsidRDefault="00485152" w:rsidP="00485152">
      <w:pPr>
        <w:pStyle w:val="NormalHanging12a"/>
      </w:pPr>
      <w:r w:rsidRPr="00246076">
        <w:t>–</w:t>
      </w:r>
      <w:r w:rsidRPr="00246076">
        <w:tab/>
        <w:t>so zreteľom na svoje uznesenie z 11. septembra 2018 o podpore rastu a súdržnosti v pohraničných regiónoch EÚ</w:t>
      </w:r>
      <w:r w:rsidRPr="00246076">
        <w:rPr>
          <w:rStyle w:val="FootnoteReference"/>
        </w:rPr>
        <w:footnoteReference w:id="11"/>
      </w:r>
      <w:r w:rsidRPr="00246076">
        <w:t>,</w:t>
      </w:r>
    </w:p>
    <w:p w:rsidR="00485152" w:rsidRPr="00246076" w:rsidRDefault="00485152" w:rsidP="00485152">
      <w:pPr>
        <w:pStyle w:val="NormalHanging12a"/>
      </w:pPr>
      <w:r w:rsidRPr="00246076">
        <w:t>–</w:t>
      </w:r>
      <w:r w:rsidRPr="00246076">
        <w:tab/>
        <w:t xml:space="preserve">so zreteľom na správu Medzivládneho panelu o zmene klímy z roku 2022 s názvom </w:t>
      </w:r>
      <w:proofErr w:type="spellStart"/>
      <w:r w:rsidRPr="00246076">
        <w:rPr>
          <w:i/>
          <w:iCs/>
        </w:rPr>
        <w:t>Climate</w:t>
      </w:r>
      <w:proofErr w:type="spellEnd"/>
      <w:r w:rsidRPr="00246076">
        <w:rPr>
          <w:i/>
          <w:iCs/>
        </w:rPr>
        <w:t xml:space="preserve"> Change 2022:</w:t>
      </w:r>
      <w:r w:rsidRPr="00246076">
        <w:t xml:space="preserve"> </w:t>
      </w:r>
      <w:proofErr w:type="spellStart"/>
      <w:r w:rsidRPr="00246076">
        <w:rPr>
          <w:i/>
          <w:iCs/>
        </w:rPr>
        <w:t>Mitigation</w:t>
      </w:r>
      <w:proofErr w:type="spellEnd"/>
      <w:r w:rsidRPr="00246076">
        <w:rPr>
          <w:i/>
          <w:iCs/>
        </w:rPr>
        <w:t xml:space="preserve"> of </w:t>
      </w:r>
      <w:proofErr w:type="spellStart"/>
      <w:r w:rsidRPr="00246076">
        <w:rPr>
          <w:i/>
          <w:iCs/>
        </w:rPr>
        <w:t>Climate</w:t>
      </w:r>
      <w:proofErr w:type="spellEnd"/>
      <w:r w:rsidRPr="00246076">
        <w:rPr>
          <w:i/>
          <w:iCs/>
        </w:rPr>
        <w:t xml:space="preserve"> Change.</w:t>
      </w:r>
      <w:r w:rsidRPr="00246076">
        <w:t xml:space="preserve"> </w:t>
      </w:r>
      <w:proofErr w:type="spellStart"/>
      <w:r w:rsidRPr="00246076">
        <w:rPr>
          <w:i/>
          <w:iCs/>
        </w:rPr>
        <w:t>Contribution</w:t>
      </w:r>
      <w:proofErr w:type="spellEnd"/>
      <w:r w:rsidRPr="00246076">
        <w:rPr>
          <w:i/>
          <w:iCs/>
        </w:rPr>
        <w:t xml:space="preserve"> of </w:t>
      </w:r>
      <w:proofErr w:type="spellStart"/>
      <w:r w:rsidRPr="00246076">
        <w:rPr>
          <w:i/>
          <w:iCs/>
        </w:rPr>
        <w:t>Working</w:t>
      </w:r>
      <w:proofErr w:type="spellEnd"/>
      <w:r w:rsidRPr="00246076">
        <w:rPr>
          <w:i/>
          <w:iCs/>
        </w:rPr>
        <w:t xml:space="preserve"> Group III to </w:t>
      </w:r>
      <w:proofErr w:type="spellStart"/>
      <w:r w:rsidRPr="00246076">
        <w:rPr>
          <w:i/>
          <w:iCs/>
        </w:rPr>
        <w:t>the</w:t>
      </w:r>
      <w:proofErr w:type="spellEnd"/>
      <w:r w:rsidRPr="00246076">
        <w:rPr>
          <w:i/>
          <w:iCs/>
        </w:rPr>
        <w:t xml:space="preserve"> </w:t>
      </w:r>
      <w:proofErr w:type="spellStart"/>
      <w:r w:rsidRPr="00246076">
        <w:rPr>
          <w:i/>
          <w:iCs/>
        </w:rPr>
        <w:t>Sixth</w:t>
      </w:r>
      <w:proofErr w:type="spellEnd"/>
      <w:r w:rsidRPr="00246076">
        <w:rPr>
          <w:i/>
          <w:iCs/>
        </w:rPr>
        <w:t xml:space="preserve"> </w:t>
      </w:r>
      <w:proofErr w:type="spellStart"/>
      <w:r w:rsidRPr="00246076">
        <w:rPr>
          <w:i/>
          <w:iCs/>
        </w:rPr>
        <w:t>Assessment</w:t>
      </w:r>
      <w:proofErr w:type="spellEnd"/>
      <w:r w:rsidRPr="00246076">
        <w:rPr>
          <w:i/>
          <w:iCs/>
        </w:rPr>
        <w:t xml:space="preserve"> Report of </w:t>
      </w:r>
      <w:proofErr w:type="spellStart"/>
      <w:r w:rsidRPr="00246076">
        <w:rPr>
          <w:i/>
          <w:iCs/>
        </w:rPr>
        <w:t>the</w:t>
      </w:r>
      <w:proofErr w:type="spellEnd"/>
      <w:r w:rsidRPr="00246076">
        <w:rPr>
          <w:i/>
          <w:iCs/>
        </w:rPr>
        <w:t xml:space="preserve"> </w:t>
      </w:r>
      <w:proofErr w:type="spellStart"/>
      <w:r w:rsidRPr="00246076">
        <w:rPr>
          <w:i/>
          <w:iCs/>
        </w:rPr>
        <w:t>Intergovernmental</w:t>
      </w:r>
      <w:proofErr w:type="spellEnd"/>
      <w:r w:rsidRPr="00246076">
        <w:rPr>
          <w:i/>
          <w:iCs/>
        </w:rPr>
        <w:t xml:space="preserve"> Panel on </w:t>
      </w:r>
      <w:proofErr w:type="spellStart"/>
      <w:r w:rsidRPr="00246076">
        <w:rPr>
          <w:i/>
          <w:iCs/>
        </w:rPr>
        <w:t>Climate</w:t>
      </w:r>
      <w:proofErr w:type="spellEnd"/>
      <w:r w:rsidRPr="00246076">
        <w:rPr>
          <w:i/>
          <w:iCs/>
        </w:rPr>
        <w:t xml:space="preserve"> Change</w:t>
      </w:r>
      <w:r w:rsidRPr="00246076">
        <w:rPr>
          <w:rStyle w:val="FootnoteReference"/>
        </w:rPr>
        <w:footnoteReference w:id="12"/>
      </w:r>
      <w:r w:rsidRPr="00246076">
        <w:t xml:space="preserve"> (Zmena klímy 2022: Zmiernenie zmeny klímy. Príspevok pracovnej skupiny III k šiestej hodnotiacej správe Medzivládneho panelu o zmene klímy),</w:t>
      </w:r>
    </w:p>
    <w:p w:rsidR="00485152" w:rsidRPr="00246076" w:rsidRDefault="00485152" w:rsidP="00485152">
      <w:pPr>
        <w:pStyle w:val="NormalHanging12a"/>
      </w:pPr>
      <w:r w:rsidRPr="00246076">
        <w:t>–</w:t>
      </w:r>
      <w:r w:rsidRPr="00246076">
        <w:tab/>
        <w:t>so zreteľom na dohodu prijatú 12. decembra 2015 na 21. konferencii zmluvných strán Rámcového dohovoru OSN o zmene klímy (COP21) v Paríži (Parížska dohoda),</w:t>
      </w:r>
    </w:p>
    <w:p w:rsidR="00485152" w:rsidRPr="00246076" w:rsidRDefault="00485152" w:rsidP="00485152">
      <w:pPr>
        <w:pStyle w:val="NormalHanging12a"/>
      </w:pPr>
      <w:r w:rsidRPr="00246076">
        <w:lastRenderedPageBreak/>
        <w:t>–</w:t>
      </w:r>
      <w:r w:rsidRPr="00246076">
        <w:tab/>
        <w:t>so zreteľom na závery Rady z 19. apríla 2021 o obnovenom partnerstve s južným susedstvom – nový program pre Stredozemie,</w:t>
      </w:r>
    </w:p>
    <w:p w:rsidR="00485152" w:rsidRPr="00246076" w:rsidRDefault="00485152" w:rsidP="00485152">
      <w:pPr>
        <w:pStyle w:val="NormalHanging12a"/>
      </w:pPr>
      <w:r w:rsidRPr="00246076">
        <w:t>–</w:t>
      </w:r>
      <w:r w:rsidRPr="00246076">
        <w:tab/>
        <w:t>so zreteľom na uznesenie Európskeho výboru regiónov z 1. júla 2021 s názvom Vízia pre Európu: budúcnosť cezhraničnej spolupráce</w:t>
      </w:r>
      <w:r w:rsidRPr="00246076">
        <w:rPr>
          <w:rStyle w:val="FootnoteReference"/>
        </w:rPr>
        <w:footnoteReference w:id="13"/>
      </w:r>
      <w:r w:rsidRPr="00246076">
        <w:t>,</w:t>
      </w:r>
    </w:p>
    <w:p w:rsidR="00485152" w:rsidRPr="00246076" w:rsidRDefault="00485152" w:rsidP="00485152">
      <w:pPr>
        <w:pStyle w:val="NormalHanging12a"/>
      </w:pPr>
      <w:r w:rsidRPr="00246076">
        <w:t>–</w:t>
      </w:r>
      <w:r w:rsidRPr="00246076">
        <w:tab/>
        <w:t>so zreteľom na stanovisko Európskeho výboru regiónov z 8. februára 2017 s názvom Chýbajúce dopravné spojenia v pohraničných regiónoch</w:t>
      </w:r>
      <w:r w:rsidRPr="00246076">
        <w:rPr>
          <w:rStyle w:val="FootnoteReference"/>
        </w:rPr>
        <w:footnoteReference w:id="14"/>
      </w:r>
      <w:r w:rsidRPr="00246076">
        <w:t>,</w:t>
      </w:r>
    </w:p>
    <w:p w:rsidR="00485152" w:rsidRPr="00246076" w:rsidRDefault="00485152" w:rsidP="00485152">
      <w:pPr>
        <w:pStyle w:val="NormalHanging12a"/>
      </w:pPr>
      <w:r w:rsidRPr="00246076">
        <w:t>–</w:t>
      </w:r>
      <w:r w:rsidRPr="00246076">
        <w:tab/>
        <w:t>so zreteľom na článok 54 rokovacieho poriadku,</w:t>
      </w:r>
    </w:p>
    <w:p w:rsidR="00485152" w:rsidRPr="00246076" w:rsidRDefault="00485152" w:rsidP="00485152">
      <w:pPr>
        <w:pStyle w:val="NormalHanging12a"/>
      </w:pPr>
      <w:r w:rsidRPr="00246076">
        <w:t>–</w:t>
      </w:r>
      <w:r w:rsidRPr="00246076">
        <w:tab/>
        <w:t>so zreteľom na správu Výboru pre regionálny rozvoj (A9-0415/2023),</w:t>
      </w:r>
    </w:p>
    <w:p w:rsidR="00485152" w:rsidRPr="00246076" w:rsidRDefault="00485152" w:rsidP="00485152">
      <w:pPr>
        <w:pStyle w:val="NormalHanging12a"/>
        <w:rPr>
          <w:szCs w:val="24"/>
        </w:rPr>
      </w:pPr>
      <w:r w:rsidRPr="00246076">
        <w:t>A.</w:t>
      </w:r>
      <w:r w:rsidRPr="00246076">
        <w:tab/>
        <w:t>keďže cezhraničná spolupráca EÚ so susednými krajinami, či už na pozemných alebo námorných hraniciach, zahŕňajúca 184 regiónov, 33 krajín a 260 miliónov obyvateľov, má zásadný význam pre politiky EÚ;</w:t>
      </w:r>
    </w:p>
    <w:p w:rsidR="00485152" w:rsidRPr="00246076" w:rsidRDefault="00485152" w:rsidP="00485152">
      <w:pPr>
        <w:pStyle w:val="NormalHanging12a"/>
      </w:pPr>
      <w:r w:rsidRPr="00246076">
        <w:t>B.</w:t>
      </w:r>
      <w:r w:rsidRPr="00246076">
        <w:tab/>
        <w:t>keďže v článku 8 Zmluvy o</w:t>
      </w:r>
      <w:r w:rsidR="007C1F14" w:rsidRPr="00246076">
        <w:t> </w:t>
      </w:r>
      <w:r w:rsidRPr="00246076">
        <w:t>E</w:t>
      </w:r>
      <w:r w:rsidR="007C1F14" w:rsidRPr="00246076">
        <w:t>Ú</w:t>
      </w:r>
      <w:r w:rsidRPr="00246076">
        <w:t xml:space="preserve"> sa stanovuje, že „Únia by mala rozvíjať osobitné vzťahy so susednými krajinami s cieľom vytvoriť priestor prosperity a dobrého susedstva, ktorý je založený na hodnotách Únie a charakterizovaný blízkymi a mierovými vzťahmi založenými na spolupráci“,</w:t>
      </w:r>
    </w:p>
    <w:p w:rsidR="00485152" w:rsidRPr="00246076" w:rsidRDefault="00485152" w:rsidP="00485152">
      <w:pPr>
        <w:pStyle w:val="NormalHanging12a"/>
        <w:rPr>
          <w:szCs w:val="24"/>
        </w:rPr>
      </w:pPr>
      <w:r w:rsidRPr="00246076">
        <w:t>C.</w:t>
      </w:r>
      <w:r w:rsidRPr="00246076">
        <w:tab/>
        <w:t>keďže cezhraničná spolupráca je pre kandidátske krajiny dôležitým krokom predvstupového procesu EÚ;</w:t>
      </w:r>
    </w:p>
    <w:p w:rsidR="00485152" w:rsidRPr="00246076" w:rsidRDefault="00485152" w:rsidP="00485152">
      <w:pPr>
        <w:pStyle w:val="NormalHanging12a"/>
      </w:pPr>
      <w:r w:rsidRPr="00246076">
        <w:t>D.</w:t>
      </w:r>
      <w:r w:rsidRPr="00246076">
        <w:tab/>
        <w:t>keďže cezhraničná spolupráca prispieva k mieru a udržateľnému rozvoju pozdĺž vonkajších hraníc EÚ, podporuje demokratické reformy, dodržiavanie európskych hodnôt, hospodársky a sociálny rozvoj pohraničných oblastí vrátane ochrany životného prostredia, služieb verejného zdravia a opatrení v oblasti bezpečnosti a ochrany, prispieva k cieľom EÚ v oblasti inteligentnejšej, ekologickejšej a prepojenejšej EÚ a susedstva, ako aj k riešeniu regionálnych potrieb, pokiaľ ide o dobrú spoluprácu, správu vecí verejných a spoločné výzvy, pomáha podporovať vzájomné porozumenie a dôveru a prispieva k predchádzaniu budúcim konfliktom a vojnám prostredníctvom nástrojov, ako je program PEACE+;</w:t>
      </w:r>
    </w:p>
    <w:p w:rsidR="00485152" w:rsidRPr="00246076" w:rsidRDefault="00485152" w:rsidP="00485152">
      <w:pPr>
        <w:pStyle w:val="NormalHanging12a"/>
        <w:rPr>
          <w:szCs w:val="24"/>
        </w:rPr>
      </w:pPr>
      <w:r w:rsidRPr="00246076">
        <w:t>E.</w:t>
      </w:r>
      <w:r w:rsidRPr="00246076">
        <w:tab/>
        <w:t>keďže súčasná geopolitická situácia opätovne potvrdzuje význam stability a demokratického rozvoja v krajinách a regiónoch pri vonkajších hraniciach EÚ;</w:t>
      </w:r>
    </w:p>
    <w:p w:rsidR="00485152" w:rsidRPr="00246076" w:rsidRDefault="00485152" w:rsidP="00485152">
      <w:pPr>
        <w:pStyle w:val="NormalHanging12a"/>
      </w:pPr>
      <w:r w:rsidRPr="00246076">
        <w:t>F.</w:t>
      </w:r>
      <w:r w:rsidRPr="00246076">
        <w:tab/>
        <w:t xml:space="preserve">keďže pandémia </w:t>
      </w:r>
      <w:r w:rsidR="00676F46" w:rsidRPr="00246076">
        <w:t xml:space="preserve">ochorenia </w:t>
      </w:r>
      <w:r w:rsidRPr="00246076">
        <w:t>COVID-19, a najmä ruská útočná vojna voči Ukrajine mali hlboký vplyv na všetky programy cezhraničnej spolupráce podporované z nástroja európskeho susedstva (ENI-CBC), ktoré zahŕňajú Rusko a Bielorusko, s výrazným vplyvom na polovicu programov navrhovaných na obdobie 2021 – 2027; keďže politika súdržnosti môže cezhraničnej spolupráci pomôcť za predpokladu, že sa zachová jej strategický prístup a schváli sa spoľahlivý rozpočet;</w:t>
      </w:r>
    </w:p>
    <w:p w:rsidR="00485152" w:rsidRPr="00246076" w:rsidRDefault="00485152" w:rsidP="00485152">
      <w:pPr>
        <w:pStyle w:val="NormalHanging12a"/>
        <w:rPr>
          <w:szCs w:val="24"/>
        </w:rPr>
      </w:pPr>
      <w:r w:rsidRPr="00246076">
        <w:t>G</w:t>
      </w:r>
      <w:r w:rsidR="00E8590B" w:rsidRPr="00246076">
        <w:t>.</w:t>
      </w:r>
      <w:r w:rsidRPr="00246076">
        <w:tab/>
        <w:t>keďže únik mozgov neúmerne postihuje niektoré menej rozvinuté pohraničné regióny a ak sa nebude riešiť, bude mať dlhodobé negatívne účinky na budúcnosť EÚ;</w:t>
      </w:r>
    </w:p>
    <w:p w:rsidR="00485152" w:rsidRPr="00246076" w:rsidRDefault="00485152" w:rsidP="00485152">
      <w:pPr>
        <w:pStyle w:val="NormalHanging12a"/>
        <w:rPr>
          <w:szCs w:val="24"/>
        </w:rPr>
      </w:pPr>
      <w:r w:rsidRPr="00246076">
        <w:t>H.</w:t>
      </w:r>
      <w:r w:rsidRPr="00246076">
        <w:tab/>
        <w:t xml:space="preserve">keďže v niektorých pohraničných regiónoch je vysoká miera emigrácie, ktorá sa týka </w:t>
      </w:r>
      <w:r w:rsidRPr="00246076">
        <w:lastRenderedPageBreak/>
        <w:t>najmä mladých ľudí a kvalifikovaných pracovníkov, čo preukazuje nedostatočný hospodársky rozvoj v týchto oblastiach; keďže cezhraničná spolupráca môže pomôcť pri vytváraní nových pracovných príležitostí a udržateľného hospodárskeho rozvoja;</w:t>
      </w:r>
    </w:p>
    <w:p w:rsidR="00485152" w:rsidRPr="00246076" w:rsidRDefault="00485152" w:rsidP="00485152">
      <w:pPr>
        <w:pStyle w:val="NormalHanging12a"/>
      </w:pPr>
      <w:r w:rsidRPr="00246076">
        <w:t>I.</w:t>
      </w:r>
      <w:r w:rsidRPr="00246076">
        <w:tab/>
        <w:t>keďže krehká politická, hospodárska a bezpečnostná situácia v severnej Afrike a riadenie migračnej krízy zdôrazňujú potrebu spolupráce v oblasti Stredozemného mora;</w:t>
      </w:r>
    </w:p>
    <w:p w:rsidR="00485152" w:rsidRPr="00246076" w:rsidRDefault="00485152" w:rsidP="00485152">
      <w:pPr>
        <w:pStyle w:val="NormalHanging12a"/>
        <w:rPr>
          <w:szCs w:val="24"/>
        </w:rPr>
      </w:pPr>
      <w:r w:rsidRPr="00246076">
        <w:t>J.</w:t>
      </w:r>
      <w:r w:rsidRPr="00246076">
        <w:tab/>
        <w:t>keďže pohraničné regióny sú často citlivé z hľadiska napätia a konfliktov a cezhraničná spolupráca a regionálna diplomacia majú pozitívny vplyv na predchádzanie sporom a možným krízam a ich riešenie;</w:t>
      </w:r>
    </w:p>
    <w:p w:rsidR="00485152" w:rsidRPr="00246076" w:rsidRDefault="00485152" w:rsidP="00485152">
      <w:pPr>
        <w:pStyle w:val="NormalHanging12a"/>
        <w:rPr>
          <w:rStyle w:val="y2iqfc"/>
          <w:b/>
          <w:i/>
        </w:rPr>
      </w:pPr>
      <w:r w:rsidRPr="00246076">
        <w:rPr>
          <w:rStyle w:val="y2iqfc"/>
          <w:b/>
          <w:i/>
        </w:rPr>
        <w:t xml:space="preserve">Všeobecné úvahy o programoch </w:t>
      </w:r>
      <w:proofErr w:type="spellStart"/>
      <w:r w:rsidRPr="00246076">
        <w:rPr>
          <w:rStyle w:val="y2iqfc"/>
          <w:b/>
          <w:i/>
        </w:rPr>
        <w:t>Interreg</w:t>
      </w:r>
      <w:proofErr w:type="spellEnd"/>
      <w:r w:rsidRPr="00246076">
        <w:rPr>
          <w:rStyle w:val="y2iqfc"/>
          <w:b/>
          <w:i/>
        </w:rPr>
        <w:t xml:space="preserve"> NEXT</w:t>
      </w:r>
    </w:p>
    <w:p w:rsidR="00485152" w:rsidRPr="00246076" w:rsidRDefault="00485152" w:rsidP="00485152">
      <w:pPr>
        <w:pStyle w:val="NormalHanging12a"/>
        <w:ind w:hanging="570"/>
      </w:pPr>
      <w:r w:rsidRPr="00246076">
        <w:t>1.</w:t>
      </w:r>
      <w:r w:rsidRPr="00246076">
        <w:tab/>
        <w:t xml:space="preserve">víta zosúladenie programov </w:t>
      </w:r>
      <w:proofErr w:type="spellStart"/>
      <w:r w:rsidRPr="00246076">
        <w:t>Interreg</w:t>
      </w:r>
      <w:proofErr w:type="spellEnd"/>
      <w:r w:rsidRPr="00246076">
        <w:t xml:space="preserve"> NEXT s programami </w:t>
      </w:r>
      <w:proofErr w:type="spellStart"/>
      <w:r w:rsidRPr="00246076">
        <w:t>Interreg</w:t>
      </w:r>
      <w:proofErr w:type="spellEnd"/>
      <w:r w:rsidRPr="00246076">
        <w:t>, pretože to má potenciál zjednodušiť postupy, posilniť synergie medzi programami a zvýšiť účinnosť európskych investícií; zdôrazňuje však potrebu jednoduchších postupov v rámci hodnotiacej fázy, ako aj fázy realizácie projektov so silnejším zameraním na kvantifikovateľné výsledky v prípade potreby a celkový vplyv na rozvoj regiónov a život občanov;</w:t>
      </w:r>
    </w:p>
    <w:p w:rsidR="00485152" w:rsidRPr="00246076" w:rsidRDefault="00485152" w:rsidP="00485152">
      <w:pPr>
        <w:pStyle w:val="NormalHanging12a"/>
      </w:pPr>
      <w:r w:rsidRPr="00246076">
        <w:t>2.</w:t>
      </w:r>
      <w:r w:rsidRPr="00246076">
        <w:tab/>
        <w:t>zdôrazňuje, že miestne a regionálne orgány zohrávajú kľúčovú úlohu pri cezhraničnej spolupráci so susednými krajinami vďaka svojej znalosti geografickej, kultúrnej, jazykovej a spoločenskej situácie, príležitostí, obmedzení a spoločných výziev;</w:t>
      </w:r>
    </w:p>
    <w:p w:rsidR="00485152" w:rsidRPr="00246076" w:rsidRDefault="00485152" w:rsidP="00485152">
      <w:pPr>
        <w:pStyle w:val="NormalHanging12a"/>
      </w:pPr>
      <w:r w:rsidRPr="00246076">
        <w:t>3.</w:t>
      </w:r>
      <w:r w:rsidRPr="00246076">
        <w:tab/>
        <w:t>zdôrazňuje význam cezhraničných projektov vrátane projektov „ľudia ľuďom“ z hľadiska zbližovania ľudí, a tým vzniku nového potenciálu pre udržateľný miestny rozvoj a cezhraničnú spoluprácu; zdôrazňuje význam cezhraničných investícií na posilnenie inovácií, transferu technológií, spoločných riešení a synergií medzi rôznymi programami, a tým aj na zvýšenie územnej súdržnosti presahujúcej administratívne hranice a posilnenie solidarity;</w:t>
      </w:r>
    </w:p>
    <w:p w:rsidR="00485152" w:rsidRPr="00246076" w:rsidRDefault="00485152" w:rsidP="00485152">
      <w:pPr>
        <w:pStyle w:val="NormalHanging12a"/>
        <w:ind w:hanging="570"/>
      </w:pPr>
      <w:r w:rsidRPr="00246076">
        <w:t>4.</w:t>
      </w:r>
      <w:r w:rsidRPr="00246076">
        <w:tab/>
        <w:t>zdôrazňuje, že pridelené finančné prostriedky na obdobie 2021 – 2027 nie sú ani zďaleka optimálne, a následne zdôrazňuje, že je dôležité posilniť financovanie týchto programov; víta väčšiu zodpovednosť tretích krajín za vymáhanie prostriedkov od príjemcov zo súkromného sektora; vyzdvihuje význam právneho štátu a rovnakých podmienok pre všetkých príjemcov, či už verejných alebo súkromných, a zdôrazňuje potrebu podporiť zapojenie súkromných investorov – popri verejných investíciách – do udržateľného rozvoja pohraničných regiónov a tretích krajín, a to sprístupnením väčšieho objemu finančných prostriedkov;</w:t>
      </w:r>
    </w:p>
    <w:p w:rsidR="00485152" w:rsidRPr="00246076" w:rsidRDefault="00485152" w:rsidP="00485152">
      <w:pPr>
        <w:pStyle w:val="NormalHanging12a"/>
        <w:ind w:hanging="570"/>
      </w:pPr>
      <w:r w:rsidRPr="00246076">
        <w:t>5.</w:t>
      </w:r>
      <w:r w:rsidRPr="00246076">
        <w:tab/>
        <w:t xml:space="preserve">víta možnosť riadiacich orgánov zasielať údaje Komisii elektronicky, ale zároveň poukazuje na to, že častejšie zasielanie údajov by nemalo viesť k väčšej </w:t>
      </w:r>
      <w:proofErr w:type="spellStart"/>
      <w:r w:rsidRPr="00246076">
        <w:t>byrokratizácii</w:t>
      </w:r>
      <w:proofErr w:type="spellEnd"/>
      <w:r w:rsidRPr="00246076">
        <w:t xml:space="preserve">; zdôrazňuje preto význam </w:t>
      </w:r>
      <w:proofErr w:type="spellStart"/>
      <w:r w:rsidRPr="00246076">
        <w:t>interoperabilných</w:t>
      </w:r>
      <w:proofErr w:type="spellEnd"/>
      <w:r w:rsidRPr="00246076">
        <w:t xml:space="preserve"> systémov, ktoré by mohli automaticky zasielať údaje do spoločnej databázy, a podporuje Komisiu v ďalšom rozvoji spolupráce s tretími krajinami v tomto sektore;</w:t>
      </w:r>
    </w:p>
    <w:p w:rsidR="00485152" w:rsidRPr="00246076" w:rsidRDefault="00485152" w:rsidP="00485152">
      <w:pPr>
        <w:pStyle w:val="NormalHanging12a"/>
      </w:pPr>
      <w:r w:rsidRPr="00246076">
        <w:t>6.</w:t>
      </w:r>
      <w:r w:rsidRPr="00246076">
        <w:tab/>
        <w:t>vyjadruje znepokojenie, že veľké infraštruktúrne projekty už nebudú podliehať schváleniu Komisie;</w:t>
      </w:r>
    </w:p>
    <w:p w:rsidR="00485152" w:rsidRPr="00246076" w:rsidRDefault="00485152" w:rsidP="00485152">
      <w:pPr>
        <w:pStyle w:val="NormalHanging12a"/>
      </w:pPr>
      <w:r w:rsidRPr="00246076">
        <w:t>7.</w:t>
      </w:r>
      <w:r w:rsidRPr="00246076">
        <w:tab/>
        <w:t xml:space="preserve">víta zrušenie obmedzenia financovania veľkých infraštruktúrnych projektov zo strany EÚ a domnieva sa, že udržateľný rozvoj infraštruktúry prispieva k sociálno-ekonomickému rastu v cezhraničných regiónoch; zároveň zdôrazňuje potrebu zapojiť </w:t>
      </w:r>
      <w:r w:rsidRPr="00246076">
        <w:lastRenderedPageBreak/>
        <w:t>verejný aj súkromný sektor, čo by mohlo viesť k väčším inováciám a rozvoju infraštruktúry v odvetví energetiky, dopravy, komunikácií a digitalizácie;</w:t>
      </w:r>
    </w:p>
    <w:p w:rsidR="00485152" w:rsidRPr="00246076" w:rsidRDefault="00485152" w:rsidP="00485152">
      <w:pPr>
        <w:pStyle w:val="NormalHanging12a"/>
        <w:rPr>
          <w:szCs w:val="24"/>
        </w:rPr>
      </w:pPr>
      <w:r w:rsidRPr="00246076">
        <w:t>8.</w:t>
      </w:r>
      <w:r w:rsidRPr="00246076">
        <w:tab/>
        <w:t xml:space="preserve">poukazuje na to, že hlavné výzvy, ktorým EÚ čelí, možno riešiť aj podporou cezhraničnej spolupráce medzi susednými regiónmi (napr. udržateľná budúcnosť Stredozemného mora, Čierneho mora, Baltského mora a iných morských oblastí; udržateľná budúcnosť Álp, Pyrenejí, Karpát a iných pohorí; udržateľná budúcnosť veľkých povodí </w:t>
      </w:r>
      <w:proofErr w:type="spellStart"/>
      <w:r w:rsidRPr="00246076">
        <w:t>Rýna</w:t>
      </w:r>
      <w:proofErr w:type="spellEnd"/>
      <w:r w:rsidRPr="00246076">
        <w:t xml:space="preserve">, Dunaja, </w:t>
      </w:r>
      <w:proofErr w:type="spellStart"/>
      <w:r w:rsidRPr="00246076">
        <w:t>Másy</w:t>
      </w:r>
      <w:proofErr w:type="spellEnd"/>
      <w:r w:rsidRPr="00246076">
        <w:t xml:space="preserve"> atď.).</w:t>
      </w:r>
    </w:p>
    <w:p w:rsidR="00485152" w:rsidRPr="00246076" w:rsidRDefault="00485152" w:rsidP="00485152">
      <w:pPr>
        <w:pStyle w:val="NormalHanging12a"/>
        <w:rPr>
          <w:szCs w:val="24"/>
        </w:rPr>
      </w:pPr>
      <w:r w:rsidRPr="00246076">
        <w:t>9.</w:t>
      </w:r>
      <w:r w:rsidRPr="00246076">
        <w:tab/>
        <w:t>zdôrazňuje, že cezhraničná spolupráca predstavuje dôležitú fázu predvstupového procesu do EÚ, ktorý nabáda kandidátske krajiny k výmene skúseností a spoznávaniu vnútorného fungovania EÚ; zdôrazňuje, že to pomáha priblížiť iniciatívy a ciele EÚ kandidátskym krajinám, vymieňať si skúsenosti a začať proces hospodárskej a sociálnej konvergencie; zdôrazňuje, že kandidátske krajiny, ktoré sa zapojili do cezhraničnej spolupráce, budú v čase pristúpenia k EÚ už oboznámené s programami a projektmi EÚ;</w:t>
      </w:r>
    </w:p>
    <w:p w:rsidR="00485152" w:rsidRPr="00246076" w:rsidRDefault="00485152" w:rsidP="00485152">
      <w:pPr>
        <w:pStyle w:val="NormalHanging12a"/>
        <w:rPr>
          <w:szCs w:val="24"/>
        </w:rPr>
      </w:pPr>
      <w:r w:rsidRPr="00246076">
        <w:t>10.</w:t>
      </w:r>
      <w:r w:rsidRPr="00246076">
        <w:tab/>
        <w:t>zdôrazňuje kľúčovú úlohu cezhraničnej spolupráce pri udržateľnom riadení prírodných zdrojov a výziev súvisiacich so zmenou klímy vrátane prírodných katastrof, životného prostredia, biodiverzity a potravinovej bezpečnosti, ako aj ekosystémov v pohraničných oblastiach; v tejto súvislosti zdôrazňuje význam prevencie a rozvoja miestnych a regionálnych plánov opatrení na prispôsobenie sa zmene klímy naprieč hranicami; zdôrazňuje, že je potrebné zvýšiť úsilie v boji proti zmene klímy a posilniť zmierňovanie zmeny klímy najmä v týchto regiónoch s cieľom dosiahnuť súlad s klimatickými cieľmi EÚ;</w:t>
      </w:r>
    </w:p>
    <w:p w:rsidR="00485152" w:rsidRPr="00246076" w:rsidRDefault="00485152" w:rsidP="00485152">
      <w:pPr>
        <w:pStyle w:val="NormalHanging12a"/>
        <w:rPr>
          <w:szCs w:val="24"/>
        </w:rPr>
      </w:pPr>
      <w:r w:rsidRPr="00246076">
        <w:t>11.</w:t>
      </w:r>
      <w:r w:rsidRPr="00246076">
        <w:tab/>
        <w:t>zdôrazňuje potenciál cezhraničnej spolupráce, najmä v redšie osídlených cezhraničných oblastiach, a to v oblastiach, ako sú energia z obnoviteľných zdrojov a obehové hospodárstvo, a vyzýva na lepšie využívanie existujúcich príležitostí na rozvoj udržateľného hospodárstva a kvalitných pracovných miest;</w:t>
      </w:r>
    </w:p>
    <w:p w:rsidR="00485152" w:rsidRPr="00246076" w:rsidRDefault="00485152" w:rsidP="00485152">
      <w:pPr>
        <w:pStyle w:val="NormalHanging12a"/>
        <w:ind w:left="0" w:firstLine="0"/>
        <w:rPr>
          <w:b/>
          <w:i/>
        </w:rPr>
      </w:pPr>
      <w:r w:rsidRPr="00246076">
        <w:rPr>
          <w:b/>
          <w:i/>
        </w:rPr>
        <w:t>Cezhraničná spolupráca s východným susedstvom</w:t>
      </w:r>
    </w:p>
    <w:p w:rsidR="00485152" w:rsidRPr="00246076" w:rsidRDefault="00485152" w:rsidP="00485152">
      <w:pPr>
        <w:pStyle w:val="NormalHanging12a"/>
      </w:pPr>
      <w:r w:rsidRPr="00246076">
        <w:t>12.</w:t>
      </w:r>
      <w:r w:rsidRPr="00246076">
        <w:tab/>
        <w:t>víta pozastavenie cezhraničnej spolupráce s Ruskom a Bieloruskom ako dôsledok ruskej útočnej vojny proti Ukrajine, ako aj presmerovanie finančných prostriedkov na Ukrajinu a do Moldavskej republiky, čo zásadne zmenilo európsku bezpečnostnú architektúru; zdôrazňuje preto potrebu spolupráce v oblasti bezpečnostnej politiky s cieľom dosiahnuť spoločné ciele spoľahlivého kolektívneho odrádzania a obrany v rámci cezhraničnej spolupráce;</w:t>
      </w:r>
    </w:p>
    <w:p w:rsidR="00485152" w:rsidRPr="00246076" w:rsidRDefault="00485152" w:rsidP="00485152">
      <w:pPr>
        <w:pStyle w:val="NormalHanging12a"/>
        <w:rPr>
          <w:szCs w:val="24"/>
        </w:rPr>
      </w:pPr>
      <w:r w:rsidRPr="00246076">
        <w:t>13.</w:t>
      </w:r>
      <w:r w:rsidRPr="00246076">
        <w:tab/>
        <w:t>upozorňuje na zložitú situáciu v regiónoch so spoločnou hranicou s Ruskom a Bieloruskom po pozastavení cezhraničnej spolupráce s týmito krajinami a nabáda Komisiu, aby úzko spolupracovala s dotknutými členskými štátmi pri hľadaní udržateľných riešení sociálnych a hospodárskych problémov v týchto regiónoch;</w:t>
      </w:r>
    </w:p>
    <w:p w:rsidR="00485152" w:rsidRPr="00246076" w:rsidRDefault="00485152" w:rsidP="00485152">
      <w:pPr>
        <w:pStyle w:val="NormalHanging12a"/>
      </w:pPr>
      <w:r w:rsidRPr="00246076">
        <w:t>14.</w:t>
      </w:r>
      <w:r w:rsidRPr="00246076">
        <w:tab/>
        <w:t xml:space="preserve">žiada, aby sa finančné prostriedky z cezhraničných programov použili na rozvoj udržateľnej dopravnej infraštruktúry vrátane výstavby železničných spojení a skladovacích zariadení v blízkosti hraníc EÚ s Ukrajinou a Moldavskou republikou s cieľom zefektívniť tok tovaru a obilnín, a zabezpečiť tak celosvetovú potravinovú bezpečnosť, prispieť k podpore rozvoja udržateľného hospodárstva v oboch krajinách a pomôcť členským štátom v prvej línii, ako aj Moldavsku a Ukrajine pri riešení týchto </w:t>
      </w:r>
      <w:r w:rsidRPr="00246076">
        <w:lastRenderedPageBreak/>
        <w:t>výziev;</w:t>
      </w:r>
    </w:p>
    <w:p w:rsidR="00485152" w:rsidRPr="00246076" w:rsidRDefault="00485152" w:rsidP="00485152">
      <w:pPr>
        <w:pStyle w:val="NormalHanging12a"/>
      </w:pPr>
      <w:r w:rsidRPr="00246076">
        <w:t>15.</w:t>
      </w:r>
      <w:r w:rsidRPr="00246076">
        <w:tab/>
        <w:t xml:space="preserve">uznáva význam podpory miestnej a regionálnej kultúry, ochrany kultúrneho dedičstva a vzdelávacích a hospodárskych výmen medzi pohraničnými regiónmi s cieľom posilniť vzájomné pochopenie zvyklostí susedov a vytvoriť významné stimuly pre viacjazyčné vzdelávanie; zdôrazňuje význam </w:t>
      </w:r>
      <w:proofErr w:type="spellStart"/>
      <w:r w:rsidRPr="00246076">
        <w:t>inkluzívneho</w:t>
      </w:r>
      <w:proofErr w:type="spellEnd"/>
      <w:r w:rsidRPr="00246076">
        <w:t xml:space="preserve"> vzdelávania v súvislosti s demokratickými hodnotami a potrebu podporovať vyššiu kvalitu v tejto oblasti;</w:t>
      </w:r>
    </w:p>
    <w:p w:rsidR="00485152" w:rsidRPr="00246076" w:rsidRDefault="00485152" w:rsidP="00485152">
      <w:pPr>
        <w:pStyle w:val="NormalHanging12a"/>
      </w:pPr>
      <w:r w:rsidRPr="00246076">
        <w:t>16.</w:t>
      </w:r>
      <w:r w:rsidRPr="00246076">
        <w:tab/>
        <w:t>vyzýva na podporu udržateľnejších infraštruktúrnych projektov, ktoré prispievajú k zlepšeniu prepojenosti cezhraničných regiónov, podpore mobility v týchto regiónoch a medzi nimi a zlepšeniu kvality života a príležitostí pre obyvateľov týchto regiónov, a takisto projektov zameraných na potrebu infraštruktúry;</w:t>
      </w:r>
    </w:p>
    <w:p w:rsidR="00485152" w:rsidRPr="00246076" w:rsidRDefault="00485152" w:rsidP="00485152">
      <w:pPr>
        <w:pStyle w:val="NormalHanging12a"/>
        <w:rPr>
          <w:szCs w:val="24"/>
        </w:rPr>
      </w:pPr>
      <w:r w:rsidRPr="00246076">
        <w:t>17.</w:t>
      </w:r>
      <w:r w:rsidRPr="00246076">
        <w:tab/>
        <w:t>uznáva obrovské úsilie národných vlád, regionálnych a miestnych orgánov a občianskej spoločnosti v členských štátoch EÚ nachádzajúcich sa v blízkosti Ukrajiny, ako aj úsilie Moldavskej republiky o prijatie vysídlených Ukrajincov a riešenie všetkých výziev vyplývajúcich z ruskej útočnej vojny vrátane otázky obilia z Ukrajiny a nedostatočnej dopravnej infraštruktúry; v tejto súvislosti žiada, aby sa poskytla primeraná podpora, a to aj prostredníctvom programov cezhraničnej spolupráce, s cieľom uspokojiť vznikajúce potreby;</w:t>
      </w:r>
    </w:p>
    <w:p w:rsidR="00485152" w:rsidRPr="00246076" w:rsidRDefault="00485152" w:rsidP="00485152">
      <w:pPr>
        <w:pStyle w:val="NormalHanging12a"/>
        <w:rPr>
          <w:szCs w:val="24"/>
        </w:rPr>
      </w:pPr>
      <w:r w:rsidRPr="00246076">
        <w:t>18.</w:t>
      </w:r>
      <w:r w:rsidRPr="00246076">
        <w:tab/>
        <w:t>zdôrazňuje, že hoci Moldavská republika nevedie otvorenú vojnu s Ruskom, takisto sa v nej nachádzajú konfliktné oblasti podporované Ruskom a prijala veľký počet ukrajinských utečencov, a že ukončenie obchodných vzťahov s Ruskom do veľkej miery ovplyvnilo hospodársku a sociálnu situáciu v Moldavsku; preto zdôrazňuje, že spoľahlivé investície a otvorený trh sú veľmi potrebné a že spoločné projekty sú viac než vítané vo všetkých hospodárskych a sociálnych oblastiach;</w:t>
      </w:r>
    </w:p>
    <w:p w:rsidR="00485152" w:rsidRPr="00246076" w:rsidRDefault="00485152" w:rsidP="00485152">
      <w:pPr>
        <w:pStyle w:val="NormalHanging12a"/>
      </w:pPr>
      <w:r w:rsidRPr="00246076">
        <w:t>19.</w:t>
      </w:r>
      <w:r w:rsidRPr="00246076">
        <w:tab/>
        <w:t xml:space="preserve">je pobúrený stratou ľudských životov a ničením domovov a infraštruktúry na Ukrajine; zdôrazňuje aktívnu úlohu, ktorú by programy cezhraničnej spolupráce a Nový európsky </w:t>
      </w:r>
      <w:proofErr w:type="spellStart"/>
      <w:r w:rsidRPr="00246076">
        <w:t>Bauhaus</w:t>
      </w:r>
      <w:proofErr w:type="spellEnd"/>
      <w:r w:rsidRPr="00246076">
        <w:t xml:space="preserve"> mali zohrávať pri udržateľnej obnove po vojne, a naliehavú potrebu podporovať miestne a regionálne orgány na Ukrajine a zároveň ďalej pomáhať susedným regiónom a podporovať intenzívnejšiu spoluprácu;</w:t>
      </w:r>
    </w:p>
    <w:p w:rsidR="00485152" w:rsidRPr="00246076" w:rsidRDefault="00485152" w:rsidP="00485152">
      <w:pPr>
        <w:pStyle w:val="NormalHanging12a"/>
        <w:rPr>
          <w:szCs w:val="24"/>
        </w:rPr>
      </w:pPr>
      <w:r w:rsidRPr="00246076">
        <w:t>20.</w:t>
      </w:r>
      <w:r w:rsidRPr="00246076">
        <w:tab/>
        <w:t>víta iniciatívu na začlenenie Ukrajiny do programu Európskej územnej spolupráce URBACT a pristúpenie Ukrajiny a Moldavskej republiky ako pozorovateľských členov Európskej siete na pozorovanie územného rozvoja a súdržnosti (ESPON);</w:t>
      </w:r>
    </w:p>
    <w:p w:rsidR="00485152" w:rsidRPr="00246076" w:rsidRDefault="00485152" w:rsidP="00485152">
      <w:pPr>
        <w:pStyle w:val="NormalHanging12a"/>
        <w:rPr>
          <w:szCs w:val="24"/>
        </w:rPr>
      </w:pPr>
      <w:r w:rsidRPr="00246076">
        <w:t>21.</w:t>
      </w:r>
      <w:r w:rsidRPr="00246076">
        <w:tab/>
        <w:t>odsudzuje, že Rusko využíva svoje zdroje energie ako prostriedok politického a hospodárskeho nátlaku; žiada rýchle vyšetrovanie hospodárskej spolupráce s Ruskom v sektoroch energetiky niektorých členských štátov, ako aj ďalšie opatrenia na podporu udržateľných zdrojov energie a zvýšenie energetickej efektívnosti s cieľom znížiť závislosť od Ruska v tých členských štátoch, ktoré výrazne obmedzili spoluprácu s agresorom a boli ovplyvnené sankciami, vrátane susedných krajín;</w:t>
      </w:r>
    </w:p>
    <w:p w:rsidR="00485152" w:rsidRPr="00246076" w:rsidRDefault="00485152" w:rsidP="00485152">
      <w:pPr>
        <w:pStyle w:val="NormalHanging12a"/>
        <w:rPr>
          <w:szCs w:val="24"/>
        </w:rPr>
      </w:pPr>
      <w:r w:rsidRPr="00246076">
        <w:t>22.</w:t>
      </w:r>
      <w:r w:rsidRPr="00246076">
        <w:tab/>
        <w:t>vyjadruje poľutovanie nad zvýšeným vplyvom Ruska v susedných krajinách, najmä prostredníctvom využívania manipulácie a dezinformácií v tradičných aj online sociálnych médiách, a vyzdvihuje význam posilnenej spolupráce s týmito krajinami, najmä v sektoroch vzdelávania a kultúry s cieľom informovať a vzdelávať občanov o demokratických hodnotách;</w:t>
      </w:r>
    </w:p>
    <w:p w:rsidR="00485152" w:rsidRPr="00246076" w:rsidRDefault="00485152" w:rsidP="00485152">
      <w:pPr>
        <w:pStyle w:val="NormalHanging12a"/>
        <w:rPr>
          <w:b/>
          <w:i/>
        </w:rPr>
      </w:pPr>
      <w:r w:rsidRPr="00246076">
        <w:rPr>
          <w:b/>
          <w:i/>
        </w:rPr>
        <w:lastRenderedPageBreak/>
        <w:t>Spolupráca týkajúca sa morských oblastí</w:t>
      </w:r>
    </w:p>
    <w:p w:rsidR="00485152" w:rsidRPr="00246076" w:rsidRDefault="00485152" w:rsidP="00485152">
      <w:pPr>
        <w:pStyle w:val="NormalHanging12a"/>
        <w:rPr>
          <w:i/>
        </w:rPr>
      </w:pPr>
      <w:r w:rsidRPr="00246076">
        <w:rPr>
          <w:i/>
        </w:rPr>
        <w:t>Oblasť Čierneho mora</w:t>
      </w:r>
    </w:p>
    <w:p w:rsidR="00485152" w:rsidRPr="00246076" w:rsidRDefault="00485152" w:rsidP="00485152">
      <w:pPr>
        <w:pStyle w:val="NormalHanging12a"/>
        <w:rPr>
          <w:szCs w:val="24"/>
        </w:rPr>
      </w:pPr>
      <w:r w:rsidRPr="00246076">
        <w:t>23.</w:t>
      </w:r>
      <w:r w:rsidRPr="00246076">
        <w:tab/>
        <w:t>zdôrazňuje, že je dôležité poskytnúť programu väčšiu finančnú podporu vzhľadom na bezpečnostné výzvy v Čiernom mori, ktoré vyplývajú z ruských útokov a blokády morských prístavov a prístavov na Dunaji, ktorých účelom je zabrániť preprave obilia nevyhnutnej pre ukrajinské hospodárstvo; zdôrazňuje bezpečnostné riziko, ktoré tieto útoky predstavujú pre členské štáty hraničiace s Ukrajinou;</w:t>
      </w:r>
    </w:p>
    <w:p w:rsidR="00485152" w:rsidRPr="00246076" w:rsidRDefault="00485152" w:rsidP="00485152">
      <w:pPr>
        <w:pStyle w:val="NormalHanging12a"/>
        <w:rPr>
          <w:szCs w:val="24"/>
        </w:rPr>
      </w:pPr>
      <w:r w:rsidRPr="00246076">
        <w:t>24.</w:t>
      </w:r>
      <w:r w:rsidRPr="00246076">
        <w:tab/>
        <w:t>zdôrazňuje potenciál čiernomorských zdrojov energie, ktoré môžu prispieť k udržateľnej energetickej budúcnosti aj v EÚ; zdôrazňuje, že napriek svojmu potenciálu zostávajú obnoviteľné zdroje energie vo veľkej miere nevyužité;</w:t>
      </w:r>
    </w:p>
    <w:p w:rsidR="00485152" w:rsidRPr="00246076" w:rsidRDefault="00485152" w:rsidP="00485152">
      <w:pPr>
        <w:pStyle w:val="NormalHanging12a"/>
      </w:pPr>
      <w:r w:rsidRPr="00246076">
        <w:t>25.</w:t>
      </w:r>
      <w:r w:rsidRPr="00246076">
        <w:tab/>
        <w:t xml:space="preserve">domnieva sa, že program </w:t>
      </w:r>
      <w:proofErr w:type="spellStart"/>
      <w:r w:rsidRPr="00246076">
        <w:t>Interreg</w:t>
      </w:r>
      <w:proofErr w:type="spellEnd"/>
      <w:r w:rsidRPr="00246076">
        <w:t xml:space="preserve"> NEXT pre oblasť Čierneho mora by mal uľahčiť udržateľný hospodársky rozvoj a účinné riadenie spoločných zdrojov; </w:t>
      </w:r>
    </w:p>
    <w:p w:rsidR="00485152" w:rsidRPr="00246076" w:rsidRDefault="00485152" w:rsidP="00485152">
      <w:pPr>
        <w:pStyle w:val="NormalHanging12a"/>
        <w:rPr>
          <w:szCs w:val="24"/>
        </w:rPr>
      </w:pPr>
      <w:r w:rsidRPr="00246076">
        <w:t>26.</w:t>
      </w:r>
      <w:r w:rsidRPr="00246076">
        <w:tab/>
        <w:t>zdôrazňuje význam rozvoja udržateľného cestovného ruchu v pobrežných regiónoch Čierneho mora a zasadzuje sa za to, aby všetci zapojení aktéri zaujali zodpovedný prístup k ochrane životného prostredia;</w:t>
      </w:r>
    </w:p>
    <w:p w:rsidR="00485152" w:rsidRPr="00246076" w:rsidRDefault="00485152" w:rsidP="00485152">
      <w:pPr>
        <w:pStyle w:val="NormalHanging12a"/>
        <w:rPr>
          <w:szCs w:val="24"/>
        </w:rPr>
      </w:pPr>
      <w:r w:rsidRPr="00246076">
        <w:t>27.</w:t>
      </w:r>
      <w:r w:rsidRPr="00246076">
        <w:tab/>
        <w:t>vyzýva, aby sa veľká pozornosť venovala najmä Čiernemu moru, posilnila sa regionálna spolupráca v záujme riešenia bezpečnostných otázok, a to aj tých, ktoré sa týkajú regionálnych konfliktov a energetickej bezpečnosti, a podporovali sa projekty na modernizáciu prístavov a súvisiacej infraštruktúry a zvýšenie ich spojení s existujúcimi dopravnými uzlami; vyzýva preto najmä na ich prepojenie s koridormi TEN-T;</w:t>
      </w:r>
    </w:p>
    <w:p w:rsidR="00485152" w:rsidRPr="00246076" w:rsidRDefault="00485152" w:rsidP="00485152">
      <w:pPr>
        <w:pStyle w:val="NormalHanging12a"/>
        <w:rPr>
          <w:szCs w:val="24"/>
        </w:rPr>
      </w:pPr>
      <w:r w:rsidRPr="00246076">
        <w:t>28.</w:t>
      </w:r>
      <w:r w:rsidRPr="00246076">
        <w:tab/>
        <w:t>trvá na tom, aby sa prijala súdržná stratégia pre oblasť Čierneho mora a aby sa rozvíjali synergie s programom pre Dunaj na roky 2021 – 2027;</w:t>
      </w:r>
    </w:p>
    <w:p w:rsidR="00485152" w:rsidRPr="00246076" w:rsidRDefault="00485152" w:rsidP="00485152">
      <w:pPr>
        <w:pStyle w:val="NormalHanging12a"/>
        <w:rPr>
          <w:i/>
        </w:rPr>
      </w:pPr>
      <w:r w:rsidRPr="00246076">
        <w:rPr>
          <w:i/>
        </w:rPr>
        <w:t>Oblasť Stredozemného mora</w:t>
      </w:r>
    </w:p>
    <w:p w:rsidR="00485152" w:rsidRPr="00246076" w:rsidRDefault="00485152" w:rsidP="00485152">
      <w:pPr>
        <w:pStyle w:val="NormalHanging12a"/>
        <w:rPr>
          <w:szCs w:val="24"/>
        </w:rPr>
      </w:pPr>
      <w:r w:rsidRPr="00246076">
        <w:t>29.</w:t>
      </w:r>
      <w:r w:rsidRPr="00246076">
        <w:tab/>
        <w:t xml:space="preserve">zdôrazňuje význam silných hospodárskych a sociálnych partnerstiev s tretími krajinami z oblasti Stredozemného mora; víta, že rastie počet krajín, ktoré sa zúčastňujú na programoch </w:t>
      </w:r>
      <w:proofErr w:type="spellStart"/>
      <w:r w:rsidRPr="00246076">
        <w:t>Interreg</w:t>
      </w:r>
      <w:proofErr w:type="spellEnd"/>
      <w:r w:rsidRPr="00246076">
        <w:t xml:space="preserve"> Euro-MED 2021 – 2027;</w:t>
      </w:r>
    </w:p>
    <w:p w:rsidR="00485152" w:rsidRPr="00246076" w:rsidRDefault="00485152" w:rsidP="00485152">
      <w:pPr>
        <w:pStyle w:val="NormalHanging12a"/>
      </w:pPr>
      <w:r w:rsidRPr="00246076">
        <w:t>30.</w:t>
      </w:r>
      <w:r w:rsidRPr="00246076">
        <w:tab/>
        <w:t>žiada koordinovanejšie a efektívnejšie využívanie existujúcich fondov v rámci súčasných sociálnych, klimatických a environmentálnych pravidiel s cieľom zvýšiť konkurencieschopnosť stredomorskej oblasti a zároveň podporiť potenciál energie z obnoviteľných zdrojov na pevnine a na mori;</w:t>
      </w:r>
    </w:p>
    <w:p w:rsidR="00485152" w:rsidRPr="00246076" w:rsidRDefault="00485152" w:rsidP="00485152">
      <w:pPr>
        <w:pStyle w:val="NormalHanging12a"/>
        <w:rPr>
          <w:szCs w:val="24"/>
        </w:rPr>
      </w:pPr>
      <w:r w:rsidRPr="00246076">
        <w:t>31.</w:t>
      </w:r>
      <w:r w:rsidRPr="00246076">
        <w:tab/>
        <w:t>domnieva sa, že cezhraničné programy musia zohrávať aktívnu úlohu pri riešení spoločných bezpečnostných výziev a viesť k regionálnej stabilite;</w:t>
      </w:r>
    </w:p>
    <w:p w:rsidR="00485152" w:rsidRPr="00246076" w:rsidRDefault="00485152" w:rsidP="00485152">
      <w:pPr>
        <w:pStyle w:val="NormalHanging12a"/>
        <w:rPr>
          <w:szCs w:val="24"/>
        </w:rPr>
      </w:pPr>
      <w:r w:rsidRPr="00246076">
        <w:t>32.</w:t>
      </w:r>
      <w:r w:rsidRPr="00246076">
        <w:tab/>
        <w:t xml:space="preserve">vyzýva na riadenie migračných tokov a boj proti neregulárnej migrácii a obchodovaniu s ľuďmi, a to aj tým, že sa budú financovať projekty zamerané na prijímanie a poskytovanie starostlivosti a odbornej prípravy migrantom s cieľom pomôcť im čeliť výzvam konkurenčného hospodárskeho prostredia a lepšie pochopiť a rešpektovať európske hodnoty pri súčasnej podpore </w:t>
      </w:r>
      <w:proofErr w:type="spellStart"/>
      <w:r w:rsidRPr="00246076">
        <w:t>inkluzívnosti</w:t>
      </w:r>
      <w:proofErr w:type="spellEnd"/>
      <w:r w:rsidRPr="00246076">
        <w:t xml:space="preserve"> na oboch stranách Stredozemného mora;</w:t>
      </w:r>
    </w:p>
    <w:p w:rsidR="00485152" w:rsidRPr="00246076" w:rsidRDefault="00485152" w:rsidP="00485152">
      <w:pPr>
        <w:pStyle w:val="NormalHanging12a"/>
        <w:rPr>
          <w:szCs w:val="24"/>
        </w:rPr>
      </w:pPr>
      <w:r w:rsidRPr="00246076">
        <w:t>33.</w:t>
      </w:r>
      <w:r w:rsidRPr="00246076">
        <w:tab/>
        <w:t xml:space="preserve">uznáva kľúčovú úlohu výskumu a inovácií pri predchádzaní rizikám prírodných </w:t>
      </w:r>
      <w:r w:rsidRPr="00246076">
        <w:lastRenderedPageBreak/>
        <w:t>katastrof, udržateľnom hospodárení s vodami a znižovaní emisií CO</w:t>
      </w:r>
      <w:r w:rsidRPr="00246076">
        <w:rPr>
          <w:vertAlign w:val="subscript"/>
        </w:rPr>
        <w:t>2</w:t>
      </w:r>
      <w:r w:rsidRPr="00246076">
        <w:t xml:space="preserve"> a zdôrazňuje potrebu uprednostniť projekty, ktoré majú kvantifikovateľné ciele z hľadiska hospodárskeho, sociálneho a environmentálneho vplyvu; </w:t>
      </w:r>
    </w:p>
    <w:p w:rsidR="00485152" w:rsidRPr="00246076" w:rsidRDefault="00485152" w:rsidP="00485152">
      <w:pPr>
        <w:pStyle w:val="NormalHanging12a"/>
      </w:pPr>
      <w:r w:rsidRPr="00246076">
        <w:t>34.</w:t>
      </w:r>
      <w:r w:rsidRPr="00246076">
        <w:tab/>
        <w:t>zdôrazňuje, že napriek svojmu potenciálu zostávajú obnoviteľné zdroje energie vo veľkej miere nevyužité a že tento potenciál by sa mal stimulovať okrem iného aj zapojením MSP a spoločností so strednou trhovou kapitalizáciou;</w:t>
      </w:r>
    </w:p>
    <w:p w:rsidR="00485152" w:rsidRPr="00246076" w:rsidRDefault="00485152" w:rsidP="00485152">
      <w:pPr>
        <w:pStyle w:val="NormalHanging12a"/>
      </w:pPr>
      <w:r w:rsidRPr="00246076">
        <w:t>35.</w:t>
      </w:r>
      <w:r w:rsidRPr="00246076">
        <w:tab/>
        <w:t xml:space="preserve">víta stratégiu pre morské oblasti </w:t>
      </w:r>
      <w:proofErr w:type="spellStart"/>
      <w:r w:rsidRPr="00246076">
        <w:t>WestMed</w:t>
      </w:r>
      <w:proofErr w:type="spellEnd"/>
      <w:r w:rsidRPr="00246076">
        <w:t xml:space="preserve"> v západnom Stredozemí a programy </w:t>
      </w:r>
      <w:proofErr w:type="spellStart"/>
      <w:r w:rsidRPr="00246076">
        <w:t>Interreg</w:t>
      </w:r>
      <w:proofErr w:type="spellEnd"/>
      <w:r w:rsidRPr="00246076">
        <w:t>, ako je MARITTIMO, ako dobré príklady priamej a diverzifikovanej spolupráce, a to aj na regionálnej úrovni, so spoločnými cieľmi;</w:t>
      </w:r>
    </w:p>
    <w:p w:rsidR="00485152" w:rsidRPr="00246076" w:rsidRDefault="00485152" w:rsidP="00485152">
      <w:pPr>
        <w:pStyle w:val="NormalHanging12a"/>
      </w:pPr>
      <w:r w:rsidRPr="00246076">
        <w:t>36.</w:t>
      </w:r>
      <w:r w:rsidRPr="00246076">
        <w:tab/>
        <w:t xml:space="preserve">víta pokrok dosiahnutý v rámci jadransko-iónskej </w:t>
      </w:r>
      <w:proofErr w:type="spellStart"/>
      <w:r w:rsidRPr="00246076">
        <w:t>makroregionálnej</w:t>
      </w:r>
      <w:proofErr w:type="spellEnd"/>
      <w:r w:rsidRPr="00246076">
        <w:t xml:space="preserve"> stratégie (EUSAIR), ktorá zmobilizovala členské krajiny a ich regióny, tretie krajiny a ich miestne orgány; považuje EUSAIR za úspešný príklad, keď sa Únia ukázala ako hnacia sila a vektor otvorenosti; trvá na tom, že tieto zásady a podobný spoločný prístup sa musia uplatňovať aj na ostatné oblasti Stredozemného mora;</w:t>
      </w:r>
    </w:p>
    <w:p w:rsidR="00485152" w:rsidRPr="00246076" w:rsidRDefault="00485152" w:rsidP="00485152">
      <w:pPr>
        <w:pStyle w:val="NormalHanging12a"/>
        <w:rPr>
          <w:szCs w:val="24"/>
        </w:rPr>
      </w:pPr>
      <w:r w:rsidRPr="00246076">
        <w:t>37.</w:t>
      </w:r>
      <w:r w:rsidRPr="00246076">
        <w:tab/>
        <w:t xml:space="preserve">vyzýva Európsku radu, aby požiadala Komisiu, aby predložila podrobnú </w:t>
      </w:r>
      <w:proofErr w:type="spellStart"/>
      <w:r w:rsidRPr="00246076">
        <w:t>makroregionálnu</w:t>
      </w:r>
      <w:proofErr w:type="spellEnd"/>
      <w:r w:rsidRPr="00246076">
        <w:t xml:space="preserve"> stratégiu pre Stredozemie, v ktorej zohľadní svoj nový program pre Stredozemie, a najmä jeho oddiel 5 (Zelená transformácia: odolnosť voči zmene klímy, energetika a životné prostredie), a prijala ju; vyjadruje poľutovanie nad neustálym zhoršovaním stavu životného prostredia v celej oblasti Stredozemného mora, stratou biodiverzity a nárastom znečistenia ovzdušia a morí, najmä plastovým odpadom a odpadom z domácností, a žiada, aby sa týmto javom zabránilo, obmedzili sa a zvládli prostredníctvom podpory obehového hospodárstva;</w:t>
      </w:r>
    </w:p>
    <w:p w:rsidR="00485152" w:rsidRPr="00246076" w:rsidRDefault="00485152" w:rsidP="00485152">
      <w:pPr>
        <w:pStyle w:val="NormalHanging12a"/>
        <w:rPr>
          <w:b/>
          <w:i/>
        </w:rPr>
      </w:pPr>
      <w:r w:rsidRPr="00246076">
        <w:rPr>
          <w:b/>
          <w:i/>
        </w:rPr>
        <w:t>Výzvy v oblasti cezhraničnej spolupráce</w:t>
      </w:r>
    </w:p>
    <w:p w:rsidR="00485152" w:rsidRPr="00246076" w:rsidRDefault="00485152" w:rsidP="00485152">
      <w:pPr>
        <w:pStyle w:val="NormalHanging12a"/>
        <w:rPr>
          <w:szCs w:val="24"/>
        </w:rPr>
      </w:pPr>
      <w:r w:rsidRPr="00246076">
        <w:t>38.</w:t>
      </w:r>
      <w:r w:rsidRPr="00246076">
        <w:tab/>
        <w:t>konštatuje, že existencia rôznych právnych a inštitucionálnych rámcov vytvára ďalšie prekážky pri realizácii projektov, takže samotná realizácia projektov je problematická; pripomína, že administratívne postupy môžu byť zložité a zdĺhavé, čo môže miestne a regionálne orgány odrádzať od účasti na územnej spolupráci; vyzýva Komisiu, aby tieto postupy pomohla zjednodušiť tým, že zvýši ich prístupnosť a transparentnosť;</w:t>
      </w:r>
    </w:p>
    <w:p w:rsidR="00485152" w:rsidRPr="00246076" w:rsidRDefault="00485152" w:rsidP="00485152">
      <w:pPr>
        <w:pStyle w:val="NormalHanging12a"/>
      </w:pPr>
      <w:r w:rsidRPr="00246076">
        <w:t>39.</w:t>
      </w:r>
      <w:r w:rsidRPr="00246076">
        <w:tab/>
        <w:t>konštatuje, že jazykové bariéry a kultúrne rozdiely sťažujú komunikáciu a môžu viesť k administratívnemu zaťaženiu, ktoré by sa malo prekonať vhodnými opatreniami;</w:t>
      </w:r>
    </w:p>
    <w:p w:rsidR="00485152" w:rsidRPr="00246076" w:rsidRDefault="00485152" w:rsidP="00485152">
      <w:pPr>
        <w:pStyle w:val="NormalHanging12a"/>
      </w:pPr>
      <w:r w:rsidRPr="00246076">
        <w:t>40.</w:t>
      </w:r>
      <w:r w:rsidRPr="00246076">
        <w:tab/>
        <w:t>zdôrazňuje, že medzi jednotlivými štátmi existujú rozdiely, pokiaľ ide o právomoci orgánov, ako aj zmeny regionálnych orgánov, čo môže spôsobovať oneskorenia; domnieva sa, že by sa mal podporovať dialóg medzi miestnymi orgánmi a účasť občianskej spoločnosti na projektoch územnej spolupráce, a to so zapojením mimovládnych organizácií, sociálnych podnikov a iných zainteresovaných strán;</w:t>
      </w:r>
    </w:p>
    <w:p w:rsidR="00485152" w:rsidRPr="00246076" w:rsidRDefault="00485152" w:rsidP="00485152">
      <w:pPr>
        <w:pStyle w:val="NormalHanging12a"/>
        <w:rPr>
          <w:szCs w:val="24"/>
        </w:rPr>
      </w:pPr>
      <w:r w:rsidRPr="00246076">
        <w:t>41.</w:t>
      </w:r>
      <w:r w:rsidRPr="00246076">
        <w:tab/>
        <w:t>zdôrazňuje potrebu rozvoja programov dlhodobej výmeny a podnikateľskej spolupráce medzi inštitúciami a podnikmi v cezhraničných regiónoch s cieľom podporiť udržateľný hospodársky rozvoj a posilniť administratívnu koordináciu medzi zúčastnenými štátmi ďalším rozvojom, reorganizáciou alebo v prípade potreby zriadením udržateľných funkčných štruktúr na cezhraničnú spoluprácu a siete;</w:t>
      </w:r>
    </w:p>
    <w:p w:rsidR="00485152" w:rsidRPr="00246076" w:rsidRDefault="00485152" w:rsidP="00485152">
      <w:pPr>
        <w:pStyle w:val="NormalHanging12a"/>
      </w:pPr>
      <w:r w:rsidRPr="00246076">
        <w:t>42.</w:t>
      </w:r>
      <w:r w:rsidRPr="00246076">
        <w:tab/>
        <w:t xml:space="preserve">zdôrazňuje význam zriadenia systému krátkodobej a strednodobej </w:t>
      </w:r>
      <w:proofErr w:type="spellStart"/>
      <w:r w:rsidRPr="00246076">
        <w:t>medzikultúrnej</w:t>
      </w:r>
      <w:proofErr w:type="spellEnd"/>
      <w:r w:rsidRPr="00246076">
        <w:t xml:space="preserve"> výmeny na podporu učenia rozšírených jazykov, hlbšieho pochopenia regionálnych </w:t>
      </w:r>
      <w:r w:rsidRPr="00246076">
        <w:lastRenderedPageBreak/>
        <w:t>kultúr a uľahčenia spolupráce medzi cezhraničnými komunitami, pričom zdôrazňuje, že tento systém by mal zahŕňať aj podnikateľské a administratívne aspekty s cieľom stimulovať hospodársky a administratívny rozvoj;</w:t>
      </w:r>
    </w:p>
    <w:p w:rsidR="00485152" w:rsidRPr="00246076" w:rsidRDefault="00485152" w:rsidP="00485152">
      <w:pPr>
        <w:pStyle w:val="NormalHanging12a"/>
      </w:pPr>
      <w:r w:rsidRPr="00246076">
        <w:t>43.</w:t>
      </w:r>
      <w:r w:rsidRPr="00246076">
        <w:tab/>
        <w:t>konštatuje potrebu prispôsobiť programy individuálnym potrebám a špecifikám každej zúčastnenej krajiny/regiónu; žiada, aby sa v tejto súvislosti vynaložilo väčšie úsilie;</w:t>
      </w:r>
    </w:p>
    <w:p w:rsidR="00485152" w:rsidRPr="00246076" w:rsidRDefault="00485152" w:rsidP="00485152">
      <w:pPr>
        <w:pStyle w:val="NormalHanging12a"/>
      </w:pPr>
      <w:r w:rsidRPr="00246076">
        <w:t>44.</w:t>
      </w:r>
      <w:r w:rsidRPr="00246076">
        <w:tab/>
        <w:t xml:space="preserve">konštatuje, že pandémia </w:t>
      </w:r>
      <w:r w:rsidR="00676F46" w:rsidRPr="00246076">
        <w:t xml:space="preserve">ochorenia </w:t>
      </w:r>
      <w:r w:rsidRPr="00246076">
        <w:t>COVID-19 mala nepriaznivý vplyv na pohraničné regióny a ovplyvnila realizáciu súčasných programov a projektov;</w:t>
      </w:r>
    </w:p>
    <w:p w:rsidR="00485152" w:rsidRPr="00246076" w:rsidRDefault="00485152" w:rsidP="00485152">
      <w:pPr>
        <w:pStyle w:val="NormalHanging12a"/>
        <w:rPr>
          <w:szCs w:val="24"/>
        </w:rPr>
      </w:pPr>
      <w:r w:rsidRPr="00246076">
        <w:t>45.</w:t>
      </w:r>
      <w:r w:rsidRPr="00246076">
        <w:tab/>
        <w:t>poukazuje na to, že nedostatok vhodnej dopravnej infraštruktúry a sietí, najmä pokiaľ ide o námornú a ostrovnú cezhraničnú spoluprácu, bráni obchodu a mobilite a komplikuje spoluprácu;</w:t>
      </w:r>
    </w:p>
    <w:p w:rsidR="00485152" w:rsidRPr="00246076" w:rsidRDefault="00485152" w:rsidP="00485152">
      <w:pPr>
        <w:pStyle w:val="NormalHanging12a"/>
        <w:rPr>
          <w:szCs w:val="24"/>
        </w:rPr>
      </w:pPr>
      <w:r w:rsidRPr="00246076">
        <w:t>46.</w:t>
      </w:r>
      <w:r w:rsidRPr="00246076">
        <w:tab/>
        <w:t>poukazuje na osobitné výzvy námorných hraníc a potrebu ich uznania ako osobitných hraníc s vlastnými potrebami, najmä vzhľadom na jazykové a kultúrne rozdiely, administratívnu a právnu záťaž, sociálno-ekonomické rozdiely a environmentálne otázky;</w:t>
      </w:r>
    </w:p>
    <w:p w:rsidR="00485152" w:rsidRPr="00246076" w:rsidRDefault="00485152" w:rsidP="00485152">
      <w:pPr>
        <w:pStyle w:val="NormalHanging12a"/>
        <w:rPr>
          <w:b/>
          <w:i/>
        </w:rPr>
      </w:pPr>
      <w:r w:rsidRPr="00246076">
        <w:rPr>
          <w:b/>
          <w:i/>
        </w:rPr>
        <w:t>Možnosti cezhraničnej spolupráce</w:t>
      </w:r>
    </w:p>
    <w:p w:rsidR="00485152" w:rsidRPr="00246076" w:rsidRDefault="00485152" w:rsidP="00485152">
      <w:pPr>
        <w:pStyle w:val="NormalHanging12a"/>
      </w:pPr>
      <w:r w:rsidRPr="00246076">
        <w:t>47.</w:t>
      </w:r>
      <w:r w:rsidRPr="00246076">
        <w:tab/>
        <w:t xml:space="preserve">zdôrazňuje, že vzhľadom na viaceré krízy a konflikty si cezhraničná spolupráca so susednými krajinami vyžaduje investície do odolnosti krajín a spoločností a že priority partnerstva by mali prispieť k podstatnému zlepšeniu životných podmienok na oboch stranách hraníc, a to aj zabezpečením </w:t>
      </w:r>
      <w:proofErr w:type="spellStart"/>
      <w:r w:rsidRPr="00246076">
        <w:t>inkluzívneho</w:t>
      </w:r>
      <w:proofErr w:type="spellEnd"/>
      <w:r w:rsidRPr="00246076">
        <w:t xml:space="preserve"> udržateľného rozvoja, sociálnej spravodlivosti, pracovných príležitostí a hospodárskej prosperity;</w:t>
      </w:r>
    </w:p>
    <w:p w:rsidR="00485152" w:rsidRPr="00246076" w:rsidRDefault="00485152" w:rsidP="00485152">
      <w:pPr>
        <w:pStyle w:val="NormalHanging12a"/>
        <w:rPr>
          <w:szCs w:val="24"/>
        </w:rPr>
      </w:pPr>
      <w:r w:rsidRPr="00246076">
        <w:t>48.</w:t>
      </w:r>
      <w:r w:rsidRPr="00246076">
        <w:tab/>
        <w:t>domnieva sa, že cezhraničná spolupráca môže významne prispieť k posilneniu miestnej a regionálnej demokracie a administratívnych kapacít partnerských krajín; zdôrazňuje význam európskych zoskupení územnej spolupráce (EZÚS), pokiaľ ide o uľahčenie a podporu územnej spolupráce, a to najmä v oblastiach riadenia cezhraničných dopravných služieb a nemocníc, vykonávania a riadenia cezhraničných rozvojových projektov a výmeny poznatkov a najlepších postupov;</w:t>
      </w:r>
    </w:p>
    <w:p w:rsidR="00485152" w:rsidRPr="00246076" w:rsidRDefault="00485152" w:rsidP="00485152">
      <w:pPr>
        <w:pStyle w:val="NormalHanging12a"/>
        <w:rPr>
          <w:szCs w:val="24"/>
        </w:rPr>
      </w:pPr>
      <w:r w:rsidRPr="00246076">
        <w:t>49.</w:t>
      </w:r>
      <w:r w:rsidRPr="00246076">
        <w:tab/>
        <w:t>vyzdvihuje význam toho, aby cezhraničné programy EÚ zahrnuli kultúru ako dôležitý ukazovateľ regionálneho rozvoja, najmä v pohraničných oblastiach, kde ľudia žijúci na oboch stranách hranice pochádzajú z rovnakého kultúrneho a jazykového prostredia, s cieľom zabezpečiť živé regióny a zvýšiť ich atraktívnosť, posilniť kultúrne výmeny a podporiť rozmanitosť a solidaritu za hranicami EÚ;</w:t>
      </w:r>
    </w:p>
    <w:p w:rsidR="00485152" w:rsidRPr="00246076" w:rsidRDefault="00485152" w:rsidP="00485152">
      <w:pPr>
        <w:pStyle w:val="NormalHanging12a"/>
      </w:pPr>
      <w:r w:rsidRPr="00246076">
        <w:t>50.</w:t>
      </w:r>
      <w:r w:rsidRPr="00246076">
        <w:tab/>
        <w:t>zdôrazňuje, že programy ponúkajú príležitosti na hĺbkový dialóg s rôznymi zainteresovanými stranami, okrem iného so zástupcami občianskej spoločnosti, miestnymi a regionálnymi orgánmi, akademickou obcou, občanmi, MVO a súkromným sektorom; vyzdvihuje najmä význam cezhraničných programov pre kandidátske krajiny EÚ, pretože miestnym a vnútroštátnym orgánom poskytujú príležitosť oboznámiť sa s právnymi predpismi EÚ;</w:t>
      </w:r>
    </w:p>
    <w:p w:rsidR="00485152" w:rsidRPr="00246076" w:rsidRDefault="00485152" w:rsidP="00485152">
      <w:pPr>
        <w:pStyle w:val="NormalHanging12a"/>
      </w:pPr>
      <w:r w:rsidRPr="00246076">
        <w:t>51.</w:t>
      </w:r>
      <w:r w:rsidRPr="00246076">
        <w:tab/>
        <w:t>konštatuje, že cezhraničná spolupráca môže ďalej prispieť k zníženiu regionálnych rozdielov, podpore hospodárskeho a sociálneho rozvoja, uplatňovaniu hľadiska rodovej rovnosti, zamestnanosti, obchodu a územnej súdržnosti a zlepšeniu mobility ľudí a prepojenosti regiónov;</w:t>
      </w:r>
    </w:p>
    <w:p w:rsidR="00485152" w:rsidRPr="00246076" w:rsidRDefault="00485152" w:rsidP="00485152">
      <w:pPr>
        <w:pStyle w:val="NormalHanging12a"/>
      </w:pPr>
      <w:r w:rsidRPr="00246076">
        <w:lastRenderedPageBreak/>
        <w:t>52.</w:t>
      </w:r>
      <w:r w:rsidRPr="00246076">
        <w:tab/>
        <w:t>zdôrazňuje význam cezhraničnej spolupráce pri digitalizácii a zdôrazňuje potrebu spoločných projektov týkajúcich sa digitálnej infraštruktúry, najmä vo verejných službách, s cieľom zabezpečiť koherentný a efektívny verejný sektor zameraný na potreby všetkých;</w:t>
      </w:r>
    </w:p>
    <w:p w:rsidR="00485152" w:rsidRPr="00246076" w:rsidRDefault="00485152" w:rsidP="00485152">
      <w:pPr>
        <w:pStyle w:val="NormalHanging12a"/>
        <w:rPr>
          <w:szCs w:val="24"/>
        </w:rPr>
      </w:pPr>
      <w:r w:rsidRPr="00246076">
        <w:t>53.</w:t>
      </w:r>
      <w:r w:rsidRPr="00246076">
        <w:tab/>
        <w:t>zdôrazňuje, že EÚ a členské štáty by mali užšie spolupracovať so susednými krajinami v oblasti zdravotnej starostlivosti a pohotovostných služieb a posilniť kapacitu MSP a spoločností so strednou trhovou kapitalizáciou pôsobiť cezhranične;</w:t>
      </w:r>
    </w:p>
    <w:p w:rsidR="00485152" w:rsidRPr="00246076" w:rsidRDefault="00485152" w:rsidP="00485152">
      <w:pPr>
        <w:pStyle w:val="NormalHanging12a"/>
      </w:pPr>
      <w:r w:rsidRPr="00246076">
        <w:t>54.</w:t>
      </w:r>
      <w:r w:rsidRPr="00246076">
        <w:tab/>
        <w:t>zdôrazňuje význam vytvárania sietí a referenčného porovnávania pri odstraňovaní prekážok cezhraničnej spolupráce a konštatuje, že by to malo umožniť lepšie využívanie nástrojov, ako sú EZÚS, nástroj integrovaných územných investícií a stratégia miestneho rozvoja vedeného komunitou;</w:t>
      </w:r>
    </w:p>
    <w:p w:rsidR="00485152" w:rsidRPr="00246076" w:rsidRDefault="00485152" w:rsidP="00485152">
      <w:pPr>
        <w:pStyle w:val="NormalHanging12a"/>
      </w:pPr>
      <w:r w:rsidRPr="00246076">
        <w:t>55.</w:t>
      </w:r>
      <w:r w:rsidRPr="00246076">
        <w:tab/>
        <w:t>zdôrazňuje, že investície do kvalitných verejných služieb zohrávajú kľúčovú úlohu pri budovaní sociálnej odolnosti a zvládaní hospodárskych, zdravotných a sociálnych kríz;</w:t>
      </w:r>
    </w:p>
    <w:p w:rsidR="00485152" w:rsidRPr="00246076" w:rsidRDefault="00485152" w:rsidP="00485152">
      <w:pPr>
        <w:pStyle w:val="NormalHanging12a"/>
      </w:pPr>
      <w:r w:rsidRPr="00246076">
        <w:t>56.</w:t>
      </w:r>
      <w:r w:rsidRPr="00246076">
        <w:tab/>
        <w:t>víta pokračujúci záväzok vlády Spojeného kráľovstva k programu PEACE, ktorý zohráva kľúčovú úlohu pri spolupráci medzi pohraničnými regiónmi Írska a Severným Írskom;</w:t>
      </w:r>
    </w:p>
    <w:p w:rsidR="00485152" w:rsidRPr="00246076" w:rsidRDefault="00485152" w:rsidP="00485152">
      <w:pPr>
        <w:pStyle w:val="NormalHanging12a"/>
      </w:pPr>
      <w:r w:rsidRPr="00246076">
        <w:t>57.</w:t>
      </w:r>
      <w:r w:rsidRPr="00246076">
        <w:tab/>
        <w:t>zdôrazňuje kľúčovú úlohu, ktorú program PEACE PLUS zohráva pri udržiavaní dobrých susedských vzťahov v regiónoch a zabezpečovaní ich sociálno-ekonomického rozvoja;</w:t>
      </w:r>
    </w:p>
    <w:p w:rsidR="00485152" w:rsidRPr="00246076" w:rsidRDefault="00485152" w:rsidP="00485152">
      <w:pPr>
        <w:pStyle w:val="NormalHanging12a"/>
        <w:rPr>
          <w:rFonts w:eastAsiaTheme="majorEastAsia"/>
          <w:b/>
          <w:bCs/>
          <w:i/>
          <w:kern w:val="32"/>
        </w:rPr>
      </w:pPr>
      <w:r w:rsidRPr="00246076">
        <w:rPr>
          <w:b/>
          <w:i/>
        </w:rPr>
        <w:t>Politické odporúčania</w:t>
      </w:r>
    </w:p>
    <w:p w:rsidR="00485152" w:rsidRPr="00246076" w:rsidRDefault="00485152" w:rsidP="00485152">
      <w:pPr>
        <w:pStyle w:val="NormalHanging12a"/>
      </w:pPr>
      <w:r w:rsidRPr="00246076">
        <w:t>58.</w:t>
      </w:r>
      <w:r w:rsidRPr="00246076">
        <w:tab/>
        <w:t>odporúča väčšiu komplementárnosť medzi projektmi a zdôrazňuje potrebu súčinnosti s inými nástrojmi financovania EÚ, ktoré majú rovnaké geografické a tematické pokrytie, aby sa zabránilo dvojitému financovaniu; zdôrazňuje potrebu cielených programov počas programového obdobia 2021 – 2027 s cieľom jasne určiť požiadavky a priority, ktoré sú spoločné pre regióny na vonkajších hraniciach EÚ a ktoré dopĺňajú iné iniciatívy financované EÚ, ale neprekrývajú sa s nimi;</w:t>
      </w:r>
    </w:p>
    <w:p w:rsidR="00485152" w:rsidRPr="00246076" w:rsidRDefault="00485152" w:rsidP="00485152">
      <w:pPr>
        <w:pStyle w:val="NormalHanging12a"/>
      </w:pPr>
      <w:r w:rsidRPr="00246076">
        <w:t>59.</w:t>
      </w:r>
      <w:r w:rsidRPr="00246076">
        <w:tab/>
        <w:t xml:space="preserve">domnieva sa, že by sa mala ďalej posilňovať úloha </w:t>
      </w:r>
      <w:proofErr w:type="spellStart"/>
      <w:r w:rsidRPr="00246076">
        <w:t>makroregionálnych</w:t>
      </w:r>
      <w:proofErr w:type="spellEnd"/>
      <w:r w:rsidRPr="00246076">
        <w:t xml:space="preserve"> stratégií EÚ pri riešení výziev týkajúcich sa pohraničných regiónov;</w:t>
      </w:r>
    </w:p>
    <w:p w:rsidR="00485152" w:rsidRPr="00246076" w:rsidRDefault="00485152" w:rsidP="00485152">
      <w:pPr>
        <w:pStyle w:val="NormalHanging12a"/>
        <w:rPr>
          <w:szCs w:val="24"/>
        </w:rPr>
      </w:pPr>
      <w:r w:rsidRPr="00246076">
        <w:t>60.</w:t>
      </w:r>
      <w:r w:rsidRPr="00246076">
        <w:tab/>
        <w:t xml:space="preserve">odporúča, aby sa v oblasti cezhraničného riadenia vypracovala plne integrovaná stratégia infraštruktúry (cestnej, železničnej, vodohospodárskej) so zreteľom na cezhraničný región ako celok; zdôrazňuje význam rozvoja udržateľnejších riešení mobility naprieč cezhraničnými oblasťami, a to aj prostredníctvom politiky TEN-T; vyzýva Komisiu a členské štáty, aby podporovali inteligentnú mobilitu; </w:t>
      </w:r>
    </w:p>
    <w:p w:rsidR="00485152" w:rsidRPr="00246076" w:rsidRDefault="00485152" w:rsidP="00485152">
      <w:pPr>
        <w:pStyle w:val="NormalHanging12a"/>
      </w:pPr>
      <w:r w:rsidRPr="00246076">
        <w:t>61.</w:t>
      </w:r>
      <w:r w:rsidRPr="00246076">
        <w:tab/>
        <w:t>odporúča propagovať finančné nástroje EÚ s pridanou sociálnou a hospodárskou hodnotou s cieľom zvýšiť úroveň informovanosti o výhodách EÚ;</w:t>
      </w:r>
    </w:p>
    <w:p w:rsidR="00485152" w:rsidRPr="00246076" w:rsidRDefault="00485152" w:rsidP="00485152">
      <w:pPr>
        <w:pStyle w:val="NormalHanging12a"/>
      </w:pPr>
      <w:r w:rsidRPr="00246076">
        <w:t>62.</w:t>
      </w:r>
      <w:r w:rsidRPr="00246076">
        <w:tab/>
        <w:t xml:space="preserve">vyzýva Komisiu, aby znížila byrokratickú záťaž, výrazne zjednodušila postupy a znížila prekážky súvisiace s rôznymi právnymi predpismi; trvá na tom, že by to malo umožniť uspokojiť skutočné potreby cezhraničných oblastí; zdôrazňuje, že udržateľný a </w:t>
      </w:r>
      <w:proofErr w:type="spellStart"/>
      <w:r w:rsidRPr="00246076">
        <w:t>inkluzívny</w:t>
      </w:r>
      <w:proofErr w:type="spellEnd"/>
      <w:r w:rsidRPr="00246076">
        <w:t xml:space="preserve"> rozvoj si vyžaduje opatrenia na všetkých úrovniach; výslovne uznáva, že je dôležité venovať pozornosť vidieckym oblastiam v cezhraničných regiónoch, keďže sú obzvlášť zasiahnuté demografickými výzvami;</w:t>
      </w:r>
    </w:p>
    <w:p w:rsidR="00485152" w:rsidRPr="00246076" w:rsidRDefault="00485152" w:rsidP="00485152">
      <w:pPr>
        <w:pStyle w:val="NormalHanging12a"/>
      </w:pPr>
      <w:r w:rsidRPr="00246076">
        <w:lastRenderedPageBreak/>
        <w:t>63.</w:t>
      </w:r>
      <w:r w:rsidRPr="00246076">
        <w:tab/>
        <w:t xml:space="preserve">vyzýva na lepšiu koordináciu, dialóg a ďalšiu výmenu najlepších postupov medzi regiónmi a štátmi, napríklad prostredníctvom platformy ako INTERREG </w:t>
      </w:r>
      <w:proofErr w:type="spellStart"/>
      <w:r w:rsidRPr="00246076">
        <w:t>Europe</w:t>
      </w:r>
      <w:proofErr w:type="spellEnd"/>
      <w:r w:rsidRPr="00246076">
        <w:t>; naliehavo vyzýva Komisiu a členské štáty, aby v tejto súvislosti posilnili spoluprácu, a vyzýva členské štáty, aby miestnym a regionálnym orgánom poskytli nástroje a zdroje, ktoré potrebujú na podporu ambicióznej cezhraničnej spolupráce; konštatuje, že verejné vzdelávacie a kultúrne služby by mali byť otvorené, prístupné a dostupné pre občanov z oboch strán hraníc;</w:t>
      </w:r>
    </w:p>
    <w:p w:rsidR="00485152" w:rsidRPr="00246076" w:rsidRDefault="00485152" w:rsidP="00485152">
      <w:pPr>
        <w:pStyle w:val="NormalHanging12a"/>
      </w:pPr>
      <w:r w:rsidRPr="00246076">
        <w:t>64.</w:t>
      </w:r>
      <w:r w:rsidRPr="00246076">
        <w:tab/>
        <w:t>zdôrazňuje, že v súlade so zásadou partnerstva by regionálne a miestne orgány a zástupcovia občianskej spoločnosti a súkromného sektora mali byť od začiatku v čo najväčšej miere zapojení do prípravy a realizácie projektov; vyzýva Komisiu, aby zvážila poskytnutie technickej podpory miestnym a regionálnym orgánom v susedných krajinách s cieľom pomôcť im rozvíjať a realizovať projekty územnej spolupráce; ďalej žiada, aby sa v tejto súvislosti vypracovali usmernenia;</w:t>
      </w:r>
    </w:p>
    <w:p w:rsidR="00485152" w:rsidRPr="00246076" w:rsidRDefault="00485152" w:rsidP="00485152">
      <w:pPr>
        <w:pStyle w:val="NormalHanging12a"/>
      </w:pPr>
      <w:r w:rsidRPr="00246076">
        <w:t>65.</w:t>
      </w:r>
      <w:r w:rsidRPr="00246076">
        <w:tab/>
        <w:t>vyzýva Komisiu, aby pokračovala v začleňovaní cieľov udržateľného rozvoja do budúcich akčných plánov cezhraničnej spolupráce, aby sa na žiadne miesto a na nikoho nezabudlo;</w:t>
      </w:r>
    </w:p>
    <w:p w:rsidR="00485152" w:rsidRPr="00246076" w:rsidRDefault="00485152" w:rsidP="00485152">
      <w:pPr>
        <w:pStyle w:val="NormalHanging12a"/>
      </w:pPr>
      <w:r w:rsidRPr="00246076">
        <w:t>66.</w:t>
      </w:r>
      <w:r w:rsidRPr="00246076">
        <w:tab/>
        <w:t>vyzýva Komisiu, aby ďalej spolupracovala s partnerskými štátmi s cieľom podporovať cezhraničnú spoluprácu a zároveň v prípade potreby poskytovala know-how s cieľom pomôcť partnerským orgánom partnerských štátov a zlepšiť informácie, ktoré sa im poskytujú, pokiaľ ide o postupy a podmienky prístupu k financovaniu EÚ;</w:t>
      </w:r>
    </w:p>
    <w:p w:rsidR="00485152" w:rsidRPr="00246076" w:rsidRDefault="00485152" w:rsidP="00485152">
      <w:pPr>
        <w:pStyle w:val="NormalHanging12a"/>
      </w:pPr>
      <w:r w:rsidRPr="00246076">
        <w:t>67.</w:t>
      </w:r>
      <w:r w:rsidRPr="00246076">
        <w:tab/>
        <w:t>žiada, aby sa zvýšil celkový rozpočet na cezhraničnú územnú spoluprácu;</w:t>
      </w:r>
    </w:p>
    <w:p w:rsidR="00485152" w:rsidRPr="00246076" w:rsidRDefault="00485152" w:rsidP="00485152">
      <w:pPr>
        <w:pStyle w:val="NormalHanging12a"/>
      </w:pPr>
      <w:r w:rsidRPr="00246076">
        <w:t>68.</w:t>
      </w:r>
      <w:r w:rsidRPr="00246076">
        <w:tab/>
        <w:t>domnieva sa, že vytvorenie spoločných cezhraničných rád miestnych samospráv, ako napríklad rada zriadená medzi Rumunskom a Moldavskom na pomoc pri rozvoji spoločných projektov spoločného záujmu, by mohlo byť dobrým príkladom;</w:t>
      </w:r>
    </w:p>
    <w:p w:rsidR="00485152" w:rsidRPr="00246076" w:rsidRDefault="00485152" w:rsidP="00485152">
      <w:pPr>
        <w:pStyle w:val="NormalHanging12a"/>
      </w:pPr>
      <w:r w:rsidRPr="00246076">
        <w:t>69.</w:t>
      </w:r>
      <w:r w:rsidRPr="00246076">
        <w:tab/>
        <w:t xml:space="preserve">podporuje úsilie priblížiť partnerské krajiny k EÚ, stimulovať vnútorné reformy a budovanie kapacít na miestnej a regionálnej úrovni a podporovať miestnu demokraciu, viacúrovňové riadenie a decentralizovanú spoluprácu, a to aj prostredníctvom spolupráce v rámci parlamentného zhromaždenia </w:t>
      </w:r>
      <w:proofErr w:type="spellStart"/>
      <w:r w:rsidRPr="00246076">
        <w:t>EuroNest</w:t>
      </w:r>
      <w:proofErr w:type="spellEnd"/>
      <w:r w:rsidRPr="00246076">
        <w:t xml:space="preserve"> a Konferencie regionálnych a miestnych orgánov krajín Východného partnerstva (CORLEAP) pre východné susedstvo a Európsko-stredomorského zhromaždenia regionálnych a miestnych samospráv (ARLEM) a Parlamentného zhromaždenia Únie pre Stredozemie (PA-</w:t>
      </w:r>
      <w:proofErr w:type="spellStart"/>
      <w:r w:rsidRPr="00246076">
        <w:t>UfM</w:t>
      </w:r>
      <w:proofErr w:type="spellEnd"/>
      <w:r w:rsidRPr="00246076">
        <w:t>) pre južné susedstvo;</w:t>
      </w:r>
    </w:p>
    <w:p w:rsidR="00485152" w:rsidRPr="00246076" w:rsidRDefault="00485152" w:rsidP="00485152">
      <w:pPr>
        <w:pStyle w:val="NormalHanging12a"/>
      </w:pPr>
      <w:r w:rsidRPr="00246076">
        <w:t>70.</w:t>
      </w:r>
      <w:r w:rsidRPr="00246076">
        <w:tab/>
        <w:t>zdôrazňuje, že je potrebné zintenzívniť úsilie a vyčleniť viac zdrojov na cezhraničné projekty zamerané na rozvoj infraštruktúry IT a rozšírenie prístupu k širokopásmovým sieťam s cieľom podporiť hospodársku a sociálnu spoluprácu medzi cezhraničnými regiónmi; zdôrazňuje kľúčovú úlohu, ktorú môžu technológie a inovácie vyvolané umelou inteligenciou zohrávať pri posilňovaní prepojení, podpore udržateľného rozvoja a zlepšovaní a zjednodušovaní administratívnych postupov;</w:t>
      </w:r>
    </w:p>
    <w:p w:rsidR="00485152" w:rsidRPr="00246076" w:rsidRDefault="00485152" w:rsidP="00485152">
      <w:pPr>
        <w:pStyle w:val="NormalHanging12a"/>
      </w:pPr>
      <w:r w:rsidRPr="00246076">
        <w:t>71.</w:t>
      </w:r>
      <w:r w:rsidRPr="00246076">
        <w:tab/>
        <w:t>zdôrazňuje, že je dôležité identifikovať a zabrániť prekrývaniu projektov a zbytočným výdavkom medzi rôznymi európskymi programami a iniciatívami;</w:t>
      </w:r>
    </w:p>
    <w:p w:rsidR="00485152" w:rsidRPr="00246076" w:rsidRDefault="00485152" w:rsidP="00485152">
      <w:pPr>
        <w:pStyle w:val="NormalHanging12a"/>
      </w:pPr>
      <w:r w:rsidRPr="00246076">
        <w:t>72.</w:t>
      </w:r>
      <w:r w:rsidRPr="00246076">
        <w:tab/>
        <w:t>odporúča vykonávať pravidelné hodnotenia projektov cezhraničnej spolupráce s cieľom zabezpečiť efektívne využívanie finančných zdrojov EÚ;</w:t>
      </w:r>
    </w:p>
    <w:p w:rsidR="00E8590B" w:rsidRPr="00246076" w:rsidRDefault="00E8590B" w:rsidP="00E8590B">
      <w:pPr>
        <w:pStyle w:val="NormalHanging12a"/>
        <w:widowControl/>
        <w:ind w:left="0" w:firstLine="0"/>
        <w:jc w:val="center"/>
        <w:rPr>
          <w:szCs w:val="24"/>
        </w:rPr>
      </w:pPr>
      <w:r w:rsidRPr="00246076">
        <w:rPr>
          <w:szCs w:val="24"/>
        </w:rPr>
        <w:lastRenderedPageBreak/>
        <w:t>°</w:t>
      </w:r>
    </w:p>
    <w:p w:rsidR="00E8590B" w:rsidRPr="00246076" w:rsidRDefault="00E8590B" w:rsidP="00E8590B">
      <w:pPr>
        <w:pStyle w:val="NormalHanging12a"/>
        <w:widowControl/>
        <w:ind w:left="0" w:firstLine="0"/>
        <w:jc w:val="center"/>
        <w:rPr>
          <w:szCs w:val="24"/>
        </w:rPr>
      </w:pPr>
      <w:r w:rsidRPr="00246076">
        <w:rPr>
          <w:szCs w:val="24"/>
        </w:rPr>
        <w:t>°     °</w:t>
      </w:r>
    </w:p>
    <w:p w:rsidR="00485152" w:rsidRPr="00246076" w:rsidRDefault="00485152" w:rsidP="00E8590B">
      <w:pPr>
        <w:pStyle w:val="NormalHanging12a"/>
      </w:pPr>
      <w:r w:rsidRPr="00246076">
        <w:t>73.</w:t>
      </w:r>
      <w:r w:rsidRPr="00246076">
        <w:tab/>
        <w:t>poveruje svoju predsedníčku, aby postúpila toto uznesenie Európskej rade, Rade, Komisii, Európskemu hospodárskemu a sociálnemu výboru, Výboru regiónov a národným a regionálnym parlamentom členských štátov.</w:t>
      </w:r>
    </w:p>
    <w:sectPr w:rsidR="00485152" w:rsidRPr="00246076" w:rsidSect="00B80E1A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Page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802E0" w:rsidRPr="00B80E1A" w:rsidRDefault="009802E0">
      <w:r w:rsidRPr="00B80E1A">
        <w:separator/>
      </w:r>
    </w:p>
  </w:endnote>
  <w:endnote w:type="continuationSeparator" w:id="0">
    <w:p w:rsidR="009802E0" w:rsidRPr="00B80E1A" w:rsidRDefault="009802E0">
      <w:r w:rsidRPr="00B80E1A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B80E1A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B80E1A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B80E1A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802E0" w:rsidRPr="00B80E1A" w:rsidRDefault="009802E0">
      <w:r w:rsidRPr="00B80E1A">
        <w:separator/>
      </w:r>
    </w:p>
  </w:footnote>
  <w:footnote w:type="continuationSeparator" w:id="0">
    <w:p w:rsidR="009802E0" w:rsidRPr="00B80E1A" w:rsidRDefault="009802E0">
      <w:r w:rsidRPr="00B80E1A">
        <w:continuationSeparator/>
      </w:r>
    </w:p>
  </w:footnote>
  <w:footnote w:id="1">
    <w:p w:rsidR="00485152" w:rsidRPr="00B80E1A" w:rsidRDefault="00485152" w:rsidP="00B80E1A">
      <w:pPr>
        <w:pStyle w:val="FootnoteText"/>
        <w:ind w:left="567" w:hanging="567"/>
        <w:rPr>
          <w:sz w:val="24"/>
          <w:lang w:val="sk-SK"/>
        </w:rPr>
      </w:pPr>
      <w:r w:rsidRPr="00B80E1A">
        <w:rPr>
          <w:rStyle w:val="FootnoteReference"/>
          <w:sz w:val="24"/>
          <w:lang w:val="sk-SK"/>
        </w:rPr>
        <w:footnoteRef/>
      </w:r>
      <w:r w:rsidR="00B80E1A" w:rsidRPr="00B80E1A">
        <w:rPr>
          <w:sz w:val="24"/>
          <w:lang w:val="sk-SK"/>
        </w:rPr>
        <w:t xml:space="preserve"> </w:t>
      </w:r>
      <w:r w:rsidR="00B80E1A" w:rsidRPr="00B80E1A">
        <w:rPr>
          <w:sz w:val="24"/>
          <w:lang w:val="sk-SK"/>
        </w:rPr>
        <w:tab/>
      </w:r>
      <w:r w:rsidRPr="00B80E1A">
        <w:rPr>
          <w:sz w:val="24"/>
          <w:lang w:val="sk-SK"/>
        </w:rPr>
        <w:t>Ú. v. EÚ L 231, 30.6.2021, s. 159.</w:t>
      </w:r>
    </w:p>
  </w:footnote>
  <w:footnote w:id="2">
    <w:p w:rsidR="00485152" w:rsidRPr="00B80E1A" w:rsidRDefault="00485152" w:rsidP="00B80E1A">
      <w:pPr>
        <w:pStyle w:val="FootnoteText"/>
        <w:ind w:left="567" w:hanging="567"/>
        <w:rPr>
          <w:sz w:val="24"/>
          <w:lang w:val="sk-SK"/>
        </w:rPr>
      </w:pPr>
      <w:r w:rsidRPr="00B80E1A">
        <w:rPr>
          <w:rStyle w:val="FootnoteReference"/>
          <w:sz w:val="24"/>
          <w:lang w:val="sk-SK"/>
        </w:rPr>
        <w:footnoteRef/>
      </w:r>
      <w:r w:rsidR="00B80E1A" w:rsidRPr="00B80E1A">
        <w:rPr>
          <w:sz w:val="24"/>
          <w:lang w:val="sk-SK"/>
        </w:rPr>
        <w:t xml:space="preserve"> </w:t>
      </w:r>
      <w:r w:rsidR="00B80E1A" w:rsidRPr="00B80E1A">
        <w:rPr>
          <w:sz w:val="24"/>
          <w:lang w:val="sk-SK"/>
        </w:rPr>
        <w:tab/>
      </w:r>
      <w:r w:rsidRPr="00B80E1A">
        <w:rPr>
          <w:sz w:val="24"/>
          <w:lang w:val="sk-SK"/>
        </w:rPr>
        <w:t>Ú. v. EÚ L 231, 30.6.2021, s. 60.</w:t>
      </w:r>
    </w:p>
  </w:footnote>
  <w:footnote w:id="3">
    <w:p w:rsidR="00485152" w:rsidRPr="00B80E1A" w:rsidRDefault="00485152" w:rsidP="00B80E1A">
      <w:pPr>
        <w:pStyle w:val="FootnoteText"/>
        <w:ind w:left="567" w:hanging="567"/>
        <w:rPr>
          <w:sz w:val="24"/>
          <w:lang w:val="sk-SK"/>
        </w:rPr>
      </w:pPr>
      <w:r w:rsidRPr="00B80E1A">
        <w:rPr>
          <w:rStyle w:val="FootnoteReference"/>
          <w:sz w:val="24"/>
          <w:lang w:val="sk-SK"/>
        </w:rPr>
        <w:footnoteRef/>
      </w:r>
      <w:r w:rsidR="00B80E1A" w:rsidRPr="00B80E1A">
        <w:rPr>
          <w:sz w:val="24"/>
          <w:lang w:val="sk-SK"/>
        </w:rPr>
        <w:t xml:space="preserve"> </w:t>
      </w:r>
      <w:r w:rsidR="00B80E1A" w:rsidRPr="00B80E1A">
        <w:rPr>
          <w:sz w:val="24"/>
          <w:lang w:val="sk-SK"/>
        </w:rPr>
        <w:tab/>
      </w:r>
      <w:r w:rsidRPr="00B80E1A">
        <w:rPr>
          <w:sz w:val="24"/>
          <w:lang w:val="sk-SK"/>
        </w:rPr>
        <w:t>Ú. v. EÚ L 231, 30.6.2021, s. 94.</w:t>
      </w:r>
    </w:p>
  </w:footnote>
  <w:footnote w:id="4">
    <w:p w:rsidR="00485152" w:rsidRPr="00B80E1A" w:rsidRDefault="00485152" w:rsidP="00B80E1A">
      <w:pPr>
        <w:pStyle w:val="FootnoteText"/>
        <w:ind w:left="567" w:hanging="567"/>
        <w:rPr>
          <w:sz w:val="24"/>
          <w:lang w:val="sk-SK"/>
        </w:rPr>
      </w:pPr>
      <w:r w:rsidRPr="00B80E1A">
        <w:rPr>
          <w:rStyle w:val="FootnoteReference"/>
          <w:sz w:val="24"/>
          <w:lang w:val="sk-SK"/>
        </w:rPr>
        <w:footnoteRef/>
      </w:r>
      <w:r w:rsidR="00B80E1A" w:rsidRPr="00B80E1A">
        <w:rPr>
          <w:sz w:val="24"/>
          <w:lang w:val="sk-SK"/>
        </w:rPr>
        <w:t xml:space="preserve"> </w:t>
      </w:r>
      <w:r w:rsidR="00B80E1A" w:rsidRPr="00B80E1A">
        <w:rPr>
          <w:sz w:val="24"/>
          <w:lang w:val="sk-SK"/>
        </w:rPr>
        <w:tab/>
      </w:r>
      <w:r w:rsidRPr="00B80E1A">
        <w:rPr>
          <w:sz w:val="24"/>
          <w:lang w:val="sk-SK"/>
        </w:rPr>
        <w:t>Ú. v. EÚ L 109, 8.4.2022, s. 1.</w:t>
      </w:r>
    </w:p>
  </w:footnote>
  <w:footnote w:id="5">
    <w:p w:rsidR="00485152" w:rsidRPr="00B80E1A" w:rsidRDefault="00485152" w:rsidP="00B80E1A">
      <w:pPr>
        <w:pStyle w:val="FootnoteText"/>
        <w:ind w:left="567" w:hanging="567"/>
        <w:rPr>
          <w:sz w:val="24"/>
          <w:lang w:val="sk-SK"/>
        </w:rPr>
      </w:pPr>
      <w:r w:rsidRPr="00B80E1A">
        <w:rPr>
          <w:rStyle w:val="FootnoteReference"/>
          <w:sz w:val="24"/>
          <w:lang w:val="sk-SK"/>
        </w:rPr>
        <w:footnoteRef/>
      </w:r>
      <w:r w:rsidR="00B80E1A" w:rsidRPr="00B80E1A">
        <w:rPr>
          <w:sz w:val="24"/>
          <w:lang w:val="sk-SK"/>
        </w:rPr>
        <w:t xml:space="preserve"> </w:t>
      </w:r>
      <w:r w:rsidR="00B80E1A" w:rsidRPr="00B80E1A">
        <w:rPr>
          <w:sz w:val="24"/>
          <w:lang w:val="sk-SK"/>
        </w:rPr>
        <w:tab/>
      </w:r>
      <w:r w:rsidRPr="00B80E1A">
        <w:rPr>
          <w:sz w:val="24"/>
          <w:lang w:val="sk-SK"/>
        </w:rPr>
        <w:t>Ú. v. EÚ L 210, 31.7.2006, s. 19.</w:t>
      </w:r>
    </w:p>
  </w:footnote>
  <w:footnote w:id="6">
    <w:p w:rsidR="00485152" w:rsidRPr="00B80E1A" w:rsidRDefault="00485152" w:rsidP="00B80E1A">
      <w:pPr>
        <w:pStyle w:val="FootnoteText"/>
        <w:ind w:left="567" w:hanging="567"/>
        <w:rPr>
          <w:sz w:val="24"/>
          <w:lang w:val="sk-SK"/>
        </w:rPr>
      </w:pPr>
      <w:r w:rsidRPr="00B80E1A">
        <w:rPr>
          <w:rStyle w:val="FootnoteReference"/>
          <w:sz w:val="24"/>
          <w:lang w:val="sk-SK"/>
        </w:rPr>
        <w:footnoteRef/>
      </w:r>
      <w:r w:rsidR="00B80E1A" w:rsidRPr="00B80E1A">
        <w:rPr>
          <w:sz w:val="24"/>
          <w:lang w:val="sk-SK"/>
        </w:rPr>
        <w:t xml:space="preserve"> </w:t>
      </w:r>
      <w:r w:rsidR="00B80E1A" w:rsidRPr="00B80E1A">
        <w:rPr>
          <w:sz w:val="24"/>
          <w:lang w:val="sk-SK"/>
        </w:rPr>
        <w:tab/>
      </w:r>
      <w:r w:rsidRPr="00B80E1A">
        <w:rPr>
          <w:sz w:val="24"/>
          <w:lang w:val="sk-SK"/>
        </w:rPr>
        <w:t>Ú. v. EÚ C 111 I, 3.4.2020, s. 1.</w:t>
      </w:r>
    </w:p>
  </w:footnote>
  <w:footnote w:id="7">
    <w:p w:rsidR="00485152" w:rsidRPr="00B80E1A" w:rsidRDefault="00485152" w:rsidP="00B80E1A">
      <w:pPr>
        <w:pStyle w:val="FootnoteText"/>
        <w:ind w:left="567" w:hanging="567"/>
        <w:rPr>
          <w:sz w:val="24"/>
          <w:lang w:val="sk-SK"/>
        </w:rPr>
      </w:pPr>
      <w:r w:rsidRPr="00B80E1A">
        <w:rPr>
          <w:rStyle w:val="FootnoteReference"/>
          <w:sz w:val="24"/>
          <w:lang w:val="sk-SK"/>
        </w:rPr>
        <w:footnoteRef/>
      </w:r>
      <w:r w:rsidR="00B80E1A" w:rsidRPr="00B80E1A">
        <w:rPr>
          <w:sz w:val="24"/>
          <w:lang w:val="sk-SK"/>
        </w:rPr>
        <w:t xml:space="preserve"> </w:t>
      </w:r>
      <w:r w:rsidR="00B80E1A" w:rsidRPr="00B80E1A">
        <w:rPr>
          <w:sz w:val="24"/>
          <w:lang w:val="sk-SK"/>
        </w:rPr>
        <w:tab/>
      </w:r>
      <w:r w:rsidRPr="00B80E1A">
        <w:rPr>
          <w:sz w:val="24"/>
          <w:lang w:val="sk-SK"/>
        </w:rPr>
        <w:t>Ú. v. EÚ C 125, 5.4.2023, s. 100.</w:t>
      </w:r>
    </w:p>
  </w:footnote>
  <w:footnote w:id="8">
    <w:p w:rsidR="00485152" w:rsidRPr="00B80E1A" w:rsidRDefault="00485152" w:rsidP="00B80E1A">
      <w:pPr>
        <w:pStyle w:val="FootnoteText"/>
        <w:ind w:left="567" w:hanging="567"/>
        <w:rPr>
          <w:sz w:val="24"/>
          <w:lang w:val="sk-SK"/>
        </w:rPr>
      </w:pPr>
      <w:r w:rsidRPr="00B80E1A">
        <w:rPr>
          <w:rStyle w:val="FootnoteReference"/>
          <w:sz w:val="24"/>
          <w:lang w:val="sk-SK"/>
        </w:rPr>
        <w:footnoteRef/>
      </w:r>
      <w:r w:rsidR="00B80E1A" w:rsidRPr="00B80E1A">
        <w:rPr>
          <w:sz w:val="24"/>
          <w:lang w:val="sk-SK"/>
        </w:rPr>
        <w:t xml:space="preserve"> </w:t>
      </w:r>
      <w:r w:rsidR="00B80E1A" w:rsidRPr="00B80E1A">
        <w:rPr>
          <w:sz w:val="24"/>
          <w:lang w:val="sk-SK"/>
        </w:rPr>
        <w:tab/>
      </w:r>
      <w:r w:rsidRPr="00B80E1A">
        <w:rPr>
          <w:sz w:val="24"/>
          <w:lang w:val="sk-SK"/>
        </w:rPr>
        <w:t>Prijaté texty, P9_TA(2023)0133.</w:t>
      </w:r>
    </w:p>
  </w:footnote>
  <w:footnote w:id="9">
    <w:p w:rsidR="00485152" w:rsidRPr="00B80E1A" w:rsidRDefault="00485152" w:rsidP="00B80E1A">
      <w:pPr>
        <w:pStyle w:val="FootnoteText"/>
        <w:ind w:left="567" w:hanging="567"/>
        <w:rPr>
          <w:sz w:val="24"/>
          <w:lang w:val="sk-SK"/>
        </w:rPr>
      </w:pPr>
      <w:r w:rsidRPr="00B80E1A">
        <w:rPr>
          <w:rStyle w:val="FootnoteReference"/>
          <w:sz w:val="24"/>
          <w:lang w:val="sk-SK"/>
        </w:rPr>
        <w:footnoteRef/>
      </w:r>
      <w:r w:rsidR="00B80E1A" w:rsidRPr="00B80E1A">
        <w:rPr>
          <w:sz w:val="24"/>
          <w:lang w:val="sk-SK"/>
        </w:rPr>
        <w:t xml:space="preserve"> </w:t>
      </w:r>
      <w:r w:rsidR="00B80E1A" w:rsidRPr="00B80E1A">
        <w:rPr>
          <w:sz w:val="24"/>
          <w:lang w:val="sk-SK"/>
        </w:rPr>
        <w:tab/>
      </w:r>
      <w:r w:rsidRPr="00B80E1A">
        <w:rPr>
          <w:sz w:val="24"/>
          <w:lang w:val="sk-SK"/>
        </w:rPr>
        <w:t>Ú. v. EÚ C 162, 10.5.2019, s. 24.</w:t>
      </w:r>
    </w:p>
  </w:footnote>
  <w:footnote w:id="10">
    <w:p w:rsidR="00485152" w:rsidRPr="00B80E1A" w:rsidRDefault="00485152" w:rsidP="00B80E1A">
      <w:pPr>
        <w:pStyle w:val="FootnoteText"/>
        <w:ind w:left="567" w:hanging="567"/>
        <w:rPr>
          <w:sz w:val="24"/>
          <w:lang w:val="sk-SK"/>
        </w:rPr>
      </w:pPr>
      <w:r w:rsidRPr="00B80E1A">
        <w:rPr>
          <w:rStyle w:val="FootnoteReference"/>
          <w:sz w:val="24"/>
          <w:lang w:val="sk-SK"/>
        </w:rPr>
        <w:footnoteRef/>
      </w:r>
      <w:r w:rsidR="00B80E1A" w:rsidRPr="00B80E1A">
        <w:rPr>
          <w:sz w:val="24"/>
          <w:lang w:val="sk-SK"/>
        </w:rPr>
        <w:t xml:space="preserve"> </w:t>
      </w:r>
      <w:r w:rsidR="00B80E1A" w:rsidRPr="00B80E1A">
        <w:rPr>
          <w:sz w:val="24"/>
          <w:lang w:val="sk-SK"/>
        </w:rPr>
        <w:tab/>
      </w:r>
      <w:r w:rsidRPr="00B80E1A">
        <w:rPr>
          <w:sz w:val="24"/>
          <w:lang w:val="sk-SK"/>
        </w:rPr>
        <w:t xml:space="preserve">Štúdia – </w:t>
      </w:r>
      <w:r w:rsidRPr="00B80E1A">
        <w:rPr>
          <w:i/>
          <w:iCs/>
          <w:sz w:val="24"/>
          <w:lang w:val="sk-SK"/>
        </w:rPr>
        <w:t xml:space="preserve">EU </w:t>
      </w:r>
      <w:proofErr w:type="spellStart"/>
      <w:r w:rsidRPr="00B80E1A">
        <w:rPr>
          <w:i/>
          <w:iCs/>
          <w:sz w:val="24"/>
          <w:lang w:val="sk-SK"/>
        </w:rPr>
        <w:t>lagging</w:t>
      </w:r>
      <w:proofErr w:type="spellEnd"/>
      <w:r w:rsidRPr="00B80E1A">
        <w:rPr>
          <w:i/>
          <w:iCs/>
          <w:sz w:val="24"/>
          <w:lang w:val="sk-SK"/>
        </w:rPr>
        <w:t xml:space="preserve"> </w:t>
      </w:r>
      <w:proofErr w:type="spellStart"/>
      <w:r w:rsidRPr="00B80E1A">
        <w:rPr>
          <w:i/>
          <w:iCs/>
          <w:sz w:val="24"/>
          <w:lang w:val="sk-SK"/>
        </w:rPr>
        <w:t>regions</w:t>
      </w:r>
      <w:proofErr w:type="spellEnd"/>
      <w:r w:rsidRPr="00B80E1A">
        <w:rPr>
          <w:i/>
          <w:iCs/>
          <w:sz w:val="24"/>
          <w:lang w:val="sk-SK"/>
        </w:rPr>
        <w:t>:</w:t>
      </w:r>
      <w:r w:rsidRPr="00B80E1A">
        <w:rPr>
          <w:sz w:val="24"/>
          <w:lang w:val="sk-SK"/>
        </w:rPr>
        <w:t xml:space="preserve"> </w:t>
      </w:r>
      <w:r w:rsidRPr="00B80E1A">
        <w:rPr>
          <w:i/>
          <w:iCs/>
          <w:sz w:val="24"/>
          <w:lang w:val="sk-SK"/>
        </w:rPr>
        <w:t xml:space="preserve">state of </w:t>
      </w:r>
      <w:proofErr w:type="spellStart"/>
      <w:r w:rsidRPr="00B80E1A">
        <w:rPr>
          <w:i/>
          <w:iCs/>
          <w:sz w:val="24"/>
          <w:lang w:val="sk-SK"/>
        </w:rPr>
        <w:t>play</w:t>
      </w:r>
      <w:proofErr w:type="spellEnd"/>
      <w:r w:rsidRPr="00B80E1A">
        <w:rPr>
          <w:i/>
          <w:iCs/>
          <w:sz w:val="24"/>
          <w:lang w:val="sk-SK"/>
        </w:rPr>
        <w:t xml:space="preserve"> and </w:t>
      </w:r>
      <w:proofErr w:type="spellStart"/>
      <w:r w:rsidRPr="00B80E1A">
        <w:rPr>
          <w:i/>
          <w:iCs/>
          <w:sz w:val="24"/>
          <w:lang w:val="sk-SK"/>
        </w:rPr>
        <w:t>future</w:t>
      </w:r>
      <w:proofErr w:type="spellEnd"/>
      <w:r w:rsidRPr="00B80E1A">
        <w:rPr>
          <w:i/>
          <w:iCs/>
          <w:sz w:val="24"/>
          <w:lang w:val="sk-SK"/>
        </w:rPr>
        <w:t xml:space="preserve"> </w:t>
      </w:r>
      <w:proofErr w:type="spellStart"/>
      <w:r w:rsidRPr="00B80E1A">
        <w:rPr>
          <w:i/>
          <w:iCs/>
          <w:sz w:val="24"/>
          <w:lang w:val="sk-SK"/>
        </w:rPr>
        <w:t>challenges</w:t>
      </w:r>
      <w:proofErr w:type="spellEnd"/>
      <w:r w:rsidRPr="00B80E1A">
        <w:rPr>
          <w:sz w:val="24"/>
          <w:lang w:val="sk-SK"/>
        </w:rPr>
        <w:t>, Európsky parlament, generálne riaditeľstvo pre parlamentné výskumné služby, september 2020.</w:t>
      </w:r>
    </w:p>
  </w:footnote>
  <w:footnote w:id="11">
    <w:p w:rsidR="00485152" w:rsidRPr="00B80E1A" w:rsidRDefault="00485152" w:rsidP="00B80E1A">
      <w:pPr>
        <w:pStyle w:val="FootnoteText"/>
        <w:ind w:left="567" w:hanging="567"/>
        <w:rPr>
          <w:sz w:val="24"/>
          <w:lang w:val="sk-SK"/>
        </w:rPr>
      </w:pPr>
      <w:r w:rsidRPr="00B80E1A">
        <w:rPr>
          <w:rStyle w:val="FootnoteReference"/>
          <w:sz w:val="24"/>
          <w:lang w:val="sk-SK"/>
        </w:rPr>
        <w:footnoteRef/>
      </w:r>
      <w:r w:rsidR="00B80E1A" w:rsidRPr="00B80E1A">
        <w:rPr>
          <w:sz w:val="24"/>
          <w:lang w:val="sk-SK"/>
        </w:rPr>
        <w:t xml:space="preserve"> </w:t>
      </w:r>
      <w:r w:rsidR="00B80E1A" w:rsidRPr="00B80E1A">
        <w:rPr>
          <w:sz w:val="24"/>
          <w:lang w:val="sk-SK"/>
        </w:rPr>
        <w:tab/>
      </w:r>
      <w:r w:rsidRPr="00B80E1A">
        <w:rPr>
          <w:sz w:val="24"/>
          <w:lang w:val="sk-SK"/>
        </w:rPr>
        <w:t>Ú. v. EÚ C 433, 23.12.2019, s. 24.</w:t>
      </w:r>
    </w:p>
  </w:footnote>
  <w:footnote w:id="12">
    <w:p w:rsidR="00485152" w:rsidRPr="00B80E1A" w:rsidRDefault="00485152" w:rsidP="00B80E1A">
      <w:pPr>
        <w:pStyle w:val="FootnoteText"/>
        <w:ind w:left="567" w:hanging="567"/>
        <w:rPr>
          <w:sz w:val="24"/>
          <w:lang w:val="sk-SK"/>
        </w:rPr>
      </w:pPr>
      <w:r w:rsidRPr="00B80E1A">
        <w:rPr>
          <w:rStyle w:val="FootnoteReference"/>
          <w:sz w:val="24"/>
          <w:lang w:val="sk-SK"/>
        </w:rPr>
        <w:footnoteRef/>
      </w:r>
      <w:r w:rsidR="00B80E1A" w:rsidRPr="00B80E1A">
        <w:rPr>
          <w:sz w:val="24"/>
          <w:lang w:val="sk-SK"/>
        </w:rPr>
        <w:t xml:space="preserve"> </w:t>
      </w:r>
      <w:r w:rsidR="00B80E1A" w:rsidRPr="00B80E1A">
        <w:rPr>
          <w:sz w:val="24"/>
          <w:lang w:val="sk-SK"/>
        </w:rPr>
        <w:tab/>
      </w:r>
      <w:r w:rsidRPr="00B80E1A">
        <w:rPr>
          <w:sz w:val="24"/>
          <w:lang w:val="sk-SK"/>
        </w:rPr>
        <w:t xml:space="preserve">Medzivládny panel o zmene klímy, </w:t>
      </w:r>
      <w:proofErr w:type="spellStart"/>
      <w:r w:rsidRPr="00B80E1A">
        <w:rPr>
          <w:i/>
          <w:iCs/>
          <w:sz w:val="24"/>
          <w:lang w:val="sk-SK"/>
        </w:rPr>
        <w:t>Climate</w:t>
      </w:r>
      <w:proofErr w:type="spellEnd"/>
      <w:r w:rsidRPr="00B80E1A">
        <w:rPr>
          <w:i/>
          <w:iCs/>
          <w:sz w:val="24"/>
          <w:lang w:val="sk-SK"/>
        </w:rPr>
        <w:t xml:space="preserve"> Change 2022:</w:t>
      </w:r>
      <w:r w:rsidRPr="00B80E1A">
        <w:rPr>
          <w:sz w:val="24"/>
          <w:lang w:val="sk-SK"/>
        </w:rPr>
        <w:t xml:space="preserve"> </w:t>
      </w:r>
      <w:proofErr w:type="spellStart"/>
      <w:r w:rsidRPr="00B80E1A">
        <w:rPr>
          <w:i/>
          <w:iCs/>
          <w:sz w:val="24"/>
          <w:lang w:val="sk-SK"/>
        </w:rPr>
        <w:t>Mitigation</w:t>
      </w:r>
      <w:proofErr w:type="spellEnd"/>
      <w:r w:rsidRPr="00B80E1A">
        <w:rPr>
          <w:i/>
          <w:iCs/>
          <w:sz w:val="24"/>
          <w:lang w:val="sk-SK"/>
        </w:rPr>
        <w:t xml:space="preserve"> of </w:t>
      </w:r>
      <w:proofErr w:type="spellStart"/>
      <w:r w:rsidRPr="00B80E1A">
        <w:rPr>
          <w:i/>
          <w:iCs/>
          <w:sz w:val="24"/>
          <w:lang w:val="sk-SK"/>
        </w:rPr>
        <w:t>Climate</w:t>
      </w:r>
      <w:proofErr w:type="spellEnd"/>
      <w:r w:rsidRPr="00B80E1A">
        <w:rPr>
          <w:i/>
          <w:iCs/>
          <w:sz w:val="24"/>
          <w:lang w:val="sk-SK"/>
        </w:rPr>
        <w:t xml:space="preserve"> Change.</w:t>
      </w:r>
      <w:r w:rsidRPr="00B80E1A">
        <w:rPr>
          <w:sz w:val="24"/>
          <w:lang w:val="sk-SK"/>
        </w:rPr>
        <w:t xml:space="preserve"> </w:t>
      </w:r>
      <w:proofErr w:type="spellStart"/>
      <w:r w:rsidRPr="00B80E1A">
        <w:rPr>
          <w:i/>
          <w:iCs/>
          <w:sz w:val="24"/>
          <w:lang w:val="sk-SK"/>
        </w:rPr>
        <w:t>Contribution</w:t>
      </w:r>
      <w:proofErr w:type="spellEnd"/>
      <w:r w:rsidRPr="00B80E1A">
        <w:rPr>
          <w:i/>
          <w:iCs/>
          <w:sz w:val="24"/>
          <w:lang w:val="sk-SK"/>
        </w:rPr>
        <w:t xml:space="preserve"> of </w:t>
      </w:r>
      <w:proofErr w:type="spellStart"/>
      <w:r w:rsidRPr="00B80E1A">
        <w:rPr>
          <w:i/>
          <w:iCs/>
          <w:sz w:val="24"/>
          <w:lang w:val="sk-SK"/>
        </w:rPr>
        <w:t>Working</w:t>
      </w:r>
      <w:proofErr w:type="spellEnd"/>
      <w:r w:rsidRPr="00B80E1A">
        <w:rPr>
          <w:i/>
          <w:iCs/>
          <w:sz w:val="24"/>
          <w:lang w:val="sk-SK"/>
        </w:rPr>
        <w:t xml:space="preserve"> Group III to </w:t>
      </w:r>
      <w:proofErr w:type="spellStart"/>
      <w:r w:rsidRPr="00B80E1A">
        <w:rPr>
          <w:i/>
          <w:iCs/>
          <w:sz w:val="24"/>
          <w:lang w:val="sk-SK"/>
        </w:rPr>
        <w:t>the</w:t>
      </w:r>
      <w:proofErr w:type="spellEnd"/>
      <w:r w:rsidRPr="00B80E1A">
        <w:rPr>
          <w:i/>
          <w:iCs/>
          <w:sz w:val="24"/>
          <w:lang w:val="sk-SK"/>
        </w:rPr>
        <w:t xml:space="preserve"> </w:t>
      </w:r>
      <w:proofErr w:type="spellStart"/>
      <w:r w:rsidRPr="00B80E1A">
        <w:rPr>
          <w:i/>
          <w:iCs/>
          <w:sz w:val="24"/>
          <w:lang w:val="sk-SK"/>
        </w:rPr>
        <w:t>Sixth</w:t>
      </w:r>
      <w:proofErr w:type="spellEnd"/>
      <w:r w:rsidRPr="00B80E1A">
        <w:rPr>
          <w:i/>
          <w:iCs/>
          <w:sz w:val="24"/>
          <w:lang w:val="sk-SK"/>
        </w:rPr>
        <w:t xml:space="preserve"> </w:t>
      </w:r>
      <w:proofErr w:type="spellStart"/>
      <w:r w:rsidRPr="00B80E1A">
        <w:rPr>
          <w:i/>
          <w:iCs/>
          <w:sz w:val="24"/>
          <w:lang w:val="sk-SK"/>
        </w:rPr>
        <w:t>Assessment</w:t>
      </w:r>
      <w:proofErr w:type="spellEnd"/>
      <w:r w:rsidRPr="00B80E1A">
        <w:rPr>
          <w:i/>
          <w:iCs/>
          <w:sz w:val="24"/>
          <w:lang w:val="sk-SK"/>
        </w:rPr>
        <w:t xml:space="preserve"> Report of </w:t>
      </w:r>
      <w:proofErr w:type="spellStart"/>
      <w:r w:rsidRPr="00B80E1A">
        <w:rPr>
          <w:i/>
          <w:iCs/>
          <w:sz w:val="24"/>
          <w:lang w:val="sk-SK"/>
        </w:rPr>
        <w:t>the</w:t>
      </w:r>
      <w:proofErr w:type="spellEnd"/>
      <w:r w:rsidRPr="00B80E1A">
        <w:rPr>
          <w:i/>
          <w:iCs/>
          <w:sz w:val="24"/>
          <w:lang w:val="sk-SK"/>
        </w:rPr>
        <w:t xml:space="preserve"> </w:t>
      </w:r>
      <w:proofErr w:type="spellStart"/>
      <w:r w:rsidRPr="00B80E1A">
        <w:rPr>
          <w:i/>
          <w:iCs/>
          <w:sz w:val="24"/>
          <w:lang w:val="sk-SK"/>
        </w:rPr>
        <w:t>Intergovernmental</w:t>
      </w:r>
      <w:proofErr w:type="spellEnd"/>
      <w:r w:rsidRPr="00B80E1A">
        <w:rPr>
          <w:i/>
          <w:iCs/>
          <w:sz w:val="24"/>
          <w:lang w:val="sk-SK"/>
        </w:rPr>
        <w:t xml:space="preserve"> Panel on </w:t>
      </w:r>
      <w:proofErr w:type="spellStart"/>
      <w:r w:rsidRPr="00B80E1A">
        <w:rPr>
          <w:i/>
          <w:iCs/>
          <w:sz w:val="24"/>
          <w:lang w:val="sk-SK"/>
        </w:rPr>
        <w:t>Climate</w:t>
      </w:r>
      <w:proofErr w:type="spellEnd"/>
      <w:r w:rsidRPr="00B80E1A">
        <w:rPr>
          <w:i/>
          <w:iCs/>
          <w:sz w:val="24"/>
          <w:lang w:val="sk-SK"/>
        </w:rPr>
        <w:t xml:space="preserve"> Change</w:t>
      </w:r>
      <w:r w:rsidRPr="00B80E1A">
        <w:rPr>
          <w:sz w:val="24"/>
          <w:lang w:val="sk-SK"/>
        </w:rPr>
        <w:t xml:space="preserve"> (</w:t>
      </w:r>
      <w:proofErr w:type="spellStart"/>
      <w:r w:rsidRPr="00B80E1A">
        <w:rPr>
          <w:sz w:val="24"/>
          <w:lang w:val="sk-SK"/>
        </w:rPr>
        <w:t>Shukla</w:t>
      </w:r>
      <w:proofErr w:type="spellEnd"/>
      <w:r w:rsidRPr="00B80E1A">
        <w:rPr>
          <w:sz w:val="24"/>
          <w:lang w:val="sk-SK"/>
        </w:rPr>
        <w:t xml:space="preserve">, P. R. a kol., </w:t>
      </w:r>
      <w:proofErr w:type="spellStart"/>
      <w:r w:rsidRPr="00B80E1A">
        <w:rPr>
          <w:sz w:val="24"/>
          <w:lang w:val="sk-SK"/>
        </w:rPr>
        <w:t>ed</w:t>
      </w:r>
      <w:proofErr w:type="spellEnd"/>
      <w:r w:rsidRPr="00B80E1A">
        <w:rPr>
          <w:sz w:val="24"/>
          <w:lang w:val="sk-SK"/>
        </w:rPr>
        <w:t xml:space="preserve">.), </w:t>
      </w:r>
      <w:proofErr w:type="spellStart"/>
      <w:r w:rsidRPr="00B80E1A">
        <w:rPr>
          <w:sz w:val="24"/>
          <w:lang w:val="sk-SK"/>
        </w:rPr>
        <w:t>Cambridge</w:t>
      </w:r>
      <w:proofErr w:type="spellEnd"/>
      <w:r w:rsidRPr="00B80E1A">
        <w:rPr>
          <w:sz w:val="24"/>
          <w:lang w:val="sk-SK"/>
        </w:rPr>
        <w:t xml:space="preserve"> </w:t>
      </w:r>
      <w:proofErr w:type="spellStart"/>
      <w:r w:rsidRPr="00B80E1A">
        <w:rPr>
          <w:sz w:val="24"/>
          <w:lang w:val="sk-SK"/>
        </w:rPr>
        <w:t>University</w:t>
      </w:r>
      <w:proofErr w:type="spellEnd"/>
      <w:r w:rsidRPr="00B80E1A">
        <w:rPr>
          <w:sz w:val="24"/>
          <w:lang w:val="sk-SK"/>
        </w:rPr>
        <w:t xml:space="preserve"> Press, </w:t>
      </w:r>
      <w:proofErr w:type="spellStart"/>
      <w:r w:rsidRPr="00B80E1A">
        <w:rPr>
          <w:sz w:val="24"/>
          <w:lang w:val="sk-SK"/>
        </w:rPr>
        <w:t>Cambridge</w:t>
      </w:r>
      <w:proofErr w:type="spellEnd"/>
      <w:r w:rsidRPr="00B80E1A">
        <w:rPr>
          <w:sz w:val="24"/>
          <w:lang w:val="sk-SK"/>
        </w:rPr>
        <w:t xml:space="preserve">, Spojené kráľovstvo a New York, NY, USA, 2022. </w:t>
      </w:r>
    </w:p>
  </w:footnote>
  <w:footnote w:id="13">
    <w:p w:rsidR="00485152" w:rsidRPr="00B80E1A" w:rsidRDefault="00485152" w:rsidP="00B80E1A">
      <w:pPr>
        <w:pStyle w:val="FootnoteText"/>
        <w:ind w:left="567" w:hanging="567"/>
        <w:rPr>
          <w:sz w:val="24"/>
          <w:lang w:val="sk-SK"/>
        </w:rPr>
      </w:pPr>
      <w:r w:rsidRPr="00B80E1A">
        <w:rPr>
          <w:rStyle w:val="FootnoteReference"/>
          <w:sz w:val="24"/>
          <w:lang w:val="sk-SK"/>
        </w:rPr>
        <w:footnoteRef/>
      </w:r>
      <w:r w:rsidR="00B80E1A" w:rsidRPr="00B80E1A">
        <w:rPr>
          <w:sz w:val="24"/>
          <w:lang w:val="sk-SK"/>
        </w:rPr>
        <w:t xml:space="preserve"> </w:t>
      </w:r>
      <w:r w:rsidR="00B80E1A" w:rsidRPr="00B80E1A">
        <w:rPr>
          <w:sz w:val="24"/>
          <w:lang w:val="sk-SK"/>
        </w:rPr>
        <w:tab/>
      </w:r>
      <w:r w:rsidRPr="00B80E1A">
        <w:rPr>
          <w:sz w:val="24"/>
          <w:lang w:val="sk-SK"/>
        </w:rPr>
        <w:t>Ú. v. EÚ C 440, 29.10.2021, s. 6.</w:t>
      </w:r>
    </w:p>
  </w:footnote>
  <w:footnote w:id="14">
    <w:p w:rsidR="00485152" w:rsidRPr="00B80E1A" w:rsidRDefault="00485152" w:rsidP="00B80E1A">
      <w:pPr>
        <w:pStyle w:val="FootnoteText"/>
        <w:ind w:left="567" w:hanging="567"/>
        <w:rPr>
          <w:sz w:val="24"/>
          <w:lang w:val="sk-SK"/>
        </w:rPr>
      </w:pPr>
      <w:r w:rsidRPr="00B80E1A">
        <w:rPr>
          <w:rStyle w:val="FootnoteReference"/>
          <w:sz w:val="24"/>
          <w:lang w:val="sk-SK"/>
        </w:rPr>
        <w:footnoteRef/>
      </w:r>
      <w:r w:rsidR="00B80E1A" w:rsidRPr="00B80E1A">
        <w:rPr>
          <w:sz w:val="24"/>
          <w:lang w:val="sk-SK"/>
        </w:rPr>
        <w:t xml:space="preserve"> </w:t>
      </w:r>
      <w:r w:rsidR="00B80E1A" w:rsidRPr="00B80E1A">
        <w:rPr>
          <w:sz w:val="24"/>
          <w:lang w:val="sk-SK"/>
        </w:rPr>
        <w:tab/>
      </w:r>
      <w:r w:rsidRPr="00B80E1A">
        <w:rPr>
          <w:sz w:val="24"/>
          <w:lang w:val="sk-SK"/>
        </w:rPr>
        <w:t>Ú. v. EÚ C 207, 30.6.2017, s. 19.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B80E1A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B80E1A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B80E1A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5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Page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9-0415/2023"/>
    <w:docVar w:name="dvlangue" w:val="SK"/>
    <w:docVar w:name="dvnumam" w:val="0"/>
    <w:docVar w:name="dvpe" w:val="751.733"/>
    <w:docVar w:name="dvrapporteur" w:val="Spravodajca: "/>
    <w:docVar w:name="dvtitre" w:val="Uznesenie Európskeho parlamentu z xx. januára 2024 o súčasných a budúcich výzvach cezhraničnej spolupráce so susednými krajinami(2023/2076(INI))"/>
  </w:docVars>
  <w:rsids>
    <w:rsidRoot w:val="009802E0"/>
    <w:rsid w:val="00002272"/>
    <w:rsid w:val="00064002"/>
    <w:rsid w:val="000677B9"/>
    <w:rsid w:val="000831BA"/>
    <w:rsid w:val="000A42CC"/>
    <w:rsid w:val="000E7DD9"/>
    <w:rsid w:val="0010095E"/>
    <w:rsid w:val="00125B37"/>
    <w:rsid w:val="001261A6"/>
    <w:rsid w:val="00187494"/>
    <w:rsid w:val="001F32AE"/>
    <w:rsid w:val="00246076"/>
    <w:rsid w:val="002767FF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71C19"/>
    <w:rsid w:val="00485152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6037C0"/>
    <w:rsid w:val="00656F32"/>
    <w:rsid w:val="006631B6"/>
    <w:rsid w:val="00676F4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C1F14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05CF3"/>
    <w:rsid w:val="00930C23"/>
    <w:rsid w:val="0093193B"/>
    <w:rsid w:val="009509D8"/>
    <w:rsid w:val="00950B64"/>
    <w:rsid w:val="009802E0"/>
    <w:rsid w:val="00981893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80E1A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E365E1"/>
    <w:rsid w:val="00E820A4"/>
    <w:rsid w:val="00E8590B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  <w:rsid w:val="00FE2E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901B46F-12CC-4A7C-BFAB-4A10A4E806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sk-SK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Hanging12a">
    <w:name w:val="NormalHanging12a"/>
    <w:basedOn w:val="Normal"/>
    <w:link w:val="NormalHanging12aChar"/>
    <w:rsid w:val="00485152"/>
    <w:pPr>
      <w:spacing w:after="240"/>
      <w:ind w:left="567" w:hanging="567"/>
    </w:pPr>
  </w:style>
  <w:style w:type="paragraph" w:customStyle="1" w:styleId="EPComma">
    <w:name w:val="EPComma"/>
    <w:basedOn w:val="Normal"/>
    <w:rsid w:val="00485152"/>
    <w:pPr>
      <w:spacing w:before="480" w:after="240"/>
    </w:pPr>
  </w:style>
  <w:style w:type="character" w:customStyle="1" w:styleId="y2iqfc">
    <w:name w:val="y2iqfc"/>
    <w:basedOn w:val="DefaultParagraphFont"/>
    <w:rsid w:val="00485152"/>
  </w:style>
  <w:style w:type="character" w:customStyle="1" w:styleId="NormalHanging12aChar">
    <w:name w:val="NormalHanging12a Char"/>
    <w:basedOn w:val="DefaultParagraphFont"/>
    <w:link w:val="NormalHanging12a"/>
    <w:rsid w:val="00485152"/>
    <w:rPr>
      <w:sz w:val="24"/>
      <w:lang w:val="sk-SK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0FCD18A-198B-4D78-8571-5643A4F9BC1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12</Pages>
  <Words>4182</Words>
  <Characters>27008</Characters>
  <Application>Microsoft Office Word</Application>
  <DocSecurity>0</DocSecurity>
  <Lines>750</Lines>
  <Paragraphs>375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30815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SOLTYSOVA Zuzana</dc:creator>
  <cp:keywords/>
  <cp:lastModifiedBy>SOLTYSOVA Zuzana</cp:lastModifiedBy>
  <cp:revision>2</cp:revision>
  <cp:lastPrinted>2004-11-19T15:42:00Z</cp:lastPrinted>
  <dcterms:created xsi:type="dcterms:W3CDTF">2024-01-16T11:56:00Z</dcterms:created>
  <dcterms:modified xsi:type="dcterms:W3CDTF">2024-01-16T11:56:00Z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SK</vt:lpwstr>
  </property>
  <property fmtid="{D5CDD505-2E9C-101B-9397-08002B2CF9AE}" pid="3" name="&lt;FdR&gt;">
    <vt:lpwstr>A9-0415/2023</vt:lpwstr>
  </property>
  <property fmtid="{D5CDD505-2E9C-101B-9397-08002B2CF9AE}" pid="4" name="&lt;Type&gt;">
    <vt:lpwstr>RR</vt:lpwstr>
  </property>
</Properties>
</file>