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0B72" w:rsidTr="0010095E">
        <w:trPr>
          <w:trHeight w:hRule="exact" w:val="1418"/>
        </w:trPr>
        <w:tc>
          <w:tcPr>
            <w:tcW w:w="6804" w:type="dxa"/>
            <w:shd w:val="clear" w:color="auto" w:fill="auto"/>
            <w:vAlign w:val="center"/>
          </w:tcPr>
          <w:p w:rsidR="00751A4A" w:rsidRPr="00D70B72" w:rsidRDefault="0034733D" w:rsidP="0010095E">
            <w:pPr>
              <w:pStyle w:val="EPName"/>
            </w:pPr>
            <w:r w:rsidRPr="00D70B72">
              <w:t>Europaparlamentet</w:t>
            </w:r>
          </w:p>
          <w:p w:rsidR="00751A4A" w:rsidRPr="00D70B72" w:rsidRDefault="00817416" w:rsidP="00756632">
            <w:pPr>
              <w:pStyle w:val="EPTerm"/>
              <w:rPr>
                <w:rStyle w:val="HideTWBExt"/>
                <w:noProof w:val="0"/>
                <w:vanish w:val="0"/>
                <w:color w:val="auto"/>
              </w:rPr>
            </w:pPr>
            <w:r w:rsidRPr="00D70B72">
              <w:t>2019-2024</w:t>
            </w:r>
          </w:p>
        </w:tc>
        <w:tc>
          <w:tcPr>
            <w:tcW w:w="2268" w:type="dxa"/>
            <w:shd w:val="clear" w:color="auto" w:fill="auto"/>
          </w:tcPr>
          <w:p w:rsidR="00751A4A" w:rsidRPr="00D70B72" w:rsidRDefault="00187494" w:rsidP="0010095E">
            <w:pPr>
              <w:pStyle w:val="EPLogo"/>
            </w:pPr>
            <w:r w:rsidRPr="00D70B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0B72" w:rsidRDefault="00D058B8" w:rsidP="004C5D52">
      <w:pPr>
        <w:pStyle w:val="LineTop"/>
      </w:pPr>
    </w:p>
    <w:p w:rsidR="00680577" w:rsidRPr="00D70B72" w:rsidRDefault="0034733D" w:rsidP="00680577">
      <w:pPr>
        <w:pStyle w:val="EPBodyTA1"/>
      </w:pPr>
      <w:r w:rsidRPr="00D70B72">
        <w:t>ANTAGNA TEXTER</w:t>
      </w:r>
    </w:p>
    <w:p w:rsidR="00D058B8" w:rsidRPr="00D70B72" w:rsidRDefault="00D058B8" w:rsidP="00D058B8">
      <w:pPr>
        <w:pStyle w:val="LineBottom"/>
      </w:pPr>
    </w:p>
    <w:p w:rsidR="0034733D" w:rsidRPr="00D70B72" w:rsidRDefault="0034733D" w:rsidP="0034733D">
      <w:pPr>
        <w:pStyle w:val="ATHeading1"/>
      </w:pPr>
      <w:bookmarkStart w:id="0" w:name="TANumber"/>
      <w:r w:rsidRPr="00D70B72">
        <w:t>P9_TA(2024)00</w:t>
      </w:r>
      <w:r w:rsidR="00D70B72" w:rsidRPr="00D70B72">
        <w:t>15</w:t>
      </w:r>
      <w:bookmarkEnd w:id="0"/>
    </w:p>
    <w:p w:rsidR="0034733D" w:rsidRPr="00D70B72" w:rsidRDefault="0034733D" w:rsidP="0034733D">
      <w:pPr>
        <w:pStyle w:val="ATHeading2"/>
      </w:pPr>
      <w:bookmarkStart w:id="1" w:name="title"/>
      <w:r w:rsidRPr="00D70B72">
        <w:t>Nuvarande och framtida utmaningar för det gränsöverskridande samarbetet med grannländerna</w:t>
      </w:r>
      <w:bookmarkEnd w:id="1"/>
    </w:p>
    <w:p w:rsidR="0034733D" w:rsidRPr="00D70B72" w:rsidRDefault="0034733D" w:rsidP="0034733D">
      <w:pPr>
        <w:rPr>
          <w:i/>
          <w:vanish/>
        </w:rPr>
      </w:pPr>
      <w:r w:rsidRPr="00D70B72">
        <w:rPr>
          <w:i/>
        </w:rPr>
        <w:fldChar w:fldCharType="begin"/>
      </w:r>
      <w:r w:rsidRPr="00D70B72">
        <w:rPr>
          <w:i/>
        </w:rPr>
        <w:instrText xml:space="preserve"> TC"(</w:instrText>
      </w:r>
      <w:bookmarkStart w:id="2" w:name="DocNumber"/>
      <w:r w:rsidRPr="00D70B72">
        <w:rPr>
          <w:i/>
        </w:rPr>
        <w:instrText>A9-0415/2023</w:instrText>
      </w:r>
      <w:bookmarkEnd w:id="2"/>
      <w:r w:rsidRPr="00D70B72">
        <w:rPr>
          <w:i/>
        </w:rPr>
        <w:instrText xml:space="preserve"> - Föredragande: Daniel Buda)"\l3 \n&gt; \* MERGEFORMAT </w:instrText>
      </w:r>
      <w:r w:rsidRPr="00D70B72">
        <w:rPr>
          <w:i/>
        </w:rPr>
        <w:fldChar w:fldCharType="end"/>
      </w:r>
    </w:p>
    <w:p w:rsidR="0034733D" w:rsidRPr="00D70B72" w:rsidRDefault="0034733D" w:rsidP="0034733D">
      <w:pPr>
        <w:rPr>
          <w:vanish/>
        </w:rPr>
      </w:pPr>
      <w:bookmarkStart w:id="3" w:name="Commission"/>
      <w:r w:rsidRPr="00D70B72">
        <w:rPr>
          <w:vanish/>
        </w:rPr>
        <w:t>Utskottet för regional utveckling</w:t>
      </w:r>
      <w:bookmarkEnd w:id="3"/>
    </w:p>
    <w:p w:rsidR="0034733D" w:rsidRPr="00D70B72" w:rsidRDefault="0034733D" w:rsidP="0034733D">
      <w:pPr>
        <w:rPr>
          <w:vanish/>
        </w:rPr>
      </w:pPr>
      <w:bookmarkStart w:id="4" w:name="PE"/>
      <w:r w:rsidRPr="00D70B72">
        <w:rPr>
          <w:vanish/>
        </w:rPr>
        <w:t>PE751.733</w:t>
      </w:r>
      <w:bookmarkEnd w:id="4"/>
    </w:p>
    <w:p w:rsidR="0034733D" w:rsidRPr="00D70B72" w:rsidRDefault="0034733D" w:rsidP="0034733D">
      <w:pPr>
        <w:pStyle w:val="ATHeading3"/>
      </w:pPr>
      <w:bookmarkStart w:id="5" w:name="Sujet"/>
      <w:r w:rsidRPr="00D70B72">
        <w:t xml:space="preserve">Europaparlamentets resolution av den </w:t>
      </w:r>
      <w:r w:rsidR="00DD435B" w:rsidRPr="00D70B72">
        <w:t>16</w:t>
      </w:r>
      <w:r w:rsidRPr="00D70B72">
        <w:t xml:space="preserve"> </w:t>
      </w:r>
      <w:r w:rsidR="00DD435B" w:rsidRPr="00D70B72">
        <w:t>januari</w:t>
      </w:r>
      <w:r w:rsidRPr="00D70B72">
        <w:t xml:space="preserve"> 2024 om nuvarande och framtida utmaningar för det gränsöverskridande samarbetet med grannländerna</w:t>
      </w:r>
      <w:bookmarkEnd w:id="5"/>
      <w:r w:rsidRPr="00D70B72">
        <w:t xml:space="preserve"> </w:t>
      </w:r>
      <w:bookmarkStart w:id="6" w:name="References"/>
      <w:r w:rsidRPr="00D70B72">
        <w:t>(2023/2076(INI))</w:t>
      </w:r>
      <w:bookmarkEnd w:id="6"/>
    </w:p>
    <w:p w:rsidR="009D529C" w:rsidRPr="00D70B72" w:rsidRDefault="009D529C" w:rsidP="009D529C">
      <w:pPr>
        <w:pStyle w:val="EPComma"/>
        <w:widowControl/>
      </w:pPr>
      <w:bookmarkStart w:id="7" w:name="TextBodyBegin"/>
      <w:bookmarkEnd w:id="7"/>
      <w:r w:rsidRPr="00D70B72">
        <w:rPr>
          <w:i/>
        </w:rPr>
        <w:t>Europaparlamentet utfärdar denna resolution</w:t>
      </w:r>
    </w:p>
    <w:p w:rsidR="009D529C" w:rsidRPr="00D70B72" w:rsidRDefault="009D529C" w:rsidP="009D529C">
      <w:pPr>
        <w:pStyle w:val="NormalHanging12a"/>
        <w:widowControl/>
        <w:rPr>
          <w:snapToGrid w:val="0"/>
        </w:rPr>
      </w:pPr>
      <w:r w:rsidRPr="00D70B72">
        <w:t>–</w:t>
      </w:r>
      <w:r w:rsidRPr="00D70B72">
        <w:tab/>
        <w:t>med beaktande av artikel 3 i fördraget om Europeiska unionen</w:t>
      </w:r>
      <w:r w:rsidR="00DD435B" w:rsidRPr="00D70B72">
        <w:t xml:space="preserve"> (</w:t>
      </w:r>
      <w:r w:rsidR="00DD435B" w:rsidRPr="00D70B72">
        <w:rPr>
          <w:i/>
        </w:rPr>
        <w:t>EU-fördraget</w:t>
      </w:r>
      <w:r w:rsidR="00DD435B" w:rsidRPr="00D70B72">
        <w:t>)</w:t>
      </w:r>
      <w:r w:rsidRPr="00D70B72">
        <w:t xml:space="preserve"> och artiklarna 4, 162, 174–178 och 349 i fördraget om Europeiska unionens funktionssätt,</w:t>
      </w:r>
    </w:p>
    <w:p w:rsidR="009D529C" w:rsidRPr="00D70B72" w:rsidRDefault="009D529C" w:rsidP="009D529C">
      <w:pPr>
        <w:pStyle w:val="NormalHanging12a"/>
        <w:widowControl/>
        <w:rPr>
          <w:snapToGrid w:val="0"/>
        </w:rPr>
      </w:pPr>
      <w:r w:rsidRPr="00D70B72">
        <w:t>–</w:t>
      </w:r>
      <w:r w:rsidRPr="00D70B72">
        <w:tab/>
        <w:t>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fonder och för Asyl- migrations- och integrationsfonden, Fonden för inre säkerhet samt instrumentet för ekonomiskt stöd för gränsförvaltning och viseringspolitik</w:t>
      </w:r>
      <w:r w:rsidRPr="00D70B72">
        <w:rPr>
          <w:rStyle w:val="FootnoteReference"/>
        </w:rPr>
        <w:footnoteReference w:id="1"/>
      </w:r>
      <w:r w:rsidRPr="00D70B72">
        <w:t>,</w:t>
      </w:r>
    </w:p>
    <w:p w:rsidR="009D529C" w:rsidRPr="00D70B72" w:rsidRDefault="009D529C" w:rsidP="009D529C">
      <w:pPr>
        <w:pStyle w:val="NormalHanging12a"/>
        <w:widowControl/>
        <w:rPr>
          <w:snapToGrid w:val="0"/>
        </w:rPr>
      </w:pPr>
      <w:r w:rsidRPr="00D70B72">
        <w:t>–</w:t>
      </w:r>
      <w:r w:rsidRPr="00D70B72">
        <w:tab/>
        <w:t>med beaktande av Europaparlamentets och rådets förordning (EU) 2021/1058 av den 24 juni 2021 om Europeiska regionala utvecklingsfonden och Sammanhållningsfonden</w:t>
      </w:r>
      <w:r w:rsidRPr="00D70B72">
        <w:rPr>
          <w:rStyle w:val="FootnoteReference"/>
        </w:rPr>
        <w:footnoteReference w:id="2"/>
      </w:r>
      <w:r w:rsidRPr="00D70B72">
        <w:t>,</w:t>
      </w:r>
    </w:p>
    <w:p w:rsidR="009D529C" w:rsidRPr="00D70B72" w:rsidRDefault="009D529C" w:rsidP="009D529C">
      <w:pPr>
        <w:pStyle w:val="NormalHanging12a"/>
        <w:widowControl/>
        <w:rPr>
          <w:snapToGrid w:val="0"/>
        </w:rPr>
      </w:pPr>
      <w:r w:rsidRPr="00D70B72">
        <w:t>–</w:t>
      </w:r>
      <w:r w:rsidRPr="00D70B72">
        <w:tab/>
        <w:t>med beaktande av Europaparlamentets och rådets förordning (EU) 2021/1059 av den 24 juni 2021 om särskilda bestämmelser för målet Europeiskt territoriellt samarbete (Interreg) med stöd av Europeiska regionala utvecklingsfonden och finansieringsinstrument för yttre åtgärder</w:t>
      </w:r>
      <w:r w:rsidRPr="00D70B72">
        <w:rPr>
          <w:rStyle w:val="FootnoteReference"/>
        </w:rPr>
        <w:footnoteReference w:id="3"/>
      </w:r>
      <w:r w:rsidRPr="00D70B72">
        <w:t>,</w:t>
      </w:r>
    </w:p>
    <w:p w:rsidR="009D529C" w:rsidRPr="00D70B72" w:rsidRDefault="009D529C" w:rsidP="009D529C">
      <w:pPr>
        <w:pStyle w:val="NormalHanging12a"/>
        <w:widowControl/>
        <w:rPr>
          <w:snapToGrid w:val="0"/>
        </w:rPr>
      </w:pPr>
      <w:r w:rsidRPr="00D70B72">
        <w:t>–</w:t>
      </w:r>
      <w:r w:rsidRPr="00D70B72">
        <w:tab/>
        <w:t>med beaktande av Europaparlamentets och rådets förordning (EU) 2022/562 av den 6 april 2022 om ändring av förordningarna (EU) nr 1303/2013 och (EU) nr 223/2014 vad gäller sammanhållningspolitiska insatser för flyktingar i Europa (Care)</w:t>
      </w:r>
      <w:r w:rsidRPr="00D70B72">
        <w:rPr>
          <w:rStyle w:val="FootnoteReference"/>
        </w:rPr>
        <w:footnoteReference w:id="4"/>
      </w:r>
      <w:r w:rsidRPr="00D70B72">
        <w:t>,</w:t>
      </w:r>
    </w:p>
    <w:p w:rsidR="009D529C" w:rsidRPr="00D70B72" w:rsidRDefault="009D529C" w:rsidP="009D529C">
      <w:pPr>
        <w:pStyle w:val="NormalHanging12a"/>
        <w:widowControl/>
        <w:rPr>
          <w:snapToGrid w:val="0"/>
        </w:rPr>
      </w:pPr>
      <w:r w:rsidRPr="00D70B72">
        <w:lastRenderedPageBreak/>
        <w:t>–</w:t>
      </w:r>
      <w:r w:rsidRPr="00D70B72">
        <w:tab/>
        <w:t>med beaktande av Europaparlamentets och rådets förordning (EG) nr 1082/2006 av den 5 juli 2006 om en europeisk gruppering för territoriellt samarbete (EGTS)</w:t>
      </w:r>
      <w:r w:rsidRPr="00D70B72">
        <w:rPr>
          <w:rStyle w:val="FootnoteReference"/>
        </w:rPr>
        <w:footnoteReference w:id="5"/>
      </w:r>
      <w:r w:rsidRPr="00D70B72">
        <w:t>,</w:t>
      </w:r>
    </w:p>
    <w:p w:rsidR="009D529C" w:rsidRPr="00D70B72" w:rsidRDefault="009D529C" w:rsidP="009D529C">
      <w:pPr>
        <w:pStyle w:val="NormalHanging12a"/>
        <w:widowControl/>
        <w:rPr>
          <w:snapToGrid w:val="0"/>
        </w:rPr>
      </w:pPr>
      <w:r w:rsidRPr="00D70B72">
        <w:t>–</w:t>
      </w:r>
      <w:r w:rsidRPr="00D70B72">
        <w:tab/>
        <w:t>med beaktande av kommissionens förslag av den 29 maj 2018 till Europaparlamentets och rådets förordning om en mekanism för lösning av rättsliga och administrativa problem i ett gränsöverskridande sammanhang (COM(2018)0373),</w:t>
      </w:r>
    </w:p>
    <w:p w:rsidR="009D529C" w:rsidRPr="00D70B72" w:rsidRDefault="009D529C" w:rsidP="009D529C">
      <w:pPr>
        <w:pStyle w:val="NormalHanging12a"/>
        <w:widowControl/>
        <w:rPr>
          <w:snapToGrid w:val="0"/>
        </w:rPr>
      </w:pPr>
      <w:r w:rsidRPr="00D70B72">
        <w:t>–</w:t>
      </w:r>
      <w:r w:rsidRPr="00D70B72">
        <w:tab/>
        <w:t xml:space="preserve">med beaktande av kommissionens meddelande av den 20 september 2017 </w:t>
      </w:r>
      <w:r w:rsidRPr="00D70B72">
        <w:rPr>
          <w:i/>
          <w:iCs/>
        </w:rPr>
        <w:t>Att stärka tillväxt och sammanhållning i EU:s gränsområden</w:t>
      </w:r>
      <w:r w:rsidRPr="00D70B72">
        <w:t xml:space="preserve"> (COM(2017)0534),</w:t>
      </w:r>
    </w:p>
    <w:p w:rsidR="009D529C" w:rsidRPr="00D70B72" w:rsidRDefault="009D529C" w:rsidP="009D529C">
      <w:pPr>
        <w:pStyle w:val="NormalHanging12a"/>
        <w:widowControl/>
        <w:rPr>
          <w:snapToGrid w:val="0"/>
        </w:rPr>
      </w:pPr>
      <w:r w:rsidRPr="00D70B72">
        <w:t>–</w:t>
      </w:r>
      <w:r w:rsidRPr="00D70B72">
        <w:tab/>
        <w:t xml:space="preserve">med beaktande av kommissionens meddelande av den 3 april 2020 </w:t>
      </w:r>
      <w:r w:rsidRPr="00D70B72">
        <w:rPr>
          <w:i/>
          <w:iCs/>
        </w:rPr>
        <w:t>Riktlinjer om EU:s katastrofbistånd och om gränsöverskridande samarbete inom hälso- och sjukvård i samband med covid-19-krisen</w:t>
      </w:r>
      <w:r w:rsidRPr="00D70B72">
        <w:rPr>
          <w:rStyle w:val="FootnoteReference"/>
        </w:rPr>
        <w:footnoteReference w:id="6"/>
      </w:r>
      <w:r w:rsidRPr="00D70B72">
        <w:t>,</w:t>
      </w:r>
    </w:p>
    <w:p w:rsidR="009D529C" w:rsidRPr="00D70B72" w:rsidRDefault="009D529C" w:rsidP="009D529C">
      <w:pPr>
        <w:pStyle w:val="NormalHanging12a"/>
        <w:widowControl/>
        <w:rPr>
          <w:snapToGrid w:val="0"/>
        </w:rPr>
      </w:pPr>
      <w:r w:rsidRPr="00D70B72">
        <w:t>–</w:t>
      </w:r>
      <w:r w:rsidRPr="00D70B72">
        <w:tab/>
        <w:t>med beaktande av kommissionens meddelande av den 30 september 2020 om att förverkliga det europeiska området för utbildning senast 2025 (COM(2020)0625),</w:t>
      </w:r>
    </w:p>
    <w:p w:rsidR="009D529C" w:rsidRPr="00D70B72" w:rsidRDefault="009D529C" w:rsidP="009D529C">
      <w:pPr>
        <w:pStyle w:val="NormalHanging12a"/>
        <w:widowControl/>
      </w:pPr>
      <w:r w:rsidRPr="00D70B72">
        <w:t>–</w:t>
      </w:r>
      <w:r w:rsidRPr="00D70B72">
        <w:tab/>
        <w:t>med beaktande av sin resolution av den 15 september 2022 om den ekonomiska, sociala och territoriella sammanhållningen i unionen: åttonde sammanhållningsrapporten</w:t>
      </w:r>
      <w:r w:rsidRPr="00D70B72">
        <w:rPr>
          <w:rStyle w:val="FootnoteReference"/>
        </w:rPr>
        <w:footnoteReference w:id="7"/>
      </w:r>
      <w:r w:rsidRPr="00D70B72">
        <w:t>,</w:t>
      </w:r>
    </w:p>
    <w:p w:rsidR="009D529C" w:rsidRPr="00D70B72" w:rsidRDefault="009D529C" w:rsidP="009D529C">
      <w:pPr>
        <w:pStyle w:val="NormalHanging12a"/>
        <w:widowControl/>
      </w:pPr>
      <w:r w:rsidRPr="00D70B72">
        <w:t>–</w:t>
      </w:r>
      <w:r w:rsidRPr="00D70B72">
        <w:tab/>
        <w:t>med beaktande av sin resolution den 9 maj 2023 om sammanhållningspolitikens roll i hanteringen av flerdimensionella miljöutmaningar i Medelhavsområdet</w:t>
      </w:r>
      <w:r w:rsidRPr="00D70B72">
        <w:rPr>
          <w:rStyle w:val="FootnoteReference"/>
        </w:rPr>
        <w:footnoteReference w:id="8"/>
      </w:r>
      <w:r w:rsidRPr="00D70B72">
        <w:t>,</w:t>
      </w:r>
    </w:p>
    <w:p w:rsidR="009D529C" w:rsidRPr="00D70B72" w:rsidRDefault="009D529C" w:rsidP="009D529C">
      <w:pPr>
        <w:pStyle w:val="NormalHanging12a"/>
        <w:widowControl/>
      </w:pPr>
      <w:r w:rsidRPr="00D70B72">
        <w:t>–</w:t>
      </w:r>
      <w:r w:rsidRPr="00D70B72">
        <w:tab/>
        <w:t>med beaktande av sin resolution av den 13 mars 2018 om regioner som släpar efter i EU</w:t>
      </w:r>
      <w:r w:rsidRPr="00D70B72">
        <w:rPr>
          <w:rStyle w:val="FootnoteReference"/>
        </w:rPr>
        <w:footnoteReference w:id="9"/>
      </w:r>
      <w:r w:rsidRPr="00D70B72">
        <w:t>,</w:t>
      </w:r>
    </w:p>
    <w:p w:rsidR="009D529C" w:rsidRPr="00D70B72" w:rsidRDefault="009D529C" w:rsidP="009D529C">
      <w:pPr>
        <w:pStyle w:val="NormalHanging12a"/>
        <w:widowControl/>
      </w:pPr>
      <w:r w:rsidRPr="00D70B72">
        <w:t>–</w:t>
      </w:r>
      <w:r w:rsidRPr="00D70B72">
        <w:tab/>
        <w:t xml:space="preserve">med beaktande av studien om regioner som släpar efter i EU: lägesrapport och framtida utmaningar, som offentliggjordes av generaldirektoratet för parlamentarisk utredning och analys den 26 </w:t>
      </w:r>
      <w:r w:rsidR="00706AAC">
        <w:t>oktober</w:t>
      </w:r>
      <w:r w:rsidRPr="00D70B72">
        <w:t xml:space="preserve"> 2020</w:t>
      </w:r>
      <w:r w:rsidRPr="00D70B72">
        <w:rPr>
          <w:rStyle w:val="FootnoteReference"/>
        </w:rPr>
        <w:footnoteReference w:id="10"/>
      </w:r>
      <w:r w:rsidRPr="00D70B72">
        <w:t>,</w:t>
      </w:r>
    </w:p>
    <w:p w:rsidR="009D529C" w:rsidRPr="00D70B72" w:rsidRDefault="009D529C" w:rsidP="009D529C">
      <w:pPr>
        <w:pStyle w:val="NormalHanging12a"/>
        <w:widowControl/>
      </w:pPr>
      <w:r w:rsidRPr="00D70B72">
        <w:t>–</w:t>
      </w:r>
      <w:r w:rsidRPr="00D70B72">
        <w:tab/>
        <w:t>med beaktande av sin resolution av den 11 september 2018 om att stärka tillväxt och sammanhållning i EU:s gränsområden</w:t>
      </w:r>
      <w:r w:rsidRPr="00D70B72">
        <w:rPr>
          <w:rStyle w:val="FootnoteReference"/>
        </w:rPr>
        <w:footnoteReference w:id="11"/>
      </w:r>
      <w:r w:rsidRPr="00D70B72">
        <w:t>,</w:t>
      </w:r>
    </w:p>
    <w:p w:rsidR="009D529C" w:rsidRPr="00D70B72" w:rsidRDefault="009D529C" w:rsidP="009D529C">
      <w:pPr>
        <w:pStyle w:val="NormalHanging12a"/>
        <w:widowControl/>
      </w:pPr>
      <w:r w:rsidRPr="00D70B72">
        <w:t>–</w:t>
      </w:r>
      <w:r w:rsidRPr="00D70B72">
        <w:tab/>
        <w:t xml:space="preserve">med beaktande av 2022 års rapport från FN:s mellanstatliga panel för klimatförändringar </w:t>
      </w:r>
      <w:r w:rsidRPr="00D70B72">
        <w:rPr>
          <w:i/>
          <w:iCs/>
        </w:rPr>
        <w:t>Climate Change 2022:</w:t>
      </w:r>
      <w:r w:rsidRPr="00D70B72">
        <w:t xml:space="preserve"> </w:t>
      </w:r>
      <w:r w:rsidRPr="00D70B72">
        <w:rPr>
          <w:i/>
          <w:iCs/>
        </w:rPr>
        <w:t>Mitigation of Climate Change</w:t>
      </w:r>
      <w:r w:rsidRPr="00D70B72">
        <w:t>, arbetsgrupp III – bidrag till den sjätte utvärderingsrapporten från den mellanstatliga panelen för klimatförändringar</w:t>
      </w:r>
      <w:r w:rsidRPr="00D70B72">
        <w:rPr>
          <w:rStyle w:val="FootnoteReference"/>
        </w:rPr>
        <w:footnoteReference w:id="12"/>
      </w:r>
      <w:r w:rsidRPr="00D70B72">
        <w:t>,</w:t>
      </w:r>
    </w:p>
    <w:p w:rsidR="009D529C" w:rsidRPr="00D70B72" w:rsidRDefault="009D529C" w:rsidP="009D529C">
      <w:pPr>
        <w:pStyle w:val="NormalHanging12a"/>
        <w:widowControl/>
      </w:pPr>
      <w:r w:rsidRPr="00D70B72">
        <w:lastRenderedPageBreak/>
        <w:t>–</w:t>
      </w:r>
      <w:r w:rsidRPr="00D70B72">
        <w:tab/>
        <w:t>med beaktande av det avtal som antogs vid den 21:a partskonferensen för FN:s ramkonvention om klimatförändringar (COP21) i Paris den 12 december 2015 (Parisavtalet),</w:t>
      </w:r>
    </w:p>
    <w:p w:rsidR="009D529C" w:rsidRPr="00D70B72" w:rsidRDefault="009D529C" w:rsidP="009D529C">
      <w:pPr>
        <w:pStyle w:val="NormalHanging12a"/>
        <w:widowControl/>
      </w:pPr>
      <w:r w:rsidRPr="00D70B72">
        <w:t>–</w:t>
      </w:r>
      <w:r w:rsidRPr="00D70B72">
        <w:tab/>
        <w:t>med beaktande av rådets slutsatser av den 19 april 2021 om ett förnyat partnerskap med det södra grannskapet – en ny agenda för Medelhavsområdet,</w:t>
      </w:r>
    </w:p>
    <w:p w:rsidR="009D529C" w:rsidRPr="00D70B72" w:rsidRDefault="009D529C" w:rsidP="009D529C">
      <w:pPr>
        <w:pStyle w:val="NormalHanging12a"/>
        <w:widowControl/>
      </w:pPr>
      <w:r w:rsidRPr="00D70B72">
        <w:t>–</w:t>
      </w:r>
      <w:r w:rsidRPr="00D70B72">
        <w:tab/>
        <w:t xml:space="preserve">med beaktande av resolutionen från Europeiska regionkommittén av den 1 juli 2021 </w:t>
      </w:r>
      <w:r w:rsidRPr="00D70B72">
        <w:rPr>
          <w:i/>
          <w:iCs/>
        </w:rPr>
        <w:t>En vision för Europa: framtiden för det gränsöverskridande samarbetet</w:t>
      </w:r>
      <w:r w:rsidRPr="00D70B72">
        <w:rPr>
          <w:rStyle w:val="FootnoteReference"/>
        </w:rPr>
        <w:footnoteReference w:id="13"/>
      </w:r>
      <w:r w:rsidRPr="00D70B72">
        <w:t>,</w:t>
      </w:r>
    </w:p>
    <w:p w:rsidR="009D529C" w:rsidRPr="00D70B72" w:rsidRDefault="009D529C" w:rsidP="009D529C">
      <w:pPr>
        <w:pStyle w:val="NormalHanging12a"/>
        <w:widowControl/>
      </w:pPr>
      <w:r w:rsidRPr="00D70B72">
        <w:t>–</w:t>
      </w:r>
      <w:r w:rsidRPr="00D70B72">
        <w:tab/>
        <w:t xml:space="preserve">med beaktande av yttrandet från Europeiska regionkommittén av den 8 februari 2017 </w:t>
      </w:r>
      <w:r w:rsidRPr="00D70B72">
        <w:rPr>
          <w:i/>
          <w:iCs/>
        </w:rPr>
        <w:t>Felande transportlänkar i gränsregioner</w:t>
      </w:r>
      <w:r w:rsidRPr="00D70B72">
        <w:rPr>
          <w:rStyle w:val="FootnoteReference"/>
        </w:rPr>
        <w:footnoteReference w:id="14"/>
      </w:r>
      <w:r w:rsidRPr="00D70B72">
        <w:t>,</w:t>
      </w:r>
    </w:p>
    <w:p w:rsidR="009D529C" w:rsidRPr="00D70B72" w:rsidRDefault="009D529C" w:rsidP="009D529C">
      <w:pPr>
        <w:pStyle w:val="NormalHanging12a"/>
        <w:widowControl/>
      </w:pPr>
      <w:r w:rsidRPr="00D70B72">
        <w:t>–</w:t>
      </w:r>
      <w:r w:rsidRPr="00D70B72">
        <w:tab/>
        <w:t>med beaktande av artikel 54 i arbetsordningen,</w:t>
      </w:r>
    </w:p>
    <w:p w:rsidR="009D529C" w:rsidRPr="00D70B72" w:rsidRDefault="009D529C" w:rsidP="009D529C">
      <w:pPr>
        <w:pStyle w:val="NormalHanging12a"/>
        <w:widowControl/>
      </w:pPr>
      <w:r w:rsidRPr="00D70B72">
        <w:t>–</w:t>
      </w:r>
      <w:r w:rsidRPr="00D70B72">
        <w:tab/>
        <w:t>med beaktande av betänkandet från utskottet för regional utveckling (A9-0415/2023), och av följande skäl:</w:t>
      </w:r>
    </w:p>
    <w:p w:rsidR="009D529C" w:rsidRPr="00D70B72" w:rsidRDefault="009D529C" w:rsidP="009D529C">
      <w:pPr>
        <w:pStyle w:val="NormalHanging12a"/>
        <w:widowControl/>
        <w:rPr>
          <w:szCs w:val="24"/>
        </w:rPr>
      </w:pPr>
      <w:r w:rsidRPr="00D70B72">
        <w:t>A.</w:t>
      </w:r>
      <w:r w:rsidRPr="00D70B72">
        <w:tab/>
        <w:t>EU:s gränsöverskridande samarbete med grannländer, antingen vid land- eller sjögränserna, omfattar 184 regioner, 33 länder och 260 miljoner invånare och är en central del av EU:s politik.</w:t>
      </w:r>
    </w:p>
    <w:p w:rsidR="009D529C" w:rsidRPr="00D70B72" w:rsidRDefault="009D529C" w:rsidP="009D529C">
      <w:pPr>
        <w:pStyle w:val="NormalHanging12a"/>
        <w:widowControl/>
      </w:pPr>
      <w:r w:rsidRPr="00D70B72">
        <w:t>B.</w:t>
      </w:r>
      <w:r w:rsidRPr="00D70B72">
        <w:tab/>
        <w:t xml:space="preserve">Enligt artikel 8 i </w:t>
      </w:r>
      <w:r w:rsidR="00DD435B" w:rsidRPr="00D70B72">
        <w:t>EU-</w:t>
      </w:r>
      <w:r w:rsidRPr="00D70B72">
        <w:t>fördraget ska unionen utveckla särskilda förbindelser med närbelägna länder i syfte att skapa ett område med välstånd och god grannsämja som grundar sig på unionens värderingar och utmärks av nära och fredliga förbindelser som bygger på samarbete.</w:t>
      </w:r>
    </w:p>
    <w:p w:rsidR="009D529C" w:rsidRPr="00D70B72" w:rsidRDefault="009D529C" w:rsidP="009D529C">
      <w:pPr>
        <w:pStyle w:val="NormalHanging12a"/>
        <w:widowControl/>
        <w:rPr>
          <w:szCs w:val="24"/>
        </w:rPr>
      </w:pPr>
      <w:r w:rsidRPr="00D70B72">
        <w:t>C.</w:t>
      </w:r>
      <w:r w:rsidRPr="00D70B72">
        <w:tab/>
        <w:t>Gränsöverskridande samarbete är ett viktigt steg i EU:s föranslutningsprocess för kandidatländerna.</w:t>
      </w:r>
    </w:p>
    <w:p w:rsidR="009D529C" w:rsidRPr="00D70B72" w:rsidRDefault="009D529C" w:rsidP="009D529C">
      <w:pPr>
        <w:pStyle w:val="NormalHanging12a"/>
        <w:widowControl/>
      </w:pPr>
      <w:r w:rsidRPr="00D70B72">
        <w:t>D.</w:t>
      </w:r>
      <w:r w:rsidRPr="00D70B72">
        <w:tab/>
        <w:t>Gränsöverskridande samarbete bidrar till fred och hållbar utveckling längs EU:s yttre gränser, stöder demokratiska reformer, respekt för europeiska värden och ekonomisk och social utveckling i gränsområdena, inbegripet miljöskydd, folkhälsotjänster och säkerhetsåtgärder, bidrar till EU:s mål för ett smartare, grönare och mer sammanlänkat EU och grannskap samt till att tillgodose regionala behov när det gäller gott samarbete, samhällsstyrning och gemensamma utmaningar och bidrar till att främja ömsesidig förståelse och ömsesidigt förtroende och till att förebygga framtida konflikter och krig genom instrument såsom Peace+-programmet.</w:t>
      </w:r>
    </w:p>
    <w:p w:rsidR="009D529C" w:rsidRPr="00D70B72" w:rsidRDefault="009D529C" w:rsidP="009D529C">
      <w:pPr>
        <w:pStyle w:val="NormalHanging12a"/>
        <w:widowControl/>
        <w:rPr>
          <w:szCs w:val="24"/>
        </w:rPr>
      </w:pPr>
      <w:r w:rsidRPr="00D70B72">
        <w:t>E.</w:t>
      </w:r>
      <w:r w:rsidRPr="00D70B72">
        <w:tab/>
        <w:t>Den nuvarande geopolitiska situationen bekräftar betydelsen av stabilitet och demokratisk utveckling i länderna och regionerna vid EU:s yttre gränser.</w:t>
      </w:r>
    </w:p>
    <w:p w:rsidR="009D529C" w:rsidRPr="00D70B72" w:rsidRDefault="009D529C" w:rsidP="009D529C">
      <w:pPr>
        <w:pStyle w:val="NormalHanging12a"/>
        <w:widowControl/>
      </w:pPr>
      <w:r w:rsidRPr="00D70B72">
        <w:t>F.</w:t>
      </w:r>
      <w:r w:rsidRPr="00D70B72">
        <w:tab/>
        <w:t>Covid-19-pandemin och i synnerhet Rysslands anfallskrig mot Ukraina har haft en djupgående inverkan på alla gränsöverskridande samarbetsprogram som stöds av det europeiska grannskapsinstrumentet, vilket omfattar Ryssland och Belarus, med stor inverkan på hälften av de program som föreslås för perioden 2021–2027. Sammanhållningspolitiken kan bidra till gränsöverskridande samarbete förutsatt att dess strategiska inriktning bibehålls och att man enas om en stabil budget.</w:t>
      </w:r>
    </w:p>
    <w:p w:rsidR="009D529C" w:rsidRPr="00D70B72" w:rsidRDefault="009D529C" w:rsidP="009D529C">
      <w:pPr>
        <w:pStyle w:val="NormalHanging12a"/>
        <w:widowControl/>
        <w:rPr>
          <w:szCs w:val="24"/>
        </w:rPr>
      </w:pPr>
      <w:r w:rsidRPr="00D70B72">
        <w:lastRenderedPageBreak/>
        <w:t>G</w:t>
      </w:r>
      <w:r w:rsidR="00706AAC">
        <w:t>.</w:t>
      </w:r>
      <w:r w:rsidRPr="00D70B72">
        <w:tab/>
        <w:t>Kompetensflyk</w:t>
      </w:r>
      <w:bookmarkStart w:id="8" w:name="_GoBack"/>
      <w:bookmarkEnd w:id="8"/>
      <w:r w:rsidRPr="00D70B72">
        <w:t>ten drabbar vissa mindre utvecklade gränsregioner på ett oproportionerligt sätt och detta fenomen kommer att få långsiktiga negativa konsekvenser för unionens framtid om det inte behandlas.</w:t>
      </w:r>
    </w:p>
    <w:p w:rsidR="009D529C" w:rsidRPr="00D70B72" w:rsidRDefault="009D529C" w:rsidP="009D529C">
      <w:pPr>
        <w:pStyle w:val="NormalHanging12a"/>
        <w:widowControl/>
        <w:rPr>
          <w:szCs w:val="24"/>
        </w:rPr>
      </w:pPr>
      <w:r w:rsidRPr="00D70B72">
        <w:t>H.</w:t>
      </w:r>
      <w:r w:rsidRPr="00D70B72">
        <w:tab/>
        <w:t>Massutvandring från vissa gränsregioner, särskilt av ungdomar och kvalificerad arbetskraft, är ett uttryck för bristen på ekonomisk utveckling i dessa regioner. Gränsöverskridande samarbete kan bidra till att skapa nya sysselsättningsmöjligheter och hållbar ekonomisk utveckling.</w:t>
      </w:r>
    </w:p>
    <w:p w:rsidR="009D529C" w:rsidRPr="00D70B72" w:rsidRDefault="009D529C" w:rsidP="009D529C">
      <w:pPr>
        <w:pStyle w:val="NormalHanging12a"/>
        <w:widowControl/>
      </w:pPr>
      <w:r w:rsidRPr="00D70B72">
        <w:t>I.</w:t>
      </w:r>
      <w:r w:rsidRPr="00D70B72">
        <w:tab/>
        <w:t>Den instabila politiska, ekonomiska och säkerhetsmässiga situationen i Nordafrika och hanteringen av migrationskrisen framhäver behovet av samarbete i Medelhavsområdet.</w:t>
      </w:r>
    </w:p>
    <w:p w:rsidR="009D529C" w:rsidRPr="00D70B72" w:rsidRDefault="009D529C" w:rsidP="009D529C">
      <w:pPr>
        <w:pStyle w:val="NormalHanging12a"/>
        <w:widowControl/>
        <w:rPr>
          <w:szCs w:val="24"/>
        </w:rPr>
      </w:pPr>
      <w:r w:rsidRPr="00D70B72">
        <w:t>J.</w:t>
      </w:r>
      <w:r w:rsidRPr="00D70B72">
        <w:tab/>
        <w:t>Gränsregioner är ofta känsliga för spänningar och konflikter, och gränsöverskridande samarbete och regional diplomati har en positiv inverkan när det gäller att förebygga och lösa konflikter och potentiella kriser.</w:t>
      </w:r>
    </w:p>
    <w:p w:rsidR="009D529C" w:rsidRPr="00D70B72" w:rsidRDefault="009D529C" w:rsidP="009D529C">
      <w:pPr>
        <w:pStyle w:val="NormalHanging12a"/>
        <w:widowControl/>
        <w:rPr>
          <w:rStyle w:val="y2iqfc"/>
          <w:b/>
          <w:i/>
        </w:rPr>
      </w:pPr>
      <w:r w:rsidRPr="00D70B72">
        <w:rPr>
          <w:rStyle w:val="y2iqfc"/>
          <w:b/>
          <w:i/>
        </w:rPr>
        <w:t>Allmänna överväganden om Interreg-NEXT-programmen</w:t>
      </w:r>
    </w:p>
    <w:p w:rsidR="009D529C" w:rsidRPr="00D70B72" w:rsidRDefault="009D529C" w:rsidP="009D529C">
      <w:pPr>
        <w:pStyle w:val="NormalHanging12a"/>
        <w:widowControl/>
        <w:ind w:hanging="570"/>
      </w:pPr>
      <w:r w:rsidRPr="00D70B72">
        <w:t>1.</w:t>
      </w:r>
      <w:r w:rsidRPr="00D70B72">
        <w:tab/>
        <w:t>Europaparlamentet välkomnar anpassningen av Interreg-NEXT-programmen till Interreg-programmen, eftersom detta kan förenkla förfarandena, förbättra synergierna mellan programmen och öka de europeiska investeringarnas effektivitet. Parlamentet betonar dock behovet av förenklade förfaranden både i utvärderingsfasen och i genomförandet av projekten, med större fokus på kvantifierbara resultat, när detta är relevant, och den övergripande inverkan på regionernas utveckling och medborgarnas liv.</w:t>
      </w:r>
    </w:p>
    <w:p w:rsidR="009D529C" w:rsidRPr="00D70B72" w:rsidRDefault="009D529C" w:rsidP="009D529C">
      <w:pPr>
        <w:pStyle w:val="NormalHanging12a"/>
        <w:widowControl/>
      </w:pPr>
      <w:r w:rsidRPr="00D70B72">
        <w:t>2.</w:t>
      </w:r>
      <w:r w:rsidRPr="00D70B72">
        <w:tab/>
        <w:t>Europaparlamentet understryker att lokala och regionala myndigheter spelar en nyckelroll i det gränsöverskridande samarbetet med grannländerna genom sina kunskaper om den geografiska, kulturella, språkliga och sociala situationen, möjligheter, begränsningar och gemensamma utmaningar.</w:t>
      </w:r>
    </w:p>
    <w:p w:rsidR="009D529C" w:rsidRPr="00D70B72" w:rsidRDefault="009D529C" w:rsidP="009D529C">
      <w:pPr>
        <w:pStyle w:val="NormalHanging12a"/>
        <w:widowControl/>
      </w:pPr>
      <w:r w:rsidRPr="00D70B72">
        <w:t>3.</w:t>
      </w:r>
      <w:r w:rsidRPr="00D70B72">
        <w:tab/>
        <w:t>Europaparlamentet betonar vikten av gränsöverskridande projekt, däribland projekt för kontakter mellan människor, för att föra samman människor och på så sätt skapa nya möjligheter till hållbar lokal utveckling och gränsöverskridande samarbete. Parlamentet framhäver vikten av gränsöverskridande investeringar för att stärka innovation, tekniköverföring, gemensamma lösningar och synergier mellan de olika programmen och därigenom öka den territoriella sammanhållningen utöver administrativa gränser och stärka solidariteten.</w:t>
      </w:r>
    </w:p>
    <w:p w:rsidR="009D529C" w:rsidRPr="00D70B72" w:rsidRDefault="009D529C" w:rsidP="009D529C">
      <w:pPr>
        <w:pStyle w:val="NormalHanging12a"/>
        <w:widowControl/>
        <w:ind w:hanging="570"/>
      </w:pPr>
      <w:r w:rsidRPr="00D70B72">
        <w:t>4.</w:t>
      </w:r>
      <w:r w:rsidRPr="00D70B72">
        <w:tab/>
        <w:t>Europaparlamentet betonar att anslaget för perioden 2021–2027 är långt ifrån optimalt och understryker följaktligen vikten av en ekonomisk förstärkning av dessa program. Parlamentet gläder sig över att tredjeländer i högre grad är ansvariga för återkrav från stödmottagare inom den privata sektorn. Parlamentet betonar vikten av rättsstatsprincipen och lika villkor för alla stödmottagare, både offentliga och privata, och understryker behovet av att uppmuntra involveringen av privata investerare, vid sidan av offentliga investeringar i hållbar utveckling i gränsregioner och tredjeländer genom att göra mer medel tillgängliga.</w:t>
      </w:r>
    </w:p>
    <w:p w:rsidR="009D529C" w:rsidRPr="00D70B72" w:rsidRDefault="009D529C" w:rsidP="009D529C">
      <w:pPr>
        <w:pStyle w:val="NormalHanging12a"/>
        <w:widowControl/>
        <w:ind w:hanging="570"/>
      </w:pPr>
      <w:r w:rsidRPr="00D70B72">
        <w:t>5.</w:t>
      </w:r>
      <w:r w:rsidRPr="00D70B72">
        <w:tab/>
        <w:t xml:space="preserve">Europaparlamentet välkomnar möjligheten för förvaltningsmyndigheterna att överföra uppgifter elektroniskt till kommissionen, men påpekar samtidigt att en mer frekvent överföring av uppgifter inte bör leda till ökad byråkratisering. Parlamentet betonar </w:t>
      </w:r>
      <w:r w:rsidRPr="00D70B72">
        <w:lastRenderedPageBreak/>
        <w:t>därför vikten av driftskompatibla system som automatiskt skulle kunna skicka uppgifter till en gemensam databas, och uppmuntrar kommissionen att vidareutveckla samarbetet med tredjeländer i detta avseende.</w:t>
      </w:r>
    </w:p>
    <w:p w:rsidR="009D529C" w:rsidRPr="00D70B72" w:rsidRDefault="009D529C" w:rsidP="009D529C">
      <w:pPr>
        <w:pStyle w:val="NormalHanging12a"/>
        <w:widowControl/>
      </w:pPr>
      <w:r w:rsidRPr="00D70B72">
        <w:t>6.</w:t>
      </w:r>
      <w:r w:rsidRPr="00D70B72">
        <w:tab/>
        <w:t>Europaparlamentet uttrycker sin oro över att stora infrastrukturprojekt inte längre kommer att behöva godkännas av kommissionen.</w:t>
      </w:r>
    </w:p>
    <w:p w:rsidR="009D529C" w:rsidRPr="00D70B72" w:rsidRDefault="009D529C" w:rsidP="009D529C">
      <w:pPr>
        <w:pStyle w:val="NormalHanging12a"/>
        <w:widowControl/>
      </w:pPr>
      <w:r w:rsidRPr="00D70B72">
        <w:t>7.</w:t>
      </w:r>
      <w:r w:rsidRPr="00D70B72">
        <w:tab/>
        <w:t>Europaparlamentet gläder sig över att gränsen för EU-finansiering till stora infrastrukturprojekt tas bort och anser att hållbar infrastrukturutveckling bidrar till socioekonomisk tillväxt i gränsregioner. Parlamentet understryker samtidigt behovet av att involvera den offentliga och den privata sektorn, vilket skulle kunna leda till mer innovation och utveckling av infrastruktur för energisektorn, transport, kommunikation och digitalisering.</w:t>
      </w:r>
    </w:p>
    <w:p w:rsidR="009D529C" w:rsidRPr="00D70B72" w:rsidRDefault="009D529C" w:rsidP="009D529C">
      <w:pPr>
        <w:pStyle w:val="NormalHanging12a"/>
        <w:widowControl/>
        <w:rPr>
          <w:szCs w:val="24"/>
        </w:rPr>
      </w:pPr>
      <w:r w:rsidRPr="00D70B72">
        <w:t>8.</w:t>
      </w:r>
      <w:r w:rsidRPr="00D70B72">
        <w:tab/>
        <w:t>Europaparlamentet påpekar att de stora utmaningar som EU står inför också kan bemötas genom främjande av gränsöverskridande samarbete mellan angränsande regioner (t.ex. en hållbar framtid för Medelhavet, Svarta havet, Östersjön och andra havsområden, en hållbar framtid för Alperna, Pyrenéerna, Karpaterna och andra bergsområden, en hållbar framtid för de stora flodområdena Rhen, Donau, Meuse osv.).</w:t>
      </w:r>
    </w:p>
    <w:p w:rsidR="009D529C" w:rsidRPr="00D70B72" w:rsidRDefault="009D529C" w:rsidP="009D529C">
      <w:pPr>
        <w:pStyle w:val="NormalHanging12a"/>
        <w:widowControl/>
        <w:rPr>
          <w:szCs w:val="24"/>
        </w:rPr>
      </w:pPr>
      <w:r w:rsidRPr="00D70B72">
        <w:t>9.</w:t>
      </w:r>
      <w:r w:rsidRPr="00D70B72">
        <w:tab/>
        <w:t>Europaparlamentet betonar att gränsöverskridande samarbete är ett mycket viktigt steg i EU:s föranslutningsprocesser och att det uppmuntrar kandidatländerna att dela med sig av erfarenheter och lära sig hur EU fungerar inifrån. Parlamentet framhåller att detta bidrar till att föra EU:s initiativ och mål närmare kandidatländerna, utbyta erfarenheter och inleda den ekonomiska och sociala konvergensprocessen. Parlamentet betonar att kandidatländer som har deltagit i gränsöverskridande samarbete, redan vid tidpunkten för anslutningen till EU kommer att känna till EU:s program och projekt.</w:t>
      </w:r>
    </w:p>
    <w:p w:rsidR="009D529C" w:rsidRPr="00D70B72" w:rsidRDefault="009D529C" w:rsidP="009D529C">
      <w:pPr>
        <w:pStyle w:val="NormalHanging12a"/>
        <w:widowControl/>
        <w:rPr>
          <w:szCs w:val="24"/>
        </w:rPr>
      </w:pPr>
      <w:r w:rsidRPr="00D70B72">
        <w:t>10.</w:t>
      </w:r>
      <w:r w:rsidRPr="00D70B72">
        <w:tab/>
        <w:t>Europaparlamentet framhåller den avgörande roll som gränsöverskridande samarbete spelar för en hållbar förvaltning av naturresurser och klimatförändringsutmaningar, bland annat naturkatastrofer, miljö, biologisk mångfald och livsmedelstrygghet, samt ekosystem i gränsområden. Parlamentet betonar i detta sammanhang vikten av att förebygga och utveckla lokala och regionala planer för klimatanpassningsåtgärder över gränserna. Parlamentet framhäver behovet av att öka insatserna för att bekämpa klimatförändringarna och begränsa dem mer effektivt i dessa regioner, i synnerhet med avseende på en anpassning till EU:s klimatmål.</w:t>
      </w:r>
    </w:p>
    <w:p w:rsidR="009D529C" w:rsidRPr="00D70B72" w:rsidRDefault="009D529C" w:rsidP="009D529C">
      <w:pPr>
        <w:pStyle w:val="NormalHanging12a"/>
        <w:widowControl/>
        <w:rPr>
          <w:szCs w:val="24"/>
        </w:rPr>
      </w:pPr>
      <w:r w:rsidRPr="00D70B72">
        <w:t>11.</w:t>
      </w:r>
      <w:r w:rsidRPr="00D70B72">
        <w:tab/>
        <w:t>Europaparlamentet framhåller de möjligheter som gränsöverskridande samarbete erbjuder, särskilt i mer glesbefolkade gränsregioner, på områden som förnybar energi och den cirkulära ekonomin, och efterlyser ett bättre utnyttjande av befintliga möjligheter för att utveckla en hållbar ekonomi och skapa sysselsättning av god kvalitet.</w:t>
      </w:r>
    </w:p>
    <w:p w:rsidR="009D529C" w:rsidRPr="00D70B72" w:rsidRDefault="009D529C" w:rsidP="009D529C">
      <w:pPr>
        <w:pStyle w:val="NormalHanging12a"/>
        <w:widowControl/>
        <w:ind w:left="0" w:firstLine="0"/>
        <w:rPr>
          <w:b/>
          <w:i/>
        </w:rPr>
      </w:pPr>
      <w:r w:rsidRPr="00D70B72">
        <w:rPr>
          <w:b/>
          <w:i/>
        </w:rPr>
        <w:t>Gränsöverskridande samarbete med det östra grannskapet</w:t>
      </w:r>
    </w:p>
    <w:p w:rsidR="009D529C" w:rsidRPr="00D70B72" w:rsidRDefault="009D529C" w:rsidP="009D529C">
      <w:pPr>
        <w:pStyle w:val="NormalHanging12a"/>
        <w:widowControl/>
      </w:pPr>
      <w:r w:rsidRPr="00D70B72">
        <w:t>12.</w:t>
      </w:r>
      <w:r w:rsidRPr="00D70B72">
        <w:tab/>
        <w:t>Europaparlamentet gläder sig över upphävandet av det gränsöverskridande samarbetet med Ryssland och Belarus till följd av Rysslands anfallskrig mot Ukraina, samt omdirigeringen av medel till Ukraina och Republiken Moldavien, vilket i grunden har ändrat den europeiska säkerhetsarkitekturen. Parlamentet understryker därför behovet av säkerhetspolitiskt samarbete för att uppnå de gemensamma målen om tillförlitligt kollektivt avskräckande och försvar inom ramen för det gränsöverskridande samarbetet.</w:t>
      </w:r>
    </w:p>
    <w:p w:rsidR="009D529C" w:rsidRPr="00D70B72" w:rsidRDefault="009D529C" w:rsidP="009D529C">
      <w:pPr>
        <w:pStyle w:val="NormalHanging12a"/>
        <w:widowControl/>
        <w:rPr>
          <w:szCs w:val="24"/>
        </w:rPr>
      </w:pPr>
      <w:r w:rsidRPr="00D70B72">
        <w:lastRenderedPageBreak/>
        <w:t>13.</w:t>
      </w:r>
      <w:r w:rsidRPr="00D70B72">
        <w:tab/>
        <w:t>Europaparlamentet uppmärksammar att regioner som gränsar till Ryssland och Belarus befinner sig i en svår situation efter upphävandet av programmen för gränsöverskridande samarbete, och uppmanar kommissionen att samarbeta nära med de berörda medlemsstaterna för att hitta hållbara lösningar på de sociala och ekonomiska utmaningarna i dessa regioner.</w:t>
      </w:r>
    </w:p>
    <w:p w:rsidR="009D529C" w:rsidRPr="00D70B72" w:rsidRDefault="009D529C" w:rsidP="009D529C">
      <w:pPr>
        <w:pStyle w:val="NormalHanging12a"/>
        <w:widowControl/>
      </w:pPr>
      <w:r w:rsidRPr="00D70B72">
        <w:t>14.</w:t>
      </w:r>
      <w:r w:rsidRPr="00D70B72">
        <w:tab/>
        <w:t>Europaparlamentet begär att medel från gränsöverskridande program ska användas för utveckling av hållbar transportinfrastruktur, bland annat uppförande av järnvägsförbindelser och lagringsanläggningar nära EU:s gränser mot Ukraina och Republiken Moldavien, i syfte att effektivisera flödet av varor och spannmål för att säkerställa global livsmedelstrygghet, bidra till att främja utvecklingen av en hållbar ekonomi för båda länderna och hjälpa de medlemsstater som ligger i frontlinjen, liksom Moldavien och Ukraina, att möta dessa utmaningar.</w:t>
      </w:r>
    </w:p>
    <w:p w:rsidR="009D529C" w:rsidRPr="00D70B72" w:rsidRDefault="009D529C" w:rsidP="009D529C">
      <w:pPr>
        <w:pStyle w:val="NormalHanging12a"/>
        <w:widowControl/>
      </w:pPr>
      <w:r w:rsidRPr="00D70B72">
        <w:t>15.</w:t>
      </w:r>
      <w:r w:rsidRPr="00D70B72">
        <w:tab/>
        <w:t>Europaparlamentet erkänner vikten av att främja lokal och regional kultur och bevarande av kulturarvet samt utbildningsmässigt och ekonomiskt utbyte mellan gränsregioner för att stärka den ömsesidiga förståelsen av grannländernas sedvänjor och skapa viktiga incitament för flerspråkig utbildning. Parlamentet understryker vikten av inkluderande utbildning med avseende på demokratiska värden och behovet av att stödja bättre kvalitet på detta område.</w:t>
      </w:r>
    </w:p>
    <w:p w:rsidR="009D529C" w:rsidRPr="00D70B72" w:rsidRDefault="009D529C" w:rsidP="009D529C">
      <w:pPr>
        <w:pStyle w:val="NormalHanging12a"/>
        <w:widowControl/>
      </w:pPr>
      <w:r w:rsidRPr="00D70B72">
        <w:t>16.</w:t>
      </w:r>
      <w:r w:rsidRPr="00D70B72">
        <w:tab/>
        <w:t>Europaparlamentet kräver stöd till mer hållbara infrastrukturprojekt som bidrar till att förbättra konnektiviteten i gränsregioner, öka rörligheten inom och mellan dessa regioner och förbättra livskvaliteten och möjligheterna för invånarna i regionerna, samt till projekt som tillgodoser behovet av infrastruktur.</w:t>
      </w:r>
    </w:p>
    <w:p w:rsidR="009D529C" w:rsidRPr="00D70B72" w:rsidRDefault="009D529C" w:rsidP="009D529C">
      <w:pPr>
        <w:pStyle w:val="NormalHanging12a"/>
        <w:widowControl/>
        <w:rPr>
          <w:szCs w:val="24"/>
        </w:rPr>
      </w:pPr>
      <w:r w:rsidRPr="00D70B72">
        <w:t>17.</w:t>
      </w:r>
      <w:r w:rsidRPr="00D70B72">
        <w:tab/>
        <w:t>Europaparlamentet erkänner de enorma insatser som gjorts av nationella regeringar, regionala och lokala myndigheter och civilsamhället i de medlemsstater som gränsar till Ukraina, liksom Republiken Moldaviens insatser, för att ta emot fördrivna ukrainare och hantera alla utmaningar som uppstått till följd av Rysslands anfallskrig, inklusive frågan om spannmål från Ukraina och bristen på transportinfrastruktur. Parlamentet begär i detta avseende att lämpligt stöd ska tillhandahållas, inbegripet genom gränsöverskridande samarbetsprogram, för att möta de behov som uppstår.</w:t>
      </w:r>
    </w:p>
    <w:p w:rsidR="009D529C" w:rsidRPr="00D70B72" w:rsidRDefault="009D529C" w:rsidP="009D529C">
      <w:pPr>
        <w:pStyle w:val="NormalHanging12a"/>
        <w:widowControl/>
        <w:rPr>
          <w:szCs w:val="24"/>
        </w:rPr>
      </w:pPr>
      <w:r w:rsidRPr="00D70B72">
        <w:t>18.</w:t>
      </w:r>
      <w:r w:rsidRPr="00D70B72">
        <w:tab/>
        <w:t>Europaparlamentet understryker att Republiken Moldavien, trots att landet inte befinner sig i ett öppet krig med Ryssland, också har konfliktområden som stöds av Ryssland och har tagit emot ett stort antal ukrainska flyktingar, och att Moldaviens ekonomiska och sociala situation i hög grad påverkades av att landets handelsförbindelser med Ryssland upphörde. Parlamentet betonar därför att solida investeringar och en öppen marknad är absolut nödvändiga och att gemensamma projekt är mer än välkomna på alla ekonomiska och sociala områden.</w:t>
      </w:r>
    </w:p>
    <w:p w:rsidR="009D529C" w:rsidRPr="00D70B72" w:rsidRDefault="009D529C" w:rsidP="009D529C">
      <w:pPr>
        <w:pStyle w:val="NormalHanging12a"/>
        <w:widowControl/>
      </w:pPr>
      <w:r w:rsidRPr="00D70B72">
        <w:t>19.</w:t>
      </w:r>
      <w:r w:rsidRPr="00D70B72">
        <w:tab/>
        <w:t>Europaparlamentet uttrycker sin bestörtning över förlusten av människoliv och förstörelsen av bostäder och infrastruktur i Ukraina. Parlamentet betonar den aktiva roll som gränsöverskridande samarbetsprogram och det nya europeiska Bauhaus bör spela i en hållbar återuppbyggnad efter kriget, och understryker det akuta behovet av att stödja lokala och regionala myndigheter i Ukraina och samtidigt fortsätta att hjälpa grannregionerna och uppmuntra till ökat samarbete.</w:t>
      </w:r>
    </w:p>
    <w:p w:rsidR="009D529C" w:rsidRPr="00D70B72" w:rsidRDefault="009D529C" w:rsidP="009D529C">
      <w:pPr>
        <w:pStyle w:val="NormalHanging12a"/>
        <w:widowControl/>
        <w:rPr>
          <w:szCs w:val="24"/>
        </w:rPr>
      </w:pPr>
      <w:r w:rsidRPr="00D70B72">
        <w:t>20.</w:t>
      </w:r>
      <w:r w:rsidRPr="00D70B72">
        <w:tab/>
        <w:t xml:space="preserve">Europaparlamentet välkomnar initiativet för att inkludera Ukraina i Urbact-programmet för europeiskt territoriellt samarbete och Ukrainas och Republiken Moldaviens </w:t>
      </w:r>
      <w:r w:rsidRPr="00D70B72">
        <w:lastRenderedPageBreak/>
        <w:t>anslutning som observatörsmedlemmar i det europeiska observationsnätverket för territoriell utveckling och sammanhållning (Espon).</w:t>
      </w:r>
    </w:p>
    <w:p w:rsidR="009D529C" w:rsidRPr="00D70B72" w:rsidRDefault="009D529C" w:rsidP="009D529C">
      <w:pPr>
        <w:pStyle w:val="NormalHanging12a"/>
        <w:widowControl/>
        <w:rPr>
          <w:szCs w:val="24"/>
        </w:rPr>
      </w:pPr>
      <w:r w:rsidRPr="00D70B72">
        <w:t>21.</w:t>
      </w:r>
      <w:r w:rsidRPr="00D70B72">
        <w:tab/>
        <w:t>Europaparlamentet beklagar Rysslands användning av energikällor som ett medel att utöva politiska och ekonomiska påtryckningar. Parlamentet kräver snabba utredningar om vissa medlemsstaters ekonomiska samarbete med Ryssland inom energisektorn samt nya åtgärder för att öka energieffektiviteten i syfte att minska beroendet av Ryssland i de medlemsstater som drastiskt minskat samarbetet med angriparen och verkligen påverkats av sanktionerna, inbegripet tredjeländer.</w:t>
      </w:r>
    </w:p>
    <w:p w:rsidR="009D529C" w:rsidRPr="00D70B72" w:rsidRDefault="009D529C" w:rsidP="009D529C">
      <w:pPr>
        <w:pStyle w:val="NormalHanging12a"/>
        <w:widowControl/>
        <w:rPr>
          <w:szCs w:val="24"/>
        </w:rPr>
      </w:pPr>
      <w:r w:rsidRPr="00D70B72">
        <w:t>22.</w:t>
      </w:r>
      <w:r w:rsidRPr="00D70B72">
        <w:tab/>
        <w:t>Europaparlamentet beklagar Rysslands ökade inflytande i grannländerna, särskilt genom manipulation och desinformation i både traditionella medier och sociala medier, och understryker vikten av att stärka samarbetet med dessa länder, särskilt på utbildnings- och kulturområdet, för att hålla medborgarna informerade och upplysta om de demokratiska värdena.</w:t>
      </w:r>
    </w:p>
    <w:p w:rsidR="009D529C" w:rsidRPr="00D70B72" w:rsidRDefault="009D529C" w:rsidP="009D529C">
      <w:pPr>
        <w:pStyle w:val="NormalHanging12a"/>
        <w:widowControl/>
        <w:rPr>
          <w:b/>
          <w:i/>
        </w:rPr>
      </w:pPr>
      <w:r w:rsidRPr="00D70B72">
        <w:rPr>
          <w:b/>
          <w:i/>
        </w:rPr>
        <w:t>Samarbete avseende havsområden</w:t>
      </w:r>
    </w:p>
    <w:p w:rsidR="009D529C" w:rsidRPr="00D70B72" w:rsidRDefault="009D529C" w:rsidP="009D529C">
      <w:pPr>
        <w:pStyle w:val="NormalHanging12a"/>
        <w:widowControl/>
        <w:rPr>
          <w:i/>
        </w:rPr>
      </w:pPr>
      <w:r w:rsidRPr="00D70B72">
        <w:rPr>
          <w:i/>
        </w:rPr>
        <w:t>Svartahavsområdet</w:t>
      </w:r>
    </w:p>
    <w:p w:rsidR="009D529C" w:rsidRPr="00D70B72" w:rsidRDefault="009D529C" w:rsidP="009D529C">
      <w:pPr>
        <w:pStyle w:val="NormalHanging12a"/>
        <w:widowControl/>
        <w:rPr>
          <w:szCs w:val="24"/>
        </w:rPr>
      </w:pPr>
      <w:r w:rsidRPr="00D70B72">
        <w:t>23.</w:t>
      </w:r>
      <w:r w:rsidRPr="00D70B72">
        <w:tab/>
        <w:t>Europaparlamentet betonar vikten av att bevilja ökat ekonomiskt stöd till programmet med hänsyn till säkerhetsutmaningarna i Svarta havet till följd av de ryska attackerna och blockaden mot kusthamnar och hamnarna vid Donau vilka syftar till att förhindra spannmålstransporter som är avgörande för Ukrainas ekonomi. Parlamentet betonar de säkerhetsrisker som dessa attacker utgör för de medlemsstater som gränsar till Ukraina.</w:t>
      </w:r>
    </w:p>
    <w:p w:rsidR="009D529C" w:rsidRPr="00D70B72" w:rsidRDefault="009D529C" w:rsidP="009D529C">
      <w:pPr>
        <w:pStyle w:val="NormalHanging12a"/>
        <w:widowControl/>
        <w:rPr>
          <w:szCs w:val="24"/>
        </w:rPr>
      </w:pPr>
      <w:r w:rsidRPr="00D70B72">
        <w:t>24.</w:t>
      </w:r>
      <w:r w:rsidRPr="00D70B72">
        <w:tab/>
        <w:t>Europaparlamentet framhåller potentialen i energikällorna i Svarta havet som också kan bidra till en hållbar energiframtid i EU. Parlamentet betonar att de förnybara energikällorna, trots sin potential, till stor del är outnyttjade.</w:t>
      </w:r>
    </w:p>
    <w:p w:rsidR="009D529C" w:rsidRPr="00D70B72" w:rsidRDefault="009D529C" w:rsidP="009D529C">
      <w:pPr>
        <w:pStyle w:val="NormalHanging12a"/>
        <w:widowControl/>
      </w:pPr>
      <w:r w:rsidRPr="00D70B72">
        <w:t>25.</w:t>
      </w:r>
      <w:r w:rsidRPr="00D70B72">
        <w:tab/>
        <w:t xml:space="preserve">Europaparlamentet anser att Interreg-NEXT:s gemensamma operativa program för Svarta havet bör underlätta en hållbar ekonomisk utveckling och en effektiv förvaltning av gemensamma resurser. </w:t>
      </w:r>
    </w:p>
    <w:p w:rsidR="009D529C" w:rsidRPr="00D70B72" w:rsidRDefault="009D529C" w:rsidP="009D529C">
      <w:pPr>
        <w:pStyle w:val="NormalHanging12a"/>
        <w:widowControl/>
        <w:rPr>
          <w:szCs w:val="24"/>
        </w:rPr>
      </w:pPr>
      <w:r w:rsidRPr="00D70B72">
        <w:t>26.</w:t>
      </w:r>
      <w:r w:rsidRPr="00D70B72">
        <w:tab/>
        <w:t>Europaparlamentet betonar vikten av att utveckla en hållbar turism i kustregionerna kring Svarta havet och vill att alla involverade aktörer följer en ansvarsfull strategi för miljöskydd.</w:t>
      </w:r>
    </w:p>
    <w:p w:rsidR="009D529C" w:rsidRPr="00D70B72" w:rsidRDefault="009D529C" w:rsidP="009D529C">
      <w:pPr>
        <w:pStyle w:val="NormalHanging12a"/>
        <w:widowControl/>
        <w:rPr>
          <w:szCs w:val="24"/>
        </w:rPr>
      </w:pPr>
      <w:r w:rsidRPr="00D70B72">
        <w:t>27.</w:t>
      </w:r>
      <w:r w:rsidRPr="00D70B72">
        <w:tab/>
        <w:t>Europaparlamentet efterlyser ett starkt fokus på Svarta havet, förstärkt regionalt samarbete för att hantera säkerhetsfrågor, inbegripet frågor som rör regionala konflikter och energitrygghet, och främjande av projekt för att uppgradera hamnar och tillhörande infrastruktur och öka deras förbindelser till befintliga transportknutpunkter. Parlamentet begär därför i synnerhet att de ansluts till TEN-T-korridorerna.</w:t>
      </w:r>
    </w:p>
    <w:p w:rsidR="009D529C" w:rsidRPr="00D70B72" w:rsidRDefault="009D529C" w:rsidP="009D529C">
      <w:pPr>
        <w:pStyle w:val="NormalHanging12a"/>
        <w:widowControl/>
        <w:rPr>
          <w:szCs w:val="24"/>
        </w:rPr>
      </w:pPr>
      <w:r w:rsidRPr="00D70B72">
        <w:t>28.</w:t>
      </w:r>
      <w:r w:rsidRPr="00D70B72">
        <w:tab/>
        <w:t>Europaparlamentet betonar att en sammanhängande strategi bör antas för Svartahavsområdet och att synergier bör utvecklas med Donauprogrammet 2021–2027.</w:t>
      </w:r>
    </w:p>
    <w:p w:rsidR="009D529C" w:rsidRPr="00D70B72" w:rsidRDefault="009D529C" w:rsidP="009D529C">
      <w:pPr>
        <w:pStyle w:val="NormalHanging12a"/>
        <w:widowControl/>
        <w:rPr>
          <w:i/>
        </w:rPr>
      </w:pPr>
      <w:r w:rsidRPr="00D70B72">
        <w:rPr>
          <w:i/>
        </w:rPr>
        <w:t>Medelhavsområdet</w:t>
      </w:r>
    </w:p>
    <w:p w:rsidR="009D529C" w:rsidRPr="00D70B72" w:rsidRDefault="009D529C" w:rsidP="009D529C">
      <w:pPr>
        <w:pStyle w:val="NormalHanging12a"/>
        <w:widowControl/>
        <w:rPr>
          <w:szCs w:val="24"/>
        </w:rPr>
      </w:pPr>
      <w:r w:rsidRPr="00D70B72">
        <w:t>29.</w:t>
      </w:r>
      <w:r w:rsidRPr="00D70B72">
        <w:tab/>
        <w:t>Europaparlamentet understryker vikten av starka ekonomiska och sociala partnerskap med tredjeländer från Medelhavsområdet. Parlamentet gläder sig över att antalet länder som deltar i Interreg- MED-programmen 2021–2027 ökar.</w:t>
      </w:r>
    </w:p>
    <w:p w:rsidR="009D529C" w:rsidRPr="00D70B72" w:rsidRDefault="009D529C" w:rsidP="009D529C">
      <w:pPr>
        <w:pStyle w:val="NormalHanging12a"/>
        <w:widowControl/>
      </w:pPr>
      <w:r w:rsidRPr="00D70B72">
        <w:lastRenderedPageBreak/>
        <w:t>30.</w:t>
      </w:r>
      <w:r w:rsidRPr="00D70B72">
        <w:tab/>
        <w:t>Europaparlamentet efterlyser en mer samordnad och effektiv användning av befintliga medel, inom ramen för de nuvarande sociala, klimat- och miljömässiga reglerna, för att öka Medelhavsområdets konkurrenskraft och samtidigt främja potentialen hos förnybar energi på land och till havs.</w:t>
      </w:r>
    </w:p>
    <w:p w:rsidR="009D529C" w:rsidRPr="00D70B72" w:rsidRDefault="009D529C" w:rsidP="009D529C">
      <w:pPr>
        <w:pStyle w:val="NormalHanging12a"/>
        <w:widowControl/>
        <w:rPr>
          <w:szCs w:val="24"/>
        </w:rPr>
      </w:pPr>
      <w:r w:rsidRPr="00D70B72">
        <w:t>31.</w:t>
      </w:r>
      <w:r w:rsidRPr="00D70B72">
        <w:tab/>
        <w:t>Europaparlamentet anser att de gränsöverskridande programmen måste spela en aktiv roll i hanteringen av gemensamma säkerhetsutmaningar och sträva efter att uppnå regional stabilitet.</w:t>
      </w:r>
    </w:p>
    <w:p w:rsidR="009D529C" w:rsidRPr="00D70B72" w:rsidRDefault="009D529C" w:rsidP="009D529C">
      <w:pPr>
        <w:pStyle w:val="NormalHanging12a"/>
        <w:widowControl/>
        <w:rPr>
          <w:szCs w:val="24"/>
        </w:rPr>
      </w:pPr>
      <w:r w:rsidRPr="00D70B72">
        <w:t>32.</w:t>
      </w:r>
      <w:r w:rsidRPr="00D70B72">
        <w:tab/>
        <w:t>Europaparlamentet kräver att migrationsströmmarna förvaltas och att irreguljär migration och människohandel bekämpas, bland annat genom finansiering av projekt som syftar till att ta emot, ta hand om och tillhandahålla utbildning för migranter för att hjälpa dem att möta utmaningarna i en konkurrenskraftig ekonomisk miljö och bättre förstå och respektera europeiska värden, samtidigt som man främjar delaktighet på båda sidor av Medelhavet.</w:t>
      </w:r>
    </w:p>
    <w:p w:rsidR="009D529C" w:rsidRPr="00D70B72" w:rsidRDefault="009D529C" w:rsidP="009D529C">
      <w:pPr>
        <w:pStyle w:val="NormalHanging12a"/>
        <w:widowControl/>
        <w:rPr>
          <w:szCs w:val="24"/>
        </w:rPr>
      </w:pPr>
      <w:r w:rsidRPr="00D70B72">
        <w:t>33.</w:t>
      </w:r>
      <w:r w:rsidRPr="00D70B72">
        <w:tab/>
        <w:t xml:space="preserve">Europaparlamentet erkänner den avgörande roll som forskning och innovation spelar för förebyggande av risker för naturkatastrofer, hållbar vattenförvaltning och minskning av koldioxidutsläppen, och understryker behovet av att prioritera projekt som har ekonomiska, sociala och miljömässiga kvantifierbara effekter. </w:t>
      </w:r>
    </w:p>
    <w:p w:rsidR="009D529C" w:rsidRPr="00D70B72" w:rsidRDefault="009D529C" w:rsidP="009D529C">
      <w:pPr>
        <w:pStyle w:val="NormalHanging12a"/>
        <w:widowControl/>
      </w:pPr>
      <w:r w:rsidRPr="00D70B72">
        <w:t>34.</w:t>
      </w:r>
      <w:r w:rsidRPr="00D70B72">
        <w:tab/>
        <w:t>Europaparlamentet betonar att förnybara energikällor, trots deras potential, till stor del är outnyttjade och att denna potential bör stimuleras, även genom involvering av små och medelstora företag och midcap-bolag.</w:t>
      </w:r>
    </w:p>
    <w:p w:rsidR="009D529C" w:rsidRPr="00D70B72" w:rsidRDefault="009D529C" w:rsidP="009D529C">
      <w:pPr>
        <w:pStyle w:val="NormalHanging12a"/>
        <w:widowControl/>
      </w:pPr>
      <w:r w:rsidRPr="00D70B72">
        <w:t>35.</w:t>
      </w:r>
      <w:r w:rsidRPr="00D70B72">
        <w:tab/>
        <w:t>Europaparlamentet välkomnar WestMeds havsområdesstrategi för västra Medelhavet och Interreg-program såsom Marittimo som goda exempel på direkt och diversifierat samarbete, även på regional nivå, med gemensamma mål.</w:t>
      </w:r>
    </w:p>
    <w:p w:rsidR="009D529C" w:rsidRPr="00D70B72" w:rsidRDefault="009D529C" w:rsidP="009D529C">
      <w:pPr>
        <w:pStyle w:val="NormalHanging12a"/>
        <w:widowControl/>
      </w:pPr>
      <w:r w:rsidRPr="00D70B72">
        <w:t>36.</w:t>
      </w:r>
      <w:r w:rsidRPr="00D70B72">
        <w:tab/>
        <w:t>Europaparlamentet välkomnar de framsteg som gjorts i och med den adriatisk-joniska makroregionala strategin (Eusair), som har mobiliserat medlemsstaterna och deras regioner, men också tredjeländer och deras lokala myndigheter. Parlamentet anser att Eusair är ett framgångsrikt exempel där unionen har visat sig vara en drivkraft, inte minst för öppenhet. Parlamentet vidhåller att samma principer och en liknande gemensam strategi måste tillämpas på övriga områden runt Medelhavet.</w:t>
      </w:r>
    </w:p>
    <w:p w:rsidR="009D529C" w:rsidRPr="00D70B72" w:rsidRDefault="009D529C" w:rsidP="009D529C">
      <w:pPr>
        <w:pStyle w:val="NormalHanging12a"/>
        <w:widowControl/>
        <w:rPr>
          <w:szCs w:val="24"/>
        </w:rPr>
      </w:pPr>
      <w:r w:rsidRPr="00D70B72">
        <w:t>37.</w:t>
      </w:r>
      <w:r w:rsidRPr="00D70B72">
        <w:tab/>
        <w:t>Europaparlamentet uppmanar Europeiska rådet att uppmana kommissionen att lägga fram en detaljerad makroregional strategi för Medelhavsområdet, med beaktande av dess nya agenda för Medelhavsområdet, särskilt avsnitt 5 (”Grön omställning: klimatresiliens, energi och miljö”), och att anta den. Parlamentet beklagar den fortsatta försämringen av miljön i hela Medelhavsområdet, förlusten av biologisk mångfald och de ökade luft- och havsföroreningarna, särskilt när det gäller plastavfall och hushållsavfall, och kräver att dessa undviks, begränsas och hanteras genom att den cirkulära ekonomin främjas.</w:t>
      </w:r>
    </w:p>
    <w:p w:rsidR="009D529C" w:rsidRPr="00D70B72" w:rsidRDefault="009D529C" w:rsidP="009D529C">
      <w:pPr>
        <w:pStyle w:val="NormalHanging12a"/>
        <w:widowControl/>
        <w:rPr>
          <w:b/>
          <w:i/>
        </w:rPr>
      </w:pPr>
      <w:r w:rsidRPr="00D70B72">
        <w:rPr>
          <w:b/>
          <w:i/>
        </w:rPr>
        <w:t>Utmaningar inom det gränsöverskridande samarbetet</w:t>
      </w:r>
    </w:p>
    <w:p w:rsidR="009D529C" w:rsidRPr="00D70B72" w:rsidRDefault="009D529C" w:rsidP="009D529C">
      <w:pPr>
        <w:pStyle w:val="NormalHanging12a"/>
        <w:widowControl/>
        <w:rPr>
          <w:szCs w:val="24"/>
        </w:rPr>
      </w:pPr>
      <w:r w:rsidRPr="00D70B72">
        <w:t>38.</w:t>
      </w:r>
      <w:r w:rsidRPr="00D70B72">
        <w:tab/>
        <w:t xml:space="preserve">Europaparlamentet noterar att förekomsten av olika rättsliga och institutionella ramar skapar ytterligare hinder för genomförandet av projekt och därmed gör projektgenomförandet till en utmaning. Parlamentet påminner om att administrativa förfaranden kan vara komplexa och tidskrävande, vilket kan avskräcka lokala och </w:t>
      </w:r>
      <w:r w:rsidRPr="00D70B72">
        <w:lastRenderedPageBreak/>
        <w:t>regionala myndigheter från att delta i det territoriella samarbetet. Parlamentet uppmanar kommissionen att bidra till att förenkla dessa förfaranden genom att göra dem mer tillgängliga och transparenta.</w:t>
      </w:r>
    </w:p>
    <w:p w:rsidR="009D529C" w:rsidRPr="00D70B72" w:rsidRDefault="009D529C" w:rsidP="009D529C">
      <w:pPr>
        <w:pStyle w:val="NormalHanging12a"/>
        <w:widowControl/>
      </w:pPr>
      <w:r w:rsidRPr="00D70B72">
        <w:t>39.</w:t>
      </w:r>
      <w:r w:rsidRPr="00D70B72">
        <w:tab/>
        <w:t>Europaparlamentet konstaterar att språkliga hinder och kulturella skillnader försvårar kommunikationen och kan leda till administrativa bördor, vilket bör avhjälpas med lämpliga åtgärder.</w:t>
      </w:r>
    </w:p>
    <w:p w:rsidR="009D529C" w:rsidRPr="00D70B72" w:rsidRDefault="009D529C" w:rsidP="009D529C">
      <w:pPr>
        <w:pStyle w:val="NormalHanging12a"/>
        <w:widowControl/>
      </w:pPr>
      <w:r w:rsidRPr="00D70B72">
        <w:t>40.</w:t>
      </w:r>
      <w:r w:rsidRPr="00D70B72">
        <w:tab/>
        <w:t>Europaparlamentet betonar att det finns skillnader mellan staterna när det gäller myndigheternas befogenheter, samt ändringar i de regionala myndigheterna, vilket kan orsaka förseningar. Parlamentet anser att man bör uppmuntra en dialog mellan lokala myndigheter och främja det civila samhällets deltagande i territoriella samarbetsprojekt genom att involvera icke-statliga organisationer, sociala företag och andra aktörer.</w:t>
      </w:r>
    </w:p>
    <w:p w:rsidR="009D529C" w:rsidRPr="00D70B72" w:rsidRDefault="009D529C" w:rsidP="009D529C">
      <w:pPr>
        <w:pStyle w:val="NormalHanging12a"/>
        <w:widowControl/>
        <w:rPr>
          <w:szCs w:val="24"/>
        </w:rPr>
      </w:pPr>
      <w:r w:rsidRPr="00D70B72">
        <w:t>41.</w:t>
      </w:r>
      <w:r w:rsidRPr="00D70B72">
        <w:tab/>
        <w:t>Europaparlamentet betonar att det är nödvändigt att utveckla långsiktiga program för utbyten och företagssamverkan mellan institutioner och företag i gränsöverskridande regioner för att främja hållbar ekonomisk utveckling och förbättra den administrativa samordningen mellan deltagande stater genom att vidareutveckla, omorganisera eller, när det är relevant, upprätta hållbara funktionella strukturer för gränsöverskridande samarbete och nätverk.</w:t>
      </w:r>
    </w:p>
    <w:p w:rsidR="009D529C" w:rsidRPr="00D70B72" w:rsidRDefault="009D529C" w:rsidP="009D529C">
      <w:pPr>
        <w:pStyle w:val="NormalHanging12a"/>
        <w:widowControl/>
      </w:pPr>
      <w:r w:rsidRPr="00D70B72">
        <w:t>42.</w:t>
      </w:r>
      <w:r w:rsidRPr="00D70B72">
        <w:tab/>
        <w:t>Europaparlamentet understryker betydelsen av att inrätta ett system för interkulturellt utbyte på kort och medellång sikt för att främja inlärning av gemensamma språk och en djupare förståelse för regionala kulturer och underlätta samarbete mellan gränsöverskridande samhällen, och betonar att detta system också bör omfatta företagsrelaterade och administrativa aspekter för att stimulera ekonomisk och administrativ utveckling.</w:t>
      </w:r>
    </w:p>
    <w:p w:rsidR="009D529C" w:rsidRPr="00D70B72" w:rsidRDefault="009D529C" w:rsidP="009D529C">
      <w:pPr>
        <w:pStyle w:val="NormalHanging12a"/>
        <w:widowControl/>
      </w:pPr>
      <w:r w:rsidRPr="00D70B72">
        <w:t>43.</w:t>
      </w:r>
      <w:r w:rsidRPr="00D70B72">
        <w:tab/>
        <w:t>Europaparlamentet framhåller behovet av att anpassa programmen till de enskilda behoven och särdragen i varje deltagande land eller region. Parlamentet vill se ytterligare ansträngningar i detta avseende.</w:t>
      </w:r>
    </w:p>
    <w:p w:rsidR="009D529C" w:rsidRPr="00D70B72" w:rsidRDefault="009D529C" w:rsidP="009D529C">
      <w:pPr>
        <w:pStyle w:val="NormalHanging12a"/>
        <w:widowControl/>
      </w:pPr>
      <w:r w:rsidRPr="00D70B72">
        <w:t>44.</w:t>
      </w:r>
      <w:r w:rsidRPr="00D70B72">
        <w:tab/>
        <w:t>Europaparlamentet noterar att covid-19-pandemin har haft en negativ inverkan på gränsregionerna och har påverkat genomförandet av nuvarande program och projekt.</w:t>
      </w:r>
    </w:p>
    <w:p w:rsidR="009D529C" w:rsidRPr="00D70B72" w:rsidRDefault="009D529C" w:rsidP="009D529C">
      <w:pPr>
        <w:pStyle w:val="NormalHanging12a"/>
        <w:widowControl/>
        <w:rPr>
          <w:szCs w:val="24"/>
        </w:rPr>
      </w:pPr>
      <w:r w:rsidRPr="00D70B72">
        <w:t>45.</w:t>
      </w:r>
      <w:r w:rsidRPr="00D70B72">
        <w:tab/>
        <w:t>Europaparlamentet påpekar att bristen på tillräckligt omfattande transportinfrastruktur och transportnät, särskilt när det gäller gränsöverskridande samarbete med havsområden och öar, hämmar handeln och rörligheten och komplicerar samarbetet.</w:t>
      </w:r>
    </w:p>
    <w:p w:rsidR="009D529C" w:rsidRPr="00D70B72" w:rsidRDefault="009D529C" w:rsidP="009D529C">
      <w:pPr>
        <w:pStyle w:val="NormalHanging12a"/>
        <w:widowControl/>
        <w:rPr>
          <w:szCs w:val="24"/>
        </w:rPr>
      </w:pPr>
      <w:r w:rsidRPr="00D70B72">
        <w:t>46.</w:t>
      </w:r>
      <w:r w:rsidRPr="00D70B72">
        <w:tab/>
        <w:t>Europaparlamentet betonar att sjögränser medför särskilda utmaningar och behöver erkännas som särskilda gränser med specifika behov, framför allt med hänsyn till språkliga och kulturella skillnader, administrativa och rättsliga bördor, socioekonomiska skillnader och miljöproblem.</w:t>
      </w:r>
    </w:p>
    <w:p w:rsidR="009D529C" w:rsidRPr="00D70B72" w:rsidRDefault="009D529C" w:rsidP="009D529C">
      <w:pPr>
        <w:pStyle w:val="NormalHanging12a"/>
        <w:widowControl/>
        <w:rPr>
          <w:b/>
          <w:i/>
        </w:rPr>
      </w:pPr>
      <w:r w:rsidRPr="00D70B72">
        <w:rPr>
          <w:b/>
          <w:i/>
        </w:rPr>
        <w:t>Möjligheter till gränsöverskridande samarbete</w:t>
      </w:r>
    </w:p>
    <w:p w:rsidR="009D529C" w:rsidRPr="00D70B72" w:rsidRDefault="009D529C" w:rsidP="009D529C">
      <w:pPr>
        <w:pStyle w:val="NormalHanging12a"/>
        <w:widowControl/>
      </w:pPr>
      <w:r w:rsidRPr="00D70B72">
        <w:t>47.</w:t>
      </w:r>
      <w:r w:rsidRPr="00D70B72">
        <w:tab/>
        <w:t>Europaparlamentet betonar att gränsöverskridande samarbete med grannländer, med hänsyn till de många kriserna och konflikterna, kräver investeringar i ländernas och samhällenas motståndskraft, och att partnerskapsprioriteringar bör bidra till att avsevärt förbättra levnadsvillkoren på båda sidor av gränsen, bland annat genom att säkerställa inkluderande hållbar utveckling, social rättvisa, sysselsättningsmöjligheter och ekonomiskt välstånd.</w:t>
      </w:r>
    </w:p>
    <w:p w:rsidR="009D529C" w:rsidRPr="00D70B72" w:rsidRDefault="009D529C" w:rsidP="009D529C">
      <w:pPr>
        <w:pStyle w:val="NormalHanging12a"/>
        <w:widowControl/>
        <w:rPr>
          <w:szCs w:val="24"/>
        </w:rPr>
      </w:pPr>
      <w:r w:rsidRPr="00D70B72">
        <w:lastRenderedPageBreak/>
        <w:t>48.</w:t>
      </w:r>
      <w:r w:rsidRPr="00D70B72">
        <w:tab/>
        <w:t>Europaparlamentet anser att det gränsöverskridande samarbetet i hög grad kan bidra till att stärka den lokala och regionala demokratin och partnerländernas administrativa kapacitet. Parlamentet framhåller vikten av de europeiska grupperingarna för territoriellt samarbete (EGTS) när det gäller att förenkla och främja territoriellt samarbete, i synnerhet i samband med förvaltningen av gränsöverskridande transporttjänster eller sjukhus, genomförandet och förvaltningen av gränsöverskridande utvecklingsprojekt och utbyten av kunskaper och bästa praxis.</w:t>
      </w:r>
    </w:p>
    <w:p w:rsidR="009D529C" w:rsidRPr="00D70B72" w:rsidRDefault="009D529C" w:rsidP="009D529C">
      <w:pPr>
        <w:pStyle w:val="NormalHanging12a"/>
        <w:widowControl/>
        <w:rPr>
          <w:szCs w:val="24"/>
        </w:rPr>
      </w:pPr>
      <w:r w:rsidRPr="00D70B72">
        <w:t>49.</w:t>
      </w:r>
      <w:r w:rsidRPr="00D70B72">
        <w:tab/>
        <w:t>Europaparlamentet betonar vikten av att EU:s gränsöverskridande program omfattar kultur som en viktig indikator på regional utveckling, särskilt i gränsområden där människor som lever på båda sidorna av gränsen delar samma kulturella och språkliga bakgrund, för att säkerställa levande regioner och öka regionernas attraktionskraft, öka det kulturella utbytet och främja mångfald och solidaritet bortom EU:s gränser.</w:t>
      </w:r>
    </w:p>
    <w:p w:rsidR="009D529C" w:rsidRPr="00D70B72" w:rsidRDefault="009D529C" w:rsidP="009D529C">
      <w:pPr>
        <w:pStyle w:val="NormalHanging12a"/>
        <w:widowControl/>
      </w:pPr>
      <w:r w:rsidRPr="00D70B72">
        <w:t>50.</w:t>
      </w:r>
      <w:r w:rsidRPr="00D70B72">
        <w:tab/>
        <w:t>Europaparlamentet framhåller att programmen erbjuder möjligheter till en djupgående dialog med en rad berörda parter, inbegripet det civila samhället, lokala och regionala myndigheter, den akademiska världen, medborgarna, icke-statliga organisationer och den privata sektorn. Parlamentet betonar i synnerhet vikten av gränsöverskridande program för EU:s kandidatländer, eftersom de ger lokala och nationella myndigheter en möjlighet att bekanta sig med EU-lagstiftningen.</w:t>
      </w:r>
    </w:p>
    <w:p w:rsidR="009D529C" w:rsidRPr="00D70B72" w:rsidRDefault="009D529C" w:rsidP="009D529C">
      <w:pPr>
        <w:pStyle w:val="NormalHanging12a"/>
        <w:widowControl/>
      </w:pPr>
      <w:r w:rsidRPr="00D70B72">
        <w:t>51.</w:t>
      </w:r>
      <w:r w:rsidRPr="00D70B72">
        <w:tab/>
        <w:t>Europaparlamentet konstaterar att gränsöverskridande samarbete kan bidra till att ytterligare minska regionala skillnader, främja ekonomisk och social utveckling, jämställdhetsintegrering, sysselsättning, handel och territoriell sammanhållning samt förbättra människors rörlighet och regionernas konnektivitet.</w:t>
      </w:r>
    </w:p>
    <w:p w:rsidR="009D529C" w:rsidRPr="00D70B72" w:rsidRDefault="009D529C" w:rsidP="009D529C">
      <w:pPr>
        <w:pStyle w:val="NormalHanging12a"/>
        <w:widowControl/>
      </w:pPr>
      <w:r w:rsidRPr="00D70B72">
        <w:t>52.</w:t>
      </w:r>
      <w:r w:rsidRPr="00D70B72">
        <w:tab/>
        <w:t>Europaparlamentet betonar betydelsen av det gränsöverskridande samarbetet på området för digitalisering, och understryker behovet av gemensamma projekt för digital infrastruktur, i synnerhet inom offentliga tjänster, för att skapa en sammanhängande och effektiv offentlig sektor som är inriktad på allas behov.</w:t>
      </w:r>
    </w:p>
    <w:p w:rsidR="009D529C" w:rsidRPr="00D70B72" w:rsidRDefault="009D529C" w:rsidP="009D529C">
      <w:pPr>
        <w:pStyle w:val="NormalHanging12a"/>
        <w:widowControl/>
        <w:rPr>
          <w:szCs w:val="24"/>
        </w:rPr>
      </w:pPr>
      <w:r w:rsidRPr="00D70B72">
        <w:t>53.</w:t>
      </w:r>
      <w:r w:rsidRPr="00D70B72">
        <w:tab/>
        <w:t>Europaparlamentet betonar att EU och medlemsstaterna bör närmare samarbeta med grannländerna på området för hälso- och sjukvård och alarmeringstjänster och förbättra små och medelstora företags och midcap-bolags möjlighet att bedriva verksamhet över gränserna.</w:t>
      </w:r>
    </w:p>
    <w:p w:rsidR="009D529C" w:rsidRPr="00D70B72" w:rsidRDefault="009D529C" w:rsidP="009D529C">
      <w:pPr>
        <w:pStyle w:val="NormalHanging12a"/>
        <w:widowControl/>
      </w:pPr>
      <w:r w:rsidRPr="00D70B72">
        <w:t>54.</w:t>
      </w:r>
      <w:r w:rsidRPr="00D70B72">
        <w:tab/>
        <w:t>Europaparlamentet betonar vikten av nätverksarbete och benchmarking för att undanröja hinder för gränsöverskridande samarbete och konstaterar att detta bör möjliggöra en bättre användning av verktyg såsom EGTS, verktyget för integrerade territoriella investeringar och strategin för lokalt ledd utveckling.</w:t>
      </w:r>
    </w:p>
    <w:p w:rsidR="009D529C" w:rsidRPr="00D70B72" w:rsidRDefault="009D529C" w:rsidP="009D529C">
      <w:pPr>
        <w:pStyle w:val="NormalHanging12a"/>
        <w:widowControl/>
      </w:pPr>
      <w:r w:rsidRPr="00D70B72">
        <w:t>55.</w:t>
      </w:r>
      <w:r w:rsidRPr="00D70B72">
        <w:tab/>
        <w:t>Europaparlamentet betonar att investeringar i offentliga tjänster av hög kvalitet är avgörande för att bygga upp social resiliens och hantera ekonomiska, hälsorelaterade och sociala kriser.</w:t>
      </w:r>
    </w:p>
    <w:p w:rsidR="009D529C" w:rsidRPr="00D70B72" w:rsidRDefault="009D529C" w:rsidP="009D529C">
      <w:pPr>
        <w:pStyle w:val="NormalHanging12a"/>
        <w:widowControl/>
      </w:pPr>
      <w:r w:rsidRPr="00D70B72">
        <w:t>56.</w:t>
      </w:r>
      <w:r w:rsidRPr="00D70B72">
        <w:tab/>
        <w:t>Europaparlamentet välkomnar den brittiska regeringens fortsatta engagemang för Peace-programmet, som spelar en nyckelroll för samarbetet mellan gränsregionerna i Irland och Nordirland.</w:t>
      </w:r>
    </w:p>
    <w:p w:rsidR="009D529C" w:rsidRPr="00D70B72" w:rsidRDefault="009D529C" w:rsidP="009D529C">
      <w:pPr>
        <w:pStyle w:val="NormalHanging12a"/>
        <w:widowControl/>
      </w:pPr>
      <w:r w:rsidRPr="00D70B72">
        <w:lastRenderedPageBreak/>
        <w:t>57.</w:t>
      </w:r>
      <w:r w:rsidRPr="00D70B72">
        <w:tab/>
        <w:t>Europaparlamentet understryker att Peace Plus-programmet spelar en avgörande roll för att upprätthålla goda grannförbindelser i regionerna och säkerställa socioekonomisk utveckling.</w:t>
      </w:r>
    </w:p>
    <w:p w:rsidR="009D529C" w:rsidRPr="00D70B72" w:rsidRDefault="009D529C" w:rsidP="009D529C">
      <w:pPr>
        <w:pStyle w:val="NormalHanging12a"/>
        <w:widowControl/>
        <w:rPr>
          <w:rFonts w:eastAsiaTheme="majorEastAsia"/>
          <w:b/>
          <w:bCs/>
          <w:i/>
          <w:kern w:val="32"/>
        </w:rPr>
      </w:pPr>
      <w:r w:rsidRPr="00D70B72">
        <w:rPr>
          <w:b/>
          <w:i/>
        </w:rPr>
        <w:t>Politiska rekommendationer</w:t>
      </w:r>
    </w:p>
    <w:p w:rsidR="009D529C" w:rsidRPr="00D70B72" w:rsidRDefault="009D529C" w:rsidP="009D529C">
      <w:pPr>
        <w:pStyle w:val="NormalHanging12a"/>
        <w:widowControl/>
      </w:pPr>
      <w:r w:rsidRPr="00D70B72">
        <w:t>58.</w:t>
      </w:r>
      <w:r w:rsidRPr="00D70B72">
        <w:tab/>
        <w:t>Europaparlamentet rekommenderar större komplementaritet mellan projekten och betonar behovet av synergier med andra EU-finansieringsinstrument, som har samma geografiska och tematiska täckning, för att undvika dubbelfinansiering. Parlamentet understryker behovet av att de riktade programmen under programperioden 2021–2027 tydligt identifierar de krav och prioriteringar som är gemensamma för regionerna längs EU:s yttre gränser och kompletterar andra EU-finansierade initiativ och inte överlappar dem.</w:t>
      </w:r>
    </w:p>
    <w:p w:rsidR="009D529C" w:rsidRPr="00D70B72" w:rsidRDefault="009D529C" w:rsidP="009D529C">
      <w:pPr>
        <w:pStyle w:val="NormalHanging12a"/>
        <w:widowControl/>
      </w:pPr>
      <w:r w:rsidRPr="00D70B72">
        <w:t>59.</w:t>
      </w:r>
      <w:r w:rsidRPr="00D70B72">
        <w:tab/>
        <w:t>Europaparlamentet anser att EU:s makroregionala strategier för att bemöta utmaningar som rör gränsregionerna bör ges en större roll.</w:t>
      </w:r>
    </w:p>
    <w:p w:rsidR="009D529C" w:rsidRPr="00D70B72" w:rsidRDefault="009D529C" w:rsidP="009D529C">
      <w:pPr>
        <w:pStyle w:val="NormalHanging12a"/>
        <w:widowControl/>
        <w:rPr>
          <w:szCs w:val="24"/>
        </w:rPr>
      </w:pPr>
      <w:r w:rsidRPr="00D70B72">
        <w:t>60.</w:t>
      </w:r>
      <w:r w:rsidRPr="00D70B72">
        <w:tab/>
        <w:t xml:space="preserve">Europaparlamentet rekommenderar att det på området för gränsöverskridande förvaltning utvecklas en fullt integrerad infrastrukturstrategi (väg, järnväg, vatten), som beaktar den gränsöverskridande regionen som helhet. Parlamentet betonar vikten av att utveckla mer hållbara lösningar för mobilitet i alla gränsområden, inbegripet genom TEN-T-politiken. Parlamentet uppmanar kommissionen och medlemsstaterna att främja smart mobilitet. </w:t>
      </w:r>
    </w:p>
    <w:p w:rsidR="009D529C" w:rsidRPr="00D70B72" w:rsidRDefault="009D529C" w:rsidP="009D529C">
      <w:pPr>
        <w:pStyle w:val="NormalHanging12a"/>
        <w:widowControl/>
      </w:pPr>
      <w:r w:rsidRPr="00D70B72">
        <w:t>61.</w:t>
      </w:r>
      <w:r w:rsidRPr="00D70B72">
        <w:tab/>
        <w:t>Europaparlamentet rekommenderar att EU-finansieringsinstrument med socialt och ekonomiskt mervärde främjas för att öka medvetenheten om fördelarna med EU.</w:t>
      </w:r>
    </w:p>
    <w:p w:rsidR="009D529C" w:rsidRPr="00D70B72" w:rsidRDefault="009D529C" w:rsidP="009D529C">
      <w:pPr>
        <w:pStyle w:val="NormalHanging12a"/>
        <w:widowControl/>
      </w:pPr>
      <w:r w:rsidRPr="00D70B72">
        <w:t>62.</w:t>
      </w:r>
      <w:r w:rsidRPr="00D70B72">
        <w:tab/>
        <w:t>Europaparlamentet uppmanar kommissionen att minska den byråkratiska bördan, avsevärt förenkla förfarandena och minska de hinder som är kopplade till olika lagar. Parlamentet insisterar på att detta bör göra det möjligt att tillgodose de verkliga behoven i gränsområdena. Parlamentet betonar att hållbar och inkluderande utveckling kräver insatser på alla nivåer. Parlamentet erkänner uttryckligen vikten av att uppmärksamma landsbygdsområdena i gränsöverskridande regioner, eftersom de drabbas särskilt hårt av demografiska utmaningar.</w:t>
      </w:r>
    </w:p>
    <w:p w:rsidR="009D529C" w:rsidRPr="00D70B72" w:rsidRDefault="009D529C" w:rsidP="009D529C">
      <w:pPr>
        <w:pStyle w:val="NormalHanging12a"/>
        <w:widowControl/>
      </w:pPr>
      <w:r w:rsidRPr="00D70B72">
        <w:t>63.</w:t>
      </w:r>
      <w:r w:rsidRPr="00D70B72">
        <w:tab/>
        <w:t>Europaparlamentet efterlyser bättre samordning, dialog och ytterligare utbyte av bästa praxis mellan regioner och stater, till exempel genom en plattform som Interreg Europe. Parlamentet uppmanar bestämt kommissionen och medlemsstaterna att stärka samarbetet i detta avseende och uppmanar medlemsstaterna att förse de lokala och regionala myndigheterna med de verktyg och resurser som de behöver för att främja ett ambitiöst gränsöverskridande samarbete. Parlamentet anser att offentliga utbildnings- och kulturtjänster bör vara öppna, tillgängliga och överkomliga för medborgare från båda sidor av gränserna.</w:t>
      </w:r>
    </w:p>
    <w:p w:rsidR="009D529C" w:rsidRPr="00D70B72" w:rsidRDefault="009D529C" w:rsidP="009D529C">
      <w:pPr>
        <w:pStyle w:val="NormalHanging12a"/>
        <w:widowControl/>
      </w:pPr>
      <w:r w:rsidRPr="00D70B72">
        <w:t>64.</w:t>
      </w:r>
      <w:r w:rsidRPr="00D70B72">
        <w:tab/>
        <w:t>Europaparlamentet betonar att i enlighet med partnerskapsprincipen bör regionala och lokala myndigheter och företrädare för det civila samhället och den privata sektorn i största möjliga utsträckning involveras i utarbetandet och genomförandet av projekt redan från början. Parlamentet uppmanar kommissionen att överväga att ge tekniskt stöd till lokala och regionala myndigheter i grannländerna för att hjälpa dem att utveckla och genomföra territoriella samarbetsprojekt. Parlamentet begär också att riktlinjer utarbetas i detta avseende.</w:t>
      </w:r>
    </w:p>
    <w:p w:rsidR="009D529C" w:rsidRPr="00D70B72" w:rsidRDefault="009D529C" w:rsidP="009D529C">
      <w:pPr>
        <w:pStyle w:val="NormalHanging12a"/>
        <w:widowControl/>
      </w:pPr>
      <w:r w:rsidRPr="00D70B72">
        <w:lastRenderedPageBreak/>
        <w:t>65.</w:t>
      </w:r>
      <w:r w:rsidRPr="00D70B72">
        <w:tab/>
        <w:t>Europaparlamentet uppmanar kommissionen att fortsätta att integrera målen för hållbar utveckling i framtida handlingsplaner för gränsöverskridande samarbete, så att ingen plats eller person lämnas utanför.</w:t>
      </w:r>
    </w:p>
    <w:p w:rsidR="009D529C" w:rsidRPr="00D70B72" w:rsidRDefault="009D529C" w:rsidP="009D529C">
      <w:pPr>
        <w:pStyle w:val="NormalHanging12a"/>
        <w:widowControl/>
      </w:pPr>
      <w:r w:rsidRPr="00D70B72">
        <w:t>66.</w:t>
      </w:r>
      <w:r w:rsidRPr="00D70B72">
        <w:tab/>
        <w:t>Europaparlamentet uppmanar kommissionen att samarbeta ytterligare med partnerländerna för att främja gränsöverskridande samarbete och vid behov erbjuda sakkunskap för att hjälpa motsvarande myndigheter i partnerländerna och förbättra den information de får om förfaranden och villkor för att få tillgång till EU-finansiering.</w:t>
      </w:r>
    </w:p>
    <w:p w:rsidR="009D529C" w:rsidRPr="00D70B72" w:rsidRDefault="009D529C" w:rsidP="009D529C">
      <w:pPr>
        <w:pStyle w:val="NormalHanging12a"/>
        <w:widowControl/>
      </w:pPr>
      <w:r w:rsidRPr="00D70B72">
        <w:t>67.</w:t>
      </w:r>
      <w:r w:rsidRPr="00D70B72">
        <w:tab/>
        <w:t>Europaparlamentet kräver en ökning av den totala budgeten för gränsöverskridande territoriellt samarbete.</w:t>
      </w:r>
    </w:p>
    <w:p w:rsidR="009D529C" w:rsidRPr="00D70B72" w:rsidRDefault="009D529C" w:rsidP="009D529C">
      <w:pPr>
        <w:pStyle w:val="NormalHanging12a"/>
        <w:widowControl/>
      </w:pPr>
      <w:r w:rsidRPr="00D70B72">
        <w:t>68.</w:t>
      </w:r>
      <w:r w:rsidRPr="00D70B72">
        <w:tab/>
        <w:t>Europaparlamentet anser att införandet av gemensamma gränsöverskridande råd för lokala myndigheter, såsom det som inrättats mellan Rumänien och Moldavien för att bidra till att utveckla gemensamma projekt av ömsesidigt intresse, kan vara ett exempel att följa.</w:t>
      </w:r>
    </w:p>
    <w:p w:rsidR="009D529C" w:rsidRPr="00D70B72" w:rsidRDefault="009D529C" w:rsidP="009D529C">
      <w:pPr>
        <w:pStyle w:val="NormalHanging12a"/>
        <w:widowControl/>
      </w:pPr>
      <w:r w:rsidRPr="00D70B72">
        <w:t>69.</w:t>
      </w:r>
      <w:r w:rsidRPr="00D70B72">
        <w:tab/>
        <w:t>Europaparlamentet uppmuntrar insatser för att föra partnerländerna närmare EU, stimulera interna reformer och kapacitetsuppbyggnad på lokal och regional nivå och främja lokal demokrati, flernivåstyre och decentraliserat samarbete, bland annat genom samarbete inom Euronest och konferensen för regionala och lokala myndigheter i länderna inom det östliga partnerskapet (Corleap) för det östra grannskapet och församlingen för lokala och regionala myndigheter i EU och Medelhavsområdet (Arlem) och den parlamentariska församlingen för unionen för Medelhavsområdet för det södra grannskapet.</w:t>
      </w:r>
    </w:p>
    <w:p w:rsidR="009D529C" w:rsidRPr="00D70B72" w:rsidRDefault="009D529C" w:rsidP="009D529C">
      <w:pPr>
        <w:pStyle w:val="NormalHanging12a"/>
        <w:widowControl/>
      </w:pPr>
      <w:r w:rsidRPr="00D70B72">
        <w:t>70.</w:t>
      </w:r>
      <w:r w:rsidRPr="00D70B72">
        <w:tab/>
        <w:t>Europaparlamentet betonar behovet att trappa upp insatserna och anslå mer resurser till gränsöverskridande projekt för utveckling av it-infrastruktur och ökad åtkomst till bredbandsnät, i syfte att stödja ekonomiskt och socialt samarbete mellan gränsöverskridande regioner. Parlamentet framhäver den nyckelroll som teknik och innovationer som bygger på artificiell intelligens kan spela för att stärka förbindelserna, främja hållbar utveckling och förbättra och förenkla administrativa förfaranden.</w:t>
      </w:r>
    </w:p>
    <w:p w:rsidR="009D529C" w:rsidRPr="00D70B72" w:rsidRDefault="009D529C" w:rsidP="009D529C">
      <w:pPr>
        <w:pStyle w:val="NormalHanging12a"/>
        <w:widowControl/>
      </w:pPr>
      <w:r w:rsidRPr="00D70B72">
        <w:t>71.</w:t>
      </w:r>
      <w:r w:rsidRPr="00D70B72">
        <w:tab/>
        <w:t>Europaparlamentet betonar vikten av att identifiera och undvika överlappande projekt och onödiga utgifter mellan olika europeiska program och initiativ.</w:t>
      </w:r>
    </w:p>
    <w:p w:rsidR="009D529C" w:rsidRPr="00D70B72" w:rsidRDefault="009D529C" w:rsidP="009D529C">
      <w:pPr>
        <w:pStyle w:val="NormalHanging12a"/>
        <w:widowControl/>
        <w:rPr>
          <w:szCs w:val="24"/>
        </w:rPr>
      </w:pPr>
      <w:r w:rsidRPr="00D70B72">
        <w:t>72.</w:t>
      </w:r>
      <w:r w:rsidRPr="00D70B72">
        <w:tab/>
        <w:t>Europaparlamentet rekommenderar att regelbundna utvärderingar görs av gränsöverskridande samarbetsprojekt för att säkerställa en effektiv användning av EU:s finansiella resurser.</w:t>
      </w:r>
    </w:p>
    <w:p w:rsidR="009D529C" w:rsidRPr="00D70B72" w:rsidRDefault="009D529C" w:rsidP="009D529C">
      <w:pPr>
        <w:pStyle w:val="NormalHanging12a"/>
        <w:widowControl/>
        <w:jc w:val="center"/>
        <w:rPr>
          <w:rFonts w:ascii="Calibri" w:hAnsi="Calibri" w:cs="Calibri"/>
          <w:sz w:val="27"/>
          <w:szCs w:val="27"/>
        </w:rPr>
      </w:pPr>
      <w:r w:rsidRPr="00D70B72">
        <w:rPr>
          <w:rFonts w:ascii="Calibri" w:hAnsi="Calibri"/>
          <w:sz w:val="27"/>
        </w:rPr>
        <w:t>°</w:t>
      </w:r>
    </w:p>
    <w:p w:rsidR="009D529C" w:rsidRPr="00D70B72" w:rsidRDefault="009D529C" w:rsidP="009D529C">
      <w:pPr>
        <w:pStyle w:val="NormalHanging12a"/>
        <w:widowControl/>
        <w:jc w:val="center"/>
        <w:rPr>
          <w:szCs w:val="24"/>
        </w:rPr>
      </w:pPr>
      <w:r w:rsidRPr="00D70B72">
        <w:rPr>
          <w:rFonts w:ascii="Calibri" w:hAnsi="Calibri"/>
          <w:sz w:val="27"/>
        </w:rPr>
        <w:t>°</w:t>
      </w:r>
      <w:r w:rsidRPr="00D70B72">
        <w:rPr>
          <w:rFonts w:ascii="Calibri" w:hAnsi="Calibri"/>
          <w:sz w:val="27"/>
        </w:rPr>
        <w:tab/>
        <w:t>°</w:t>
      </w:r>
    </w:p>
    <w:p w:rsidR="009D529C" w:rsidRPr="000F1412" w:rsidRDefault="009D529C" w:rsidP="009D529C">
      <w:pPr>
        <w:pStyle w:val="NormalHanging12a"/>
        <w:widowControl/>
      </w:pPr>
      <w:r w:rsidRPr="00D70B72">
        <w:t>73.</w:t>
      </w:r>
      <w:r w:rsidRPr="00D70B72">
        <w:tab/>
        <w:t>Europaparlamentet uppdrar åt talmannen att översända denna resolution till Europeiska rådet, rådet, kommissionen, Europeiska ekonomiska och sociala kommittén, Regionkommittén samt medlemsstaternas nationella och regionala parlament.</w:t>
      </w:r>
    </w:p>
    <w:p w:rsidR="00E365E1" w:rsidRPr="000F1412" w:rsidRDefault="00E365E1" w:rsidP="0034733D">
      <w:bookmarkStart w:id="9" w:name="TextBodyEnd"/>
      <w:bookmarkEnd w:id="9"/>
    </w:p>
    <w:sectPr w:rsidR="00E365E1" w:rsidRPr="000F1412" w:rsidSect="000F14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33D" w:rsidRPr="000F1412" w:rsidRDefault="0034733D">
      <w:r w:rsidRPr="000F1412">
        <w:separator/>
      </w:r>
    </w:p>
  </w:endnote>
  <w:endnote w:type="continuationSeparator" w:id="0">
    <w:p w:rsidR="0034733D" w:rsidRPr="000F1412" w:rsidRDefault="0034733D">
      <w:r w:rsidRPr="000F14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14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14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14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33D" w:rsidRPr="000F1412" w:rsidRDefault="0034733D">
      <w:r w:rsidRPr="000F1412">
        <w:separator/>
      </w:r>
    </w:p>
  </w:footnote>
  <w:footnote w:type="continuationSeparator" w:id="0">
    <w:p w:rsidR="0034733D" w:rsidRPr="000F1412" w:rsidRDefault="0034733D">
      <w:r w:rsidRPr="000F1412">
        <w:continuationSeparator/>
      </w:r>
    </w:p>
  </w:footnote>
  <w:footnote w:id="1">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EUT L 231, 30.6.2021, s. 159.</w:t>
      </w:r>
    </w:p>
  </w:footnote>
  <w:footnote w:id="2">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EUT L 231, 30.6.2021, s. 60.</w:t>
      </w:r>
    </w:p>
  </w:footnote>
  <w:footnote w:id="3">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EUT L 231, 30.6.2021, s. 94.</w:t>
      </w:r>
    </w:p>
  </w:footnote>
  <w:footnote w:id="4">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EUT L 109, 8.4.2022, s. 1.</w:t>
      </w:r>
    </w:p>
  </w:footnote>
  <w:footnote w:id="5">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EUT L 210, 31.7.2006, s. 19.</w:t>
      </w:r>
    </w:p>
  </w:footnote>
  <w:footnote w:id="6">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EUT C 111 I, 3.4.2020, s. 1.</w:t>
      </w:r>
    </w:p>
  </w:footnote>
  <w:footnote w:id="7">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EUT C 125, 5.4.2023, s. 100.</w:t>
      </w:r>
    </w:p>
  </w:footnote>
  <w:footnote w:id="8">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Antagna texter, P9_TA(2023)0133.</w:t>
      </w:r>
    </w:p>
  </w:footnote>
  <w:footnote w:id="9">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EUT C 162, 10.5.2019, s. 24.</w:t>
      </w:r>
    </w:p>
  </w:footnote>
  <w:footnote w:id="10">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 xml:space="preserve">Studie – </w:t>
      </w:r>
      <w:r w:rsidRPr="000F1412">
        <w:rPr>
          <w:i/>
          <w:iCs/>
          <w:sz w:val="24"/>
          <w:lang w:val="sv-SE"/>
        </w:rPr>
        <w:t>European lagging regions:</w:t>
      </w:r>
      <w:r w:rsidRPr="000F1412">
        <w:rPr>
          <w:sz w:val="24"/>
          <w:lang w:val="sv-SE"/>
        </w:rPr>
        <w:t xml:space="preserve"> </w:t>
      </w:r>
      <w:r w:rsidRPr="000F1412">
        <w:rPr>
          <w:i/>
          <w:iCs/>
          <w:sz w:val="24"/>
          <w:lang w:val="sv-SE"/>
        </w:rPr>
        <w:t>state of play and future challenges</w:t>
      </w:r>
      <w:r w:rsidRPr="000F1412">
        <w:rPr>
          <w:sz w:val="24"/>
          <w:lang w:val="sv-SE"/>
        </w:rPr>
        <w:t>, Europaparlamentet, generaldirektoratet för parlamentarisk utredning och analys, september 2020.</w:t>
      </w:r>
    </w:p>
  </w:footnote>
  <w:footnote w:id="11">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EUT C 433, 23.12.2019, s. 24.</w:t>
      </w:r>
    </w:p>
  </w:footnote>
  <w:footnote w:id="12">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 xml:space="preserve">Mellanstatliga panelen för klimatförändringar, </w:t>
      </w:r>
      <w:r w:rsidRPr="000F1412">
        <w:rPr>
          <w:i/>
          <w:iCs/>
          <w:sz w:val="24"/>
          <w:lang w:val="sv-SE"/>
        </w:rPr>
        <w:t>Climate Change 2022:</w:t>
      </w:r>
      <w:r w:rsidRPr="000F1412">
        <w:rPr>
          <w:sz w:val="24"/>
          <w:lang w:val="sv-SE"/>
        </w:rPr>
        <w:t xml:space="preserve"> </w:t>
      </w:r>
      <w:r w:rsidRPr="000F1412">
        <w:rPr>
          <w:i/>
          <w:iCs/>
          <w:sz w:val="24"/>
          <w:lang w:val="sv-SE"/>
        </w:rPr>
        <w:t>Mitigation of Climate Change</w:t>
      </w:r>
      <w:r w:rsidRPr="000F1412">
        <w:rPr>
          <w:sz w:val="24"/>
          <w:lang w:val="sv-SE"/>
        </w:rPr>
        <w:t xml:space="preserve">. Arbetsgrupp III – bidrag till den sjätte utvärderingsrapporten från den mellanstatliga panelen för klimatförändringar (Shukla, P.R. et al., eds), Cambridge University Press, Cambridge, UK and New York, NY, USA, 2022. </w:t>
      </w:r>
    </w:p>
  </w:footnote>
  <w:footnote w:id="13">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EUT C 440, 29.10.2021, s. 6.</w:t>
      </w:r>
    </w:p>
  </w:footnote>
  <w:footnote w:id="14">
    <w:p w:rsidR="009D529C" w:rsidRPr="000F1412" w:rsidRDefault="009D529C" w:rsidP="000F1412">
      <w:pPr>
        <w:pStyle w:val="FootnoteText"/>
        <w:ind w:left="567" w:hanging="567"/>
        <w:rPr>
          <w:sz w:val="24"/>
          <w:lang w:val="sv-SE"/>
        </w:rPr>
      </w:pPr>
      <w:r w:rsidRPr="000F1412">
        <w:rPr>
          <w:rStyle w:val="FootnoteReference"/>
          <w:sz w:val="24"/>
          <w:lang w:val="sv-SE"/>
        </w:rPr>
        <w:footnoteRef/>
      </w:r>
      <w:r w:rsidR="000F1412" w:rsidRPr="000F1412">
        <w:rPr>
          <w:sz w:val="24"/>
          <w:lang w:val="sv-SE"/>
        </w:rPr>
        <w:t xml:space="preserve"> </w:t>
      </w:r>
      <w:r w:rsidR="000F1412" w:rsidRPr="000F1412">
        <w:rPr>
          <w:sz w:val="24"/>
          <w:lang w:val="sv-SE"/>
        </w:rPr>
        <w:tab/>
      </w:r>
      <w:r w:rsidRPr="000F1412">
        <w:rPr>
          <w:sz w:val="24"/>
          <w:lang w:val="sv-SE"/>
        </w:rPr>
        <w:t>EUT C 207, 30.6.2017, s. 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14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14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14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SV"/>
    <w:docVar w:name="dvnumam" w:val="0"/>
    <w:docVar w:name="dvpe" w:val="751.733"/>
    <w:docVar w:name="dvrapporteur" w:val="Föredragande: "/>
    <w:docVar w:name="dvtitre" w:val="Europaparlamentets resolution av den xx xx 2024 om nuvarande och framtida utmaningar för det gränsöverskridande samarbetet med grannländerna(2023/2076(INI))"/>
  </w:docVars>
  <w:rsids>
    <w:rsidRoot w:val="0034733D"/>
    <w:rsid w:val="00002272"/>
    <w:rsid w:val="00064002"/>
    <w:rsid w:val="000677B9"/>
    <w:rsid w:val="000831BA"/>
    <w:rsid w:val="000A42CC"/>
    <w:rsid w:val="000E7DD9"/>
    <w:rsid w:val="000F1412"/>
    <w:rsid w:val="0010095E"/>
    <w:rsid w:val="00125B37"/>
    <w:rsid w:val="00187494"/>
    <w:rsid w:val="001F32AE"/>
    <w:rsid w:val="002767FF"/>
    <w:rsid w:val="002B18FE"/>
    <w:rsid w:val="002B5493"/>
    <w:rsid w:val="00343214"/>
    <w:rsid w:val="0034733D"/>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6AA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529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0B72"/>
    <w:rsid w:val="00D834A0"/>
    <w:rsid w:val="00D872DF"/>
    <w:rsid w:val="00D91E21"/>
    <w:rsid w:val="00DA7FCD"/>
    <w:rsid w:val="00DD435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D394E"/>
  <w15:chartTrackingRefBased/>
  <w15:docId w15:val="{13256841-D056-4A29-B4B5-1799031A4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9D529C"/>
    <w:pPr>
      <w:keepNext/>
      <w:spacing w:after="480"/>
      <w:jc w:val="center"/>
    </w:pPr>
    <w:rPr>
      <w:rFonts w:ascii="Arial" w:hAnsi="Arial" w:cs="Arial"/>
      <w:b/>
    </w:rPr>
  </w:style>
  <w:style w:type="paragraph" w:customStyle="1" w:styleId="NormalBold">
    <w:name w:val="NormalBold"/>
    <w:basedOn w:val="Normal"/>
    <w:rsid w:val="009D529C"/>
    <w:rPr>
      <w:b/>
    </w:rPr>
  </w:style>
  <w:style w:type="paragraph" w:customStyle="1" w:styleId="NormalHanging12a">
    <w:name w:val="NormalHanging12a"/>
    <w:basedOn w:val="Normal"/>
    <w:link w:val="NormalHanging12aChar"/>
    <w:rsid w:val="009D529C"/>
    <w:pPr>
      <w:spacing w:after="240"/>
      <w:ind w:left="567" w:hanging="567"/>
    </w:pPr>
  </w:style>
  <w:style w:type="paragraph" w:customStyle="1" w:styleId="EPComma">
    <w:name w:val="EPComma"/>
    <w:basedOn w:val="Normal"/>
    <w:rsid w:val="009D529C"/>
    <w:pPr>
      <w:spacing w:before="480" w:after="240"/>
    </w:pPr>
  </w:style>
  <w:style w:type="character" w:customStyle="1" w:styleId="y2iqfc">
    <w:name w:val="y2iqfc"/>
    <w:basedOn w:val="DefaultParagraphFont"/>
    <w:rsid w:val="009D529C"/>
  </w:style>
  <w:style w:type="character" w:customStyle="1" w:styleId="NormalHanging12aChar">
    <w:name w:val="NormalHanging12a Char"/>
    <w:basedOn w:val="DefaultParagraphFont"/>
    <w:link w:val="NormalHanging12a"/>
    <w:rsid w:val="009D529C"/>
    <w:rPr>
      <w:sz w:val="24"/>
      <w:lang w:val="sv-SE"/>
    </w:rPr>
  </w:style>
  <w:style w:type="paragraph" w:styleId="BalloonText">
    <w:name w:val="Balloon Text"/>
    <w:basedOn w:val="Normal"/>
    <w:link w:val="BalloonTextChar"/>
    <w:rsid w:val="00DD435B"/>
    <w:rPr>
      <w:rFonts w:ascii="Segoe UI" w:hAnsi="Segoe UI" w:cs="Segoe UI"/>
      <w:sz w:val="18"/>
      <w:szCs w:val="18"/>
    </w:rPr>
  </w:style>
  <w:style w:type="character" w:customStyle="1" w:styleId="BalloonTextChar">
    <w:name w:val="Balloon Text Char"/>
    <w:basedOn w:val="DefaultParagraphFont"/>
    <w:link w:val="BalloonText"/>
    <w:rsid w:val="00DD435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DF57A-09A3-43D0-8525-6B2EA8C74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4360</Words>
  <Characters>29789</Characters>
  <Application>Microsoft Office Word</Application>
  <DocSecurity>0</DocSecurity>
  <Lines>661</Lines>
  <Paragraphs>397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EKERAM Lena</cp:lastModifiedBy>
  <cp:revision>2</cp:revision>
  <cp:lastPrinted>2004-11-19T15:42:00Z</cp:lastPrinted>
  <dcterms:created xsi:type="dcterms:W3CDTF">2024-02-14T10:00:00Z</dcterms:created>
  <dcterms:modified xsi:type="dcterms:W3CDTF">2024-02-14T10:00:00Z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A9-0415/2023</vt:lpwstr>
  </property>
  <property fmtid="{D5CDD505-2E9C-101B-9397-08002B2CF9AE}" pid="4" name="&lt;Type&gt;">
    <vt:lpwstr>RR</vt:lpwstr>
  </property>
</Properties>
</file>