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675A" w:rsidTr="0010095E">
        <w:trPr>
          <w:trHeight w:hRule="exact" w:val="1418"/>
        </w:trPr>
        <w:tc>
          <w:tcPr>
            <w:tcW w:w="6804" w:type="dxa"/>
            <w:shd w:val="clear" w:color="auto" w:fill="auto"/>
            <w:vAlign w:val="center"/>
          </w:tcPr>
          <w:p w:rsidR="00751A4A" w:rsidRPr="0032675A" w:rsidRDefault="00D03B76" w:rsidP="0010095E">
            <w:pPr>
              <w:pStyle w:val="EPName"/>
            </w:pPr>
            <w:r w:rsidRPr="0032675A">
              <w:t>Европейски</w:t>
            </w:r>
            <w:r w:rsidR="005119E8" w:rsidRPr="0032675A">
              <w:t xml:space="preserve"> парламент</w:t>
            </w:r>
          </w:p>
          <w:p w:rsidR="00751A4A" w:rsidRPr="0032675A" w:rsidRDefault="00D03B76" w:rsidP="00756632">
            <w:pPr>
              <w:pStyle w:val="EPTerm"/>
              <w:rPr>
                <w:rStyle w:val="HideTWBExt"/>
                <w:noProof w:val="0"/>
                <w:vanish w:val="0"/>
                <w:color w:val="auto"/>
              </w:rPr>
            </w:pPr>
            <w:r>
              <w:t>2019 – </w:t>
            </w:r>
            <w:r w:rsidR="00817416" w:rsidRPr="0032675A">
              <w:t>2024</w:t>
            </w:r>
          </w:p>
        </w:tc>
        <w:tc>
          <w:tcPr>
            <w:tcW w:w="2268" w:type="dxa"/>
            <w:shd w:val="clear" w:color="auto" w:fill="auto"/>
          </w:tcPr>
          <w:p w:rsidR="00751A4A" w:rsidRPr="0032675A" w:rsidRDefault="00187494" w:rsidP="0010095E">
            <w:pPr>
              <w:pStyle w:val="EPLogo"/>
            </w:pPr>
            <w:r w:rsidRPr="0032675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2675A" w:rsidRDefault="00D058B8" w:rsidP="004C5D52">
      <w:pPr>
        <w:pStyle w:val="LineTop"/>
      </w:pPr>
    </w:p>
    <w:p w:rsidR="00680577" w:rsidRPr="0032675A" w:rsidRDefault="005119E8" w:rsidP="00680577">
      <w:pPr>
        <w:pStyle w:val="EPBodyTA1"/>
      </w:pPr>
      <w:r w:rsidRPr="0032675A">
        <w:t>ПРИЕТИ ТЕКСТОВЕ</w:t>
      </w:r>
    </w:p>
    <w:p w:rsidR="00D058B8" w:rsidRPr="0032675A" w:rsidRDefault="00D058B8" w:rsidP="00D058B8">
      <w:pPr>
        <w:pStyle w:val="LineBottom"/>
      </w:pPr>
    </w:p>
    <w:p w:rsidR="005119E8" w:rsidRPr="00EB15C6" w:rsidRDefault="005119E8" w:rsidP="00EB15C6">
      <w:pPr>
        <w:pStyle w:val="ATHeading1"/>
        <w:rPr>
          <w:lang w:val="en-GB"/>
        </w:rPr>
      </w:pPr>
      <w:bookmarkStart w:id="0" w:name="TANumber"/>
      <w:r w:rsidRPr="0032675A">
        <w:t>P9_TA(2024)00</w:t>
      </w:r>
      <w:bookmarkEnd w:id="0"/>
      <w:r w:rsidR="00EB15C6">
        <w:rPr>
          <w:lang w:val="en-GB"/>
        </w:rPr>
        <w:t>16</w:t>
      </w:r>
    </w:p>
    <w:p w:rsidR="005119E8" w:rsidRPr="0032675A" w:rsidRDefault="003B3BC6" w:rsidP="005119E8">
      <w:pPr>
        <w:pStyle w:val="ATHeading2"/>
      </w:pPr>
      <w:bookmarkStart w:id="1" w:name="title"/>
      <w:r w:rsidRPr="003B3BC6">
        <w:t>Противопоставяне на акт за изпълнение</w:t>
      </w:r>
      <w:r w:rsidR="005119E8" w:rsidRPr="0032675A">
        <w:t>: Максимално допустими граници на остатъчни вещества от тиаклоприд</w:t>
      </w:r>
      <w:bookmarkEnd w:id="1"/>
    </w:p>
    <w:p w:rsidR="005119E8" w:rsidRPr="0032675A" w:rsidRDefault="005119E8" w:rsidP="005119E8">
      <w:pPr>
        <w:rPr>
          <w:i/>
          <w:vanish/>
        </w:rPr>
      </w:pPr>
      <w:r w:rsidRPr="0032675A">
        <w:rPr>
          <w:i/>
        </w:rPr>
        <w:fldChar w:fldCharType="begin"/>
      </w:r>
      <w:r w:rsidRPr="0032675A">
        <w:rPr>
          <w:i/>
        </w:rPr>
        <w:instrText xml:space="preserve"> TC"(</w:instrText>
      </w:r>
      <w:bookmarkStart w:id="2" w:name="DocNumber"/>
      <w:r w:rsidRPr="0032675A">
        <w:rPr>
          <w:i/>
        </w:rPr>
        <w:instrText>B9-0057/2024</w:instrText>
      </w:r>
      <w:bookmarkEnd w:id="2"/>
      <w:r w:rsidRPr="0032675A">
        <w:rPr>
          <w:i/>
        </w:rPr>
        <w:instrText xml:space="preserve">)"\l3 \n&gt; \* MERGEFORMAT </w:instrText>
      </w:r>
      <w:r w:rsidRPr="0032675A">
        <w:rPr>
          <w:i/>
        </w:rPr>
        <w:fldChar w:fldCharType="end"/>
      </w:r>
    </w:p>
    <w:p w:rsidR="005119E8" w:rsidRPr="0032675A" w:rsidRDefault="005119E8" w:rsidP="005119E8">
      <w:pPr>
        <w:rPr>
          <w:vanish/>
        </w:rPr>
      </w:pPr>
      <w:bookmarkStart w:id="3" w:name="PE"/>
      <w:r w:rsidRPr="0032675A">
        <w:rPr>
          <w:vanish/>
        </w:rPr>
        <w:t>PE757.277</w:t>
      </w:r>
      <w:bookmarkEnd w:id="3"/>
    </w:p>
    <w:p w:rsidR="005119E8" w:rsidRPr="0032675A" w:rsidRDefault="005119E8" w:rsidP="00D03B76">
      <w:pPr>
        <w:pStyle w:val="ATHeading3"/>
      </w:pPr>
      <w:bookmarkStart w:id="4" w:name="Sujet"/>
      <w:r w:rsidRPr="0032675A">
        <w:t xml:space="preserve">Резолюция на Европейския парламент от </w:t>
      </w:r>
      <w:r w:rsidR="003B3BC6">
        <w:t>17 януари</w:t>
      </w:r>
      <w:r w:rsidR="003B3BC6" w:rsidRPr="0032675A">
        <w:t xml:space="preserve"> </w:t>
      </w:r>
      <w:r w:rsidRPr="0032675A">
        <w:t>2024 г. относно предложението за регламент на Съвета за изменение на приложение II към Регламент (ЕО) № 396/2005 на Европейския парламент и на Съвета по отношение на максимално допустимите граници на остатъчни вещества от тиаклоприд във и върху определени продукти</w:t>
      </w:r>
      <w:bookmarkEnd w:id="4"/>
      <w:r w:rsidRPr="0032675A">
        <w:t xml:space="preserve"> </w:t>
      </w:r>
      <w:bookmarkStart w:id="5" w:name="References"/>
      <w:r w:rsidRPr="0032675A">
        <w:t>(COM(2023)0739 – 2023/3005(RPS))</w:t>
      </w:r>
      <w:bookmarkEnd w:id="5"/>
    </w:p>
    <w:p w:rsidR="00C306C7" w:rsidRPr="0032675A" w:rsidRDefault="00C306C7" w:rsidP="00C306C7">
      <w:pPr>
        <w:pStyle w:val="EPComma"/>
      </w:pPr>
      <w:bookmarkStart w:id="6" w:name="TextBodyBegin"/>
      <w:bookmarkEnd w:id="6"/>
      <w:r w:rsidRPr="0032675A">
        <w:rPr>
          <w:i/>
          <w:iCs/>
        </w:rPr>
        <w:t>Европейският парламент</w:t>
      </w:r>
      <w:r w:rsidRPr="0032675A">
        <w:t>,</w:t>
      </w:r>
    </w:p>
    <w:p w:rsidR="00C306C7" w:rsidRPr="0032675A" w:rsidRDefault="00C306C7" w:rsidP="00D03B76">
      <w:pPr>
        <w:pStyle w:val="NormalHanging12a"/>
      </w:pPr>
      <w:r w:rsidRPr="0032675A">
        <w:t>–</w:t>
      </w:r>
      <w:r w:rsidRPr="0032675A">
        <w:tab/>
        <w:t>като взе предвид предложението за регламент на Съвета за изменение на приложение II към Регламент (ЕО) № 396/2005 на Европейския парламент и на Съвета по отношение на максимално допустимите граници на остатъчни вещества за тиаклоприд във или върху определени продукти (COM(2023)0739),</w:t>
      </w:r>
    </w:p>
    <w:p w:rsidR="00C306C7" w:rsidRPr="0032675A" w:rsidRDefault="00C306C7" w:rsidP="00D03B76">
      <w:pPr>
        <w:pStyle w:val="NormalHanging12a"/>
        <w:rPr>
          <w:szCs w:val="24"/>
        </w:rPr>
      </w:pPr>
      <w:r w:rsidRPr="0032675A">
        <w:t>–</w:t>
      </w:r>
      <w:r w:rsidRPr="0032675A">
        <w:tab/>
        <w:t>като взе предвид Регламент (ЕО) № 396/2005 на Европейския парламент и на Съвета от 23 февруари 2005 г. относно максимално допустимите граници на остатъчни вещества от пестициди във и върху храни или фуражи от растителен или животински произход и за изменение на Директива 91/414/ЕИО на Съвета</w:t>
      </w:r>
      <w:r w:rsidRPr="0032675A">
        <w:rPr>
          <w:rStyle w:val="FootnoteReference"/>
        </w:rPr>
        <w:footnoteReference w:id="1"/>
      </w:r>
      <w:r w:rsidRPr="0032675A">
        <w:t xml:space="preserve">, и по-специално член 14, параграф 1, буква а) и член 49, параграф 2 от него, </w:t>
      </w:r>
    </w:p>
    <w:p w:rsidR="00C306C7" w:rsidRPr="0032675A" w:rsidRDefault="00C306C7" w:rsidP="00D03B76">
      <w:pPr>
        <w:pStyle w:val="NormalHanging12a"/>
        <w:rPr>
          <w:szCs w:val="24"/>
        </w:rPr>
      </w:pPr>
      <w:r w:rsidRPr="0032675A">
        <w:t>–</w:t>
      </w:r>
      <w:r w:rsidRPr="0032675A">
        <w:tab/>
        <w:t>като взе предвид Регламент (ЕО) № 1107/2009 на Европейския парламент и на Съвета от 21 октомври 2009 г. относно пускането на пазара на продукти за растителна защита и за отмяна на директиви 79/117/ЕИО и 91/414/ЕИО на Съвета</w:t>
      </w:r>
      <w:r w:rsidRPr="0032675A">
        <w:rPr>
          <w:rStyle w:val="FootnoteReference"/>
          <w:szCs w:val="24"/>
        </w:rPr>
        <w:footnoteReference w:id="2"/>
      </w:r>
      <w:r w:rsidRPr="0032675A">
        <w:t>, и по-специално член 4, параграф 1 и член 4, параграф 2, първа алинея, буква а) от него и точка 3.6.4 от приложение II,</w:t>
      </w:r>
    </w:p>
    <w:p w:rsidR="00C306C7" w:rsidRPr="0032675A" w:rsidRDefault="00C306C7" w:rsidP="00D03B76">
      <w:pPr>
        <w:pStyle w:val="NormalHanging12a"/>
        <w:rPr>
          <w:szCs w:val="24"/>
        </w:rPr>
      </w:pPr>
      <w:r w:rsidRPr="0032675A">
        <w:t>–</w:t>
      </w:r>
      <w:r w:rsidRPr="0032675A">
        <w:tab/>
        <w:t>като взе предвид 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w:t>
      </w:r>
      <w:r w:rsidRPr="0032675A">
        <w:rPr>
          <w:rStyle w:val="FootnoteReference"/>
          <w:szCs w:val="24"/>
        </w:rPr>
        <w:footnoteReference w:id="3"/>
      </w:r>
      <w:r w:rsidRPr="0032675A">
        <w:t>, и по-специално член 5, параграф 1 от него,</w:t>
      </w:r>
    </w:p>
    <w:p w:rsidR="00C306C7" w:rsidRPr="0032675A" w:rsidRDefault="00C306C7" w:rsidP="00D03B76">
      <w:pPr>
        <w:pStyle w:val="NormalHanging12a"/>
        <w:rPr>
          <w:szCs w:val="24"/>
        </w:rPr>
      </w:pPr>
      <w:r w:rsidRPr="0032675A">
        <w:t>–</w:t>
      </w:r>
      <w:r w:rsidRPr="0032675A">
        <w:tab/>
        <w:t xml:space="preserve">като взе предвид членове 11, 13, 168 и 191 от Договора за функционирането на </w:t>
      </w:r>
      <w:r w:rsidRPr="0032675A">
        <w:lastRenderedPageBreak/>
        <w:t>Европейския съюз,</w:t>
      </w:r>
    </w:p>
    <w:p w:rsidR="00C306C7" w:rsidRPr="0032675A" w:rsidRDefault="00C306C7" w:rsidP="00D03B76">
      <w:pPr>
        <w:pStyle w:val="NormalHanging12a"/>
      </w:pPr>
      <w:r w:rsidRPr="0032675A">
        <w:t>–</w:t>
      </w:r>
      <w:r w:rsidRPr="0032675A">
        <w:tab/>
        <w:t>като взе предвид мотивираното становище на Европейския орган за безопасност на храните (ЕОБХ), прието на 09 февруари 2023 г. и публикувано на 15 март 2023 г.</w:t>
      </w:r>
      <w:r w:rsidRPr="0032675A">
        <w:rPr>
          <w:rStyle w:val="FootnoteReference"/>
        </w:rPr>
        <w:footnoteReference w:id="4"/>
      </w:r>
      <w:r w:rsidRPr="0032675A">
        <w:t>,</w:t>
      </w:r>
    </w:p>
    <w:p w:rsidR="00C306C7" w:rsidRPr="0032675A" w:rsidRDefault="00C306C7" w:rsidP="00D03B76">
      <w:pPr>
        <w:pStyle w:val="NormalHanging12a"/>
        <w:rPr>
          <w:szCs w:val="24"/>
        </w:rPr>
      </w:pPr>
      <w:r w:rsidRPr="0032675A">
        <w:t>–</w:t>
      </w:r>
      <w:r w:rsidRPr="0032675A">
        <w:tab/>
        <w:t>като взе предвид заключението относно партньорската проверка във връзка с пестицидите, прието от ЕОБХ на 17 януари 2019 г. и публикувано на 14 март 2019 г.</w:t>
      </w:r>
      <w:r w:rsidRPr="0032675A">
        <w:rPr>
          <w:rStyle w:val="FootnoteReference"/>
          <w:szCs w:val="24"/>
        </w:rPr>
        <w:footnoteReference w:id="5"/>
      </w:r>
      <w:r w:rsidRPr="0032675A">
        <w:t>,</w:t>
      </w:r>
    </w:p>
    <w:p w:rsidR="00C306C7" w:rsidRPr="0032675A" w:rsidRDefault="00C306C7" w:rsidP="00D03B76">
      <w:pPr>
        <w:pStyle w:val="NormalHanging12a"/>
        <w:rPr>
          <w:szCs w:val="24"/>
        </w:rPr>
      </w:pPr>
      <w:r w:rsidRPr="0032675A">
        <w:t>–</w:t>
      </w:r>
      <w:r w:rsidRPr="0032675A">
        <w:tab/>
        <w:t>като взе предвид становището, прието от Комитета за оценка на риска (КОР) на Европейската агенция по химикалите (ECHA) на 12 март 2015 г.</w:t>
      </w:r>
      <w:r w:rsidRPr="0032675A">
        <w:rPr>
          <w:rStyle w:val="FootnoteReference"/>
          <w:szCs w:val="24"/>
        </w:rPr>
        <w:footnoteReference w:id="6"/>
      </w:r>
      <w:r w:rsidRPr="0032675A">
        <w:t>,</w:t>
      </w:r>
    </w:p>
    <w:p w:rsidR="00C306C7" w:rsidRPr="0032675A" w:rsidRDefault="00C306C7" w:rsidP="00D03B76">
      <w:pPr>
        <w:pStyle w:val="NormalHanging12a"/>
        <w:rPr>
          <w:szCs w:val="24"/>
        </w:rPr>
      </w:pPr>
      <w:r w:rsidRPr="0032675A">
        <w:t>–</w:t>
      </w:r>
      <w:r w:rsidRPr="0032675A">
        <w:tab/>
        <w:t>като взе предвид член 5а, параграф 4, буква д) и член 5а, параграф 5 от Решение 1999/468/ЕО на Съвета от 28 юни 1999 г. за установяване на условията и реда за упражняване на изпълнителните правомощия, предоставени на Комисията</w:t>
      </w:r>
      <w:r w:rsidRPr="0032675A">
        <w:rPr>
          <w:rStyle w:val="FootnoteReference"/>
          <w:szCs w:val="24"/>
        </w:rPr>
        <w:footnoteReference w:id="7"/>
      </w:r>
      <w:r w:rsidRPr="0032675A">
        <w:t>,</w:t>
      </w:r>
    </w:p>
    <w:p w:rsidR="00C306C7" w:rsidRPr="0032675A" w:rsidRDefault="00C306C7" w:rsidP="00D03B76">
      <w:pPr>
        <w:pStyle w:val="NormalHanging12a"/>
      </w:pPr>
      <w:r w:rsidRPr="0032675A">
        <w:t>–</w:t>
      </w:r>
      <w:r w:rsidRPr="0032675A">
        <w:tab/>
        <w:t>като взе предвид член 112, параграфи 2 и 3 и член 112, параграф 4, буква в) от своя Правилник за дейността,</w:t>
      </w:r>
    </w:p>
    <w:p w:rsidR="00C306C7" w:rsidRPr="0032675A" w:rsidRDefault="00C306C7" w:rsidP="00D03B76">
      <w:pPr>
        <w:pStyle w:val="NormalHanging12a"/>
      </w:pPr>
      <w:r w:rsidRPr="0032675A">
        <w:t>–</w:t>
      </w:r>
      <w:r w:rsidRPr="0032675A">
        <w:tab/>
        <w:t>като взе предвид предложението за резолюция на комисията по околна среда, обществено здраве и безопасност на храните,</w:t>
      </w:r>
    </w:p>
    <w:p w:rsidR="00C306C7" w:rsidRPr="0032675A" w:rsidRDefault="00C306C7" w:rsidP="00D03B76">
      <w:pPr>
        <w:pStyle w:val="NormalHanging12a"/>
      </w:pPr>
      <w:r w:rsidRPr="0032675A">
        <w:t>А.</w:t>
      </w:r>
      <w:r w:rsidRPr="0032675A">
        <w:tab/>
        <w:t>като има предвид, че тиаклоприд е активна съставка в инсектицидите, използвани главно върху памук, семкови плодове, зеленчуци и картофи;</w:t>
      </w:r>
    </w:p>
    <w:p w:rsidR="00C306C7" w:rsidRPr="0032675A" w:rsidRDefault="00C306C7" w:rsidP="00D03B76">
      <w:pPr>
        <w:pStyle w:val="NormalHanging12a"/>
      </w:pPr>
      <w:r w:rsidRPr="0032675A">
        <w:t>Б.</w:t>
      </w:r>
      <w:r w:rsidRPr="0032675A">
        <w:tab/>
        <w:t>като има предвид, че срокът на одобрението на активното вещество тиаклоприд изтече на 3 февруари 2020 г. и не беше подновено в съответствие с регламент за изпълнение (ЕС) 2020/23 на Комисията</w:t>
      </w:r>
      <w:r w:rsidRPr="0032675A">
        <w:rPr>
          <w:rStyle w:val="FootnoteReference"/>
        </w:rPr>
        <w:footnoteReference w:id="8"/>
      </w:r>
      <w:r w:rsidRPr="0032675A">
        <w:t>; като има предвид, че гратисният период за продуктите за растителна защита, съдържащи тиаклоприд, изтече на 3 февруари 2021 г.;</w:t>
      </w:r>
    </w:p>
    <w:p w:rsidR="00C306C7" w:rsidRPr="0032675A" w:rsidRDefault="00C306C7" w:rsidP="00D03B76">
      <w:pPr>
        <w:pStyle w:val="NormalHanging12a"/>
      </w:pPr>
      <w:r w:rsidRPr="0032675A">
        <w:lastRenderedPageBreak/>
        <w:t>В.</w:t>
      </w:r>
      <w:r w:rsidRPr="0032675A">
        <w:tab/>
        <w:t>като има предвид, че одобрението на активното вещество тиаклоприд не беше подновено, тъй като по отношение на една или повече представителни видове употреба на най-малко един продукт за растителна защита не беше установено, че критериите за одобрение, предвидени в член 4 от Регламент (ЕО) № 1107/2009, са изпълнени; като има предвид по-специално, че ЕОБХ установи две проблемни области от критична значимост; като има предвид, че първата будеща безпокойство област от критична значимост беше свързана с индикацията за замърсяване на подпочвените води с няколко значими метаболита на тиаклоприд, чийто канцерогенен потенциал не може да бъде изключен (M30, M34 и M46), над параметричната гранична стойност на питейната вода от 0,1 µg/L за всички представителни видове употреба</w:t>
      </w:r>
      <w:r w:rsidRPr="0032675A">
        <w:rPr>
          <w:rStyle w:val="FootnoteReference"/>
        </w:rPr>
        <w:footnoteReference w:id="9"/>
      </w:r>
      <w:r w:rsidRPr="0032675A">
        <w:t>; като има предвид, че втората будеща безпокойство област беше свързана с хармонизираното класифициране от ECHA на тиаклоприд като вещество, за което се предполага, че уврежда плодовитостта и плода (токсично за репродукцията от категория 1B) в съответствие с Регламент (ЕО) № 1272/2008 на Европейския парламент и на Съвета</w:t>
      </w:r>
      <w:r w:rsidRPr="0032675A">
        <w:rPr>
          <w:rStyle w:val="FootnoteReference"/>
        </w:rPr>
        <w:footnoteReference w:id="10"/>
      </w:r>
      <w:r w:rsidRPr="0032675A">
        <w:t xml:space="preserve">, което превръща тиаклоприд във вещество, което отговаря на критериите за изключване в съответствие с член 4, параграф 1 от Регламент (ЕО) № 1107/2009; </w:t>
      </w:r>
    </w:p>
    <w:p w:rsidR="00C306C7" w:rsidRPr="0032675A" w:rsidRDefault="00C306C7" w:rsidP="00D03B76">
      <w:pPr>
        <w:pStyle w:val="NormalHanging12a"/>
      </w:pPr>
      <w:r w:rsidRPr="0032675A">
        <w:t>Г.</w:t>
      </w:r>
      <w:r w:rsidRPr="0032675A">
        <w:tab/>
        <w:t>като има предвид, че ЕОБХ също така стигна до заключението, че оценката на рисковете за пчелите и неприцелните сухоземни растения не може да бъде завършена;</w:t>
      </w:r>
    </w:p>
    <w:p w:rsidR="00C306C7" w:rsidRPr="0032675A" w:rsidRDefault="00C306C7" w:rsidP="00D03B76">
      <w:pPr>
        <w:pStyle w:val="NormalHanging12a"/>
      </w:pPr>
      <w:r w:rsidRPr="0032675A">
        <w:t>Д.</w:t>
      </w:r>
      <w:r w:rsidRPr="0032675A">
        <w:tab/>
        <w:t>като има предвид, че тиаклоприд също така е класифициран в съответствие с Регламент (ЕО) № 1272/2008 като вещество, за което се предполага, че причинява рак (канцерогенен от категория 2), силно токсичен за водните организми (остра водна токсичност от категория 1) и силно токсичен за водните организми с дълготраен ефект (хронична водна токсичност от категория 1);</w:t>
      </w:r>
    </w:p>
    <w:p w:rsidR="00C306C7" w:rsidRPr="0032675A" w:rsidRDefault="00C306C7" w:rsidP="00D03B76">
      <w:pPr>
        <w:pStyle w:val="NormalHanging12a"/>
      </w:pPr>
      <w:r w:rsidRPr="0032675A">
        <w:t>Е.</w:t>
      </w:r>
      <w:r w:rsidRPr="0032675A">
        <w:tab/>
        <w:t xml:space="preserve">като има предвид, че Постоянният комитет по растенията, животните, храните и фуражите (Комитет PAFF) не е представил становище по предложението за регламент на Съвета; като има предвид, че по време на заседанието на Комитета PAFF, проведено на 18—19 септември 2023 г., „осем държави членки не подкрепиха проекта за регламент. Шест от тях посочиха преди всичко опасенията си във връзка със запазването на МДГОВ по Кодекс алиментариус (CXL) и на допустими нива при вноса за неодобрено вещество, което отговаря на критериите за изключване съгласно Регламент (ЕО) № 1107/2009 (токсично за репродукцията). освен това една държава членка, която не подкрепи проекта за регламент, изрази опасения, че ЕОБХ е посочил превишаване на острата референтна доза за някои продукти при определени нестандартни обстоятелства, а друга държава посочи дискриминацията на земеделските стопани в ЕС, които вече не могат да използват продукти за растителна защита, съдържащи това активно вещество, докато земеделските стопани в трети държави все още могат да </w:t>
      </w:r>
      <w:r w:rsidRPr="0032675A">
        <w:lastRenderedPageBreak/>
        <w:t>правят това, което води до нелоялна конкуренция“</w:t>
      </w:r>
      <w:r w:rsidRPr="0032675A">
        <w:rPr>
          <w:rStyle w:val="FootnoteReference"/>
        </w:rPr>
        <w:footnoteReference w:id="11"/>
      </w:r>
      <w:r w:rsidRPr="0032675A">
        <w:t>;</w:t>
      </w:r>
    </w:p>
    <w:p w:rsidR="00C306C7" w:rsidRPr="0032675A" w:rsidRDefault="00C306C7" w:rsidP="00D03B76">
      <w:pPr>
        <w:pStyle w:val="NormalHanging12a"/>
      </w:pPr>
      <w:r w:rsidRPr="0032675A">
        <w:t>Ж.</w:t>
      </w:r>
      <w:r w:rsidRPr="0032675A">
        <w:tab/>
        <w:t>като има предвид, че Германия поиска в обобщения доклад от заседанието на Комитета PAFF, проведено на 18—19 септември 2023 г., да бъде включена следната декларация: „Тиаклоприд е активно вещество, което се изключва съгласно Регламент (ЕО) № 1107/2009. По време на процедурата за повторно одобрение на активното вещество беше установено, че то отговаря на критериите за изключване, тъй като е класифицирано като токсично за репродукцията от категория 1B. Поради това активното вещество не беше одобрено повторно. Като цяло Германия не подкрепя определянето на [максимално допустими граници на остатъчни вещества (МДГОВ)] за активни вещества, които не са одобрени в ЕС поради опасения за здравето. Решаващият фактор тук е, че критериите за изключване са установени в рамките на процедурата за (повторно) одобрение на активно вещество съгласно Регламент (ЕО) № 1107/2009“</w:t>
      </w:r>
      <w:r w:rsidRPr="0032675A">
        <w:rPr>
          <w:rStyle w:val="FootnoteReference"/>
        </w:rPr>
        <w:footnoteReference w:id="12"/>
      </w:r>
      <w:r w:rsidRPr="0032675A">
        <w:t>;</w:t>
      </w:r>
    </w:p>
    <w:p w:rsidR="00C306C7" w:rsidRPr="0032675A" w:rsidRDefault="00C306C7" w:rsidP="00D03B76">
      <w:pPr>
        <w:pStyle w:val="NormalHanging12a"/>
      </w:pPr>
      <w:r w:rsidRPr="0032675A">
        <w:t>З.</w:t>
      </w:r>
      <w:r w:rsidRPr="0032675A">
        <w:tab/>
        <w:t>като има предвид, че поради това е целесъобразно да се заличат съществуващите стойности на МДГОВ, определени за тиаклоприд в приложение II към Регламент (ЕО) № 396/2005, в съответствие с член 17 от същия регламент в съчетание с член 14, параграф 1, буква а) от него.</w:t>
      </w:r>
    </w:p>
    <w:p w:rsidR="00C306C7" w:rsidRPr="0032675A" w:rsidRDefault="00C306C7" w:rsidP="00D03B76">
      <w:pPr>
        <w:pStyle w:val="NormalHanging12a"/>
      </w:pPr>
      <w:r w:rsidRPr="0032675A">
        <w:t>И.</w:t>
      </w:r>
      <w:r w:rsidRPr="0032675A">
        <w:tab/>
        <w:t>като има предвид, че при все това в предложението за регламент на Съвета Комисията предлага да се запазят МДГОВ за тиаклоприд над границата на определяне за употреба за повече от 30 продукта за целите на вноса въз основа на мотивираното становище на ЕОБХ</w:t>
      </w:r>
      <w:r w:rsidRPr="0032675A">
        <w:rPr>
          <w:rStyle w:val="FootnoteReference"/>
        </w:rPr>
        <w:footnoteReference w:id="13"/>
      </w:r>
      <w:r w:rsidRPr="0032675A">
        <w:t>;</w:t>
      </w:r>
    </w:p>
    <w:p w:rsidR="00C306C7" w:rsidRPr="0032675A" w:rsidRDefault="00C306C7" w:rsidP="00D03B76">
      <w:pPr>
        <w:pStyle w:val="NormalHanging12a"/>
      </w:pPr>
      <w:r w:rsidRPr="0032675A">
        <w:t>Й.</w:t>
      </w:r>
      <w:r w:rsidRPr="0032675A">
        <w:tab/>
        <w:t>като има предвид, че видовете употреба, за които МДГОВ над границата на определяне се считат за безопасни включват употребата на тиаклоприд върху папая, чай, черупкови плодове, дюли, мушмули, японски мушмули, кайсии, череши (сладки), сини сливи, ягоди, къпини, полски къпини, други дребни плодове и ягодоплодни, киви, картофи, домати, патладжани, пъпеши, дини, ориз, пшеница, животински продукти (от свине, говеда, овце, коне, домашни птици и други отглеждани животни) от тъкани (мускули, черен дроб, бъбреци и годни за консумация карантии), мляко и яйца, малини, краставици, тиквички, семена от рапица, синапено семе и семена от памук; като има предвид, че предложените за тези употреби МДГОВ варират от два пъти границата на определяне до хиляда пъти границата на определяне (за употреба върху чай);</w:t>
      </w:r>
    </w:p>
    <w:p w:rsidR="00C306C7" w:rsidRPr="0032675A" w:rsidRDefault="00C306C7" w:rsidP="00D03B76">
      <w:pPr>
        <w:pStyle w:val="NormalHanging12a"/>
      </w:pPr>
      <w:r w:rsidRPr="0032675A">
        <w:t>К.</w:t>
      </w:r>
      <w:r w:rsidRPr="0032675A">
        <w:tab/>
        <w:t xml:space="preserve">като има предвид, че за разлика от това искането за допустими нива при вноса беше отхвърлено само за два вида употреба (за праскови и сладки пиперки), тъй като не може да се изключи превишаване на острата референтна доза и поради това Комисията предложи да се понижат МДГОВ за тиаклоприд до границата на определяне само за тези видове употреба; </w:t>
      </w:r>
    </w:p>
    <w:p w:rsidR="00C306C7" w:rsidRPr="0032675A" w:rsidRDefault="00C306C7" w:rsidP="00D03B76">
      <w:pPr>
        <w:pStyle w:val="NormalHanging12a"/>
      </w:pPr>
      <w:r w:rsidRPr="0032675A">
        <w:t>Л.</w:t>
      </w:r>
      <w:r w:rsidRPr="0032675A">
        <w:tab/>
        <w:t xml:space="preserve">като има предвид, че съображение 5 от Регламент (ЕО) № 396/2005 предвижда, че остатъчните вещества не следва да присъстват на равнища, представляващи </w:t>
      </w:r>
      <w:r w:rsidRPr="0032675A">
        <w:lastRenderedPageBreak/>
        <w:t xml:space="preserve">неприемлив риск за хората и, когато е относимо, за животните; </w:t>
      </w:r>
    </w:p>
    <w:p w:rsidR="00C306C7" w:rsidRPr="0032675A" w:rsidRDefault="00C306C7" w:rsidP="00D03B76">
      <w:pPr>
        <w:pStyle w:val="NormalHanging12a"/>
      </w:pPr>
      <w:r w:rsidRPr="0032675A">
        <w:t>М.</w:t>
      </w:r>
      <w:r w:rsidRPr="0032675A">
        <w:tab/>
        <w:t>като има предвид, че член 4, параграф 2, буква а) от Регламент (ЕО) № 1107/2009 предвижда, че остатъчните вещества от продукти за растителна защита не трябва да оказват вредно въздействие върху здравето на хората, включително върху здравето на уязвимите групи, нито върху здравето на животните, като се вземат предвид известните кумулативни и синергични въздействия; като има предвид, че точка 3.6.4 от приложение II към посочения регламент предвижда, че активно вещество, класифицирано в съответствие с Регламент (ЕО) № 1272/2008 като токсично за репродукцията от категория 1A или 1B, не се одобрява, освен при условие, че „остатъчните вещества от съответното активно вещество в храните и фуражите не надхвърлят стойността по подразбиране, определена в съответствие с член 18, параграф 1, буква б) от Регламент (ЕО) № 396/2005“; като има предвид, че в член 18, параграф 1, буква б) от Регламент (ЕО) № 396/2005 се определя стойност по подразбиране от 0,01 mg/kg;</w:t>
      </w:r>
    </w:p>
    <w:p w:rsidR="00C306C7" w:rsidRPr="0032675A" w:rsidRDefault="00C306C7" w:rsidP="00D03B76">
      <w:pPr>
        <w:pStyle w:val="NormalHanging12a"/>
      </w:pPr>
      <w:r w:rsidRPr="0032675A">
        <w:t>Н.</w:t>
      </w:r>
      <w:r w:rsidRPr="0032675A">
        <w:tab/>
        <w:t>като има предвид, че член 3, параграф 2, буква ж) от Регламент (ЕО) № 396/2005 предвижда, че допустимите за вноса стойности са МДГОВ, определени за вносни продукти, когато „използването на активното вещество в продукт за растителна защита върху даден продукт не е разрешено в Общността по причини, различни от свързаните с общественото здраве за конкретния продукт и конкретната употреба“; като има предвид, че тиаклоприд не отговаря на тези критерии, тъй като е забранен по здравословни причини, а именно – класифициран е като токсичен за репродукцията от категория 1B;</w:t>
      </w:r>
    </w:p>
    <w:p w:rsidR="00C306C7" w:rsidRPr="0032675A" w:rsidRDefault="00C306C7" w:rsidP="00D03B76">
      <w:pPr>
        <w:pStyle w:val="NormalHanging12a"/>
      </w:pPr>
      <w:r w:rsidRPr="0032675A">
        <w:t>О.</w:t>
      </w:r>
      <w:r w:rsidRPr="0032675A">
        <w:tab/>
        <w:t>като има предвид, че съгласно член 5, параграф 1 от Регламент (ЕО) № 178/2002 законодателството в областта на храните се стреми към постигането на една или повече от общите цели за висока степен на опазване на живота и здравето на човека и защита на интересите на потребителите, включително практики за лоялна търговия с храни, като по целесъобразност се вземат под внимание опазването на здравето на животните и хуманното отношение към тях, здравето на растенията и околната среда;</w:t>
      </w:r>
    </w:p>
    <w:p w:rsidR="00C306C7" w:rsidRPr="0032675A" w:rsidRDefault="00C306C7" w:rsidP="00D03B76">
      <w:pPr>
        <w:pStyle w:val="NormalHanging12a"/>
      </w:pPr>
      <w:r w:rsidRPr="0032675A">
        <w:t>П.</w:t>
      </w:r>
      <w:r w:rsidRPr="0032675A">
        <w:tab/>
        <w:t>като има предвид, че сегашната криза с опрашителите е една от основните заплахи за биологичното разнообразие и световната и местната продоволствена сигурност; като има предвид, че тази криза може да влоши проблемите на скрития глад, да подкопае устойчивостта на екосистемите и да дестабилизира екосистемите, които формират нашата система за подкрепа на живота</w:t>
      </w:r>
      <w:r w:rsidRPr="0032675A">
        <w:rPr>
          <w:rStyle w:val="FootnoteReference"/>
        </w:rPr>
        <w:footnoteReference w:id="14"/>
      </w:r>
      <w:r w:rsidRPr="0032675A">
        <w:t>;</w:t>
      </w:r>
    </w:p>
    <w:p w:rsidR="00C306C7" w:rsidRPr="0032675A" w:rsidRDefault="00C306C7" w:rsidP="00D03B76">
      <w:pPr>
        <w:pStyle w:val="NormalHanging12a"/>
      </w:pPr>
      <w:r w:rsidRPr="0032675A">
        <w:t>Р.</w:t>
      </w:r>
      <w:r w:rsidRPr="0032675A">
        <w:tab/>
        <w:t>като има предвид, че в своето съобщение от 20 май 2020 г., озаглавено „Стратегия „От фермата до трапезата за справедлива, здравословна и екологосъобразна продоволствена система“</w:t>
      </w:r>
      <w:r w:rsidRPr="0032675A">
        <w:rPr>
          <w:rStyle w:val="FootnoteReference"/>
        </w:rPr>
        <w:footnoteReference w:id="15"/>
      </w:r>
      <w:r w:rsidRPr="0032675A">
        <w:t xml:space="preserve">, Комисията обяви, че „ЕС ще насърчава глобалния преход към устойчиви системи в сектора на селското стопанство и хранително-вкусовата промишленост в съответствие с целите на настоящата стратегия и целите за устойчиво развитие“ и че „чрез настоящата стратегия ЕС може да играе </w:t>
      </w:r>
      <w:r w:rsidRPr="0032675A">
        <w:lastRenderedPageBreak/>
        <w:t>решаваща роля в определянето на световните стандарти“; като има предвид, че Комисията изрично заяви в стратегията, че „[една ] по-устойчива продоволствена система на ЕС е необходимо да има още по-устойчиви практики от страна на нашите търговски партньори. За да подпомогне постепенното преминаване към употреба на по-безопасни продукти за растителна защита, ЕС ще обмисли — съобразявайки се с правилата на СТО и след извършването на оценка на риска — извършването на преглед на стойностите за допустимост на вноса за вещества, които отговарят на т. нар. „критерии за изключване“ и които представляват високо равнище на риск за здравето на човека.“;</w:t>
      </w:r>
    </w:p>
    <w:p w:rsidR="00C306C7" w:rsidRPr="0032675A" w:rsidRDefault="00C306C7" w:rsidP="00D03B76">
      <w:pPr>
        <w:pStyle w:val="NormalHanging12a"/>
      </w:pPr>
      <w:r w:rsidRPr="0032675A">
        <w:t>С.</w:t>
      </w:r>
      <w:r w:rsidRPr="0032675A">
        <w:tab/>
        <w:t>като има предвид, че през 2022 г. Комисията намали</w:t>
      </w:r>
      <w:r w:rsidRPr="0032675A">
        <w:rPr>
          <w:rStyle w:val="FootnoteReference"/>
        </w:rPr>
        <w:footnoteReference w:id="16"/>
      </w:r>
      <w:r w:rsidRPr="0032675A">
        <w:t xml:space="preserve"> МДГОВ за два неоникотиноида, които представляват висок риск за опрашителите, до най-ниското равнище, което може да бъде измерено с най-новите технологии, като вносните продукти вече не могат да съдържат остатъци от клотианидин и тиаметоксам; </w:t>
      </w:r>
    </w:p>
    <w:p w:rsidR="00C306C7" w:rsidRPr="0032675A" w:rsidRDefault="00C306C7" w:rsidP="00D03B76">
      <w:pPr>
        <w:pStyle w:val="NormalHanging12a"/>
      </w:pPr>
      <w:r w:rsidRPr="0032675A">
        <w:t>Т.</w:t>
      </w:r>
      <w:r w:rsidRPr="0032675A">
        <w:tab/>
        <w:t>като има предвид, че във връзка с това Комисията заяви, че „като се вземат предвид всички фактори, свързани с разглеждания въпрос, в съответствие с член 14, параграф 2 във връзка с член 11 от Договора за функционирането на Европейския съюз, съгласно който „изискванията за защита на околната среда трябва да бъдат включени в определянето и изпълнението на политиките и действията на Съюза, в частност за да се насърчи устойчивото развитие“, всички настоящи МДГОВ за клотианидин и/или тиаметоксам, определени в Регламент (ЕО) № 396/2005, следва да бъдат намалени до границата на определяне (LOD)“</w:t>
      </w:r>
      <w:r w:rsidRPr="0032675A">
        <w:rPr>
          <w:rStyle w:val="FootnoteReference"/>
        </w:rPr>
        <w:footnoteReference w:id="17"/>
      </w:r>
      <w:r w:rsidRPr="0032675A">
        <w:t>;</w:t>
      </w:r>
    </w:p>
    <w:p w:rsidR="00C306C7" w:rsidRPr="0032675A" w:rsidRDefault="00C306C7" w:rsidP="00D03B76">
      <w:pPr>
        <w:pStyle w:val="NormalHanging12a"/>
      </w:pPr>
      <w:r w:rsidRPr="0032675A">
        <w:t>У.</w:t>
      </w:r>
      <w:r w:rsidRPr="0032675A">
        <w:tab/>
        <w:t>като има предвид, че на заседанието на Комитета PAFF, проведено на 10—11 май 2023 г., „Комисията припомни, че тиаклоприд принадлежи към групата на активните вещества – неоникотиноиди, [но че] тъй като има различни свойства от клотианидин и тиаметоксам, понастоящем не се предвижда да се следва същият подход, както за клотианидин и тиаметоксам, чрез намаляване на всички МДГОВ до границата на количествено определяне (LOQ)“</w:t>
      </w:r>
      <w:r w:rsidRPr="0032675A">
        <w:rPr>
          <w:rStyle w:val="FootnoteReference"/>
        </w:rPr>
        <w:footnoteReference w:id="18"/>
      </w:r>
      <w:r w:rsidRPr="0032675A">
        <w:t>;</w:t>
      </w:r>
    </w:p>
    <w:p w:rsidR="00C306C7" w:rsidRPr="0032675A" w:rsidRDefault="00C306C7" w:rsidP="00D03B76">
      <w:pPr>
        <w:pStyle w:val="NormalHanging12a"/>
      </w:pPr>
      <w:r w:rsidRPr="0032675A">
        <w:t>Ф.</w:t>
      </w:r>
      <w:r w:rsidRPr="0032675A">
        <w:tab/>
        <w:t xml:space="preserve">като има предвид, че фактът, че тиаклоприд би имал различни свойства от други неоникотиноиди, се оспорва в научната литература, като резултатите показват, че „представата за тиаклоприд като относително безвреден неоникотиноид вече </w:t>
      </w:r>
      <w:r w:rsidRPr="0032675A">
        <w:lastRenderedPageBreak/>
        <w:t>следва да бъде поставена под въпрос“</w:t>
      </w:r>
      <w:r w:rsidRPr="0032675A">
        <w:rPr>
          <w:rStyle w:val="FootnoteReference"/>
        </w:rPr>
        <w:footnoteReference w:id="19"/>
      </w:r>
      <w:r w:rsidRPr="0032675A">
        <w:t>;</w:t>
      </w:r>
    </w:p>
    <w:p w:rsidR="00C306C7" w:rsidRPr="0032675A" w:rsidRDefault="00C306C7" w:rsidP="00D03B76">
      <w:pPr>
        <w:pStyle w:val="NormalHanging12a"/>
      </w:pPr>
      <w:r w:rsidRPr="0032675A">
        <w:t>Х.</w:t>
      </w:r>
      <w:r w:rsidRPr="0032675A">
        <w:tab/>
        <w:t>като има предвид по-специално, че е установено, че за колониите от земни пчели, изложени на тиаклоприд, е по-вероятно да умрат преждевременно, а тези, които са оцелели, да страдат от сублетални ефекти</w:t>
      </w:r>
      <w:r w:rsidRPr="0032675A">
        <w:rPr>
          <w:rStyle w:val="FootnoteReference"/>
        </w:rPr>
        <w:footnoteReference w:id="20"/>
      </w:r>
      <w:r w:rsidRPr="0032675A">
        <w:t>; като има предвид, че е установено също така, че тиаклоприд засяга поведението и имунната система на медоносните пчели подобно на имидаклоприд, клотианидин и тиаметоксам</w:t>
      </w:r>
      <w:r w:rsidRPr="0032675A">
        <w:rPr>
          <w:rStyle w:val="FootnoteReference"/>
        </w:rPr>
        <w:footnoteReference w:id="21"/>
      </w:r>
      <w:r w:rsidRPr="0032675A">
        <w:rPr>
          <w:vertAlign w:val="superscript"/>
        </w:rPr>
        <w:t>,</w:t>
      </w:r>
      <w:r w:rsidRPr="0032675A">
        <w:rPr>
          <w:rStyle w:val="FootnoteReference"/>
        </w:rPr>
        <w:footnoteReference w:id="22"/>
      </w:r>
      <w:r w:rsidRPr="0032675A">
        <w:t>;</w:t>
      </w:r>
    </w:p>
    <w:p w:rsidR="00C306C7" w:rsidRPr="0032675A" w:rsidRDefault="00C306C7" w:rsidP="00D03B76">
      <w:pPr>
        <w:pStyle w:val="NormalHanging12a"/>
      </w:pPr>
      <w:r w:rsidRPr="0032675A">
        <w:t>Ц.</w:t>
      </w:r>
      <w:r w:rsidRPr="0032675A">
        <w:tab/>
        <w:t>като има предвид, че има все повече доказателства, че използването на тиаклоприд има опустошително въздействие върху биологичното разнообразие и особено върху пчелите и други опрашители</w:t>
      </w:r>
      <w:r w:rsidRPr="0032675A">
        <w:rPr>
          <w:rStyle w:val="FootnoteReference"/>
          <w:szCs w:val="24"/>
        </w:rPr>
        <w:footnoteReference w:id="23"/>
      </w:r>
      <w:r w:rsidRPr="0032675A">
        <w:t>;</w:t>
      </w:r>
    </w:p>
    <w:p w:rsidR="00C306C7" w:rsidRPr="0032675A" w:rsidRDefault="00C306C7" w:rsidP="00D03B76">
      <w:pPr>
        <w:pStyle w:val="NormalHanging12a"/>
      </w:pPr>
      <w:r w:rsidRPr="0032675A">
        <w:t>Ч.</w:t>
      </w:r>
      <w:r w:rsidRPr="0032675A">
        <w:tab/>
        <w:t>като има предвид, че в доклада си за неподновяване от 22 октомври 2019 г</w:t>
      </w:r>
      <w:r w:rsidRPr="0032675A">
        <w:rPr>
          <w:rStyle w:val="FootnoteReference"/>
        </w:rPr>
        <w:footnoteReference w:id="24"/>
      </w:r>
      <w:r w:rsidRPr="0032675A">
        <w:t>. ЕОБХ стигна до заключението, че „наличната информация е недостатъчна, за да се изпълнят изискванията, посочени в член 4, параграфи 1 — 3 от Регламент (ЕО) № 1107/2009“ и по-специално, че „оценката на риска за пчелите не може да бъде завършена“;</w:t>
      </w:r>
    </w:p>
    <w:p w:rsidR="00C306C7" w:rsidRPr="0032675A" w:rsidRDefault="00C306C7" w:rsidP="00D03B76">
      <w:pPr>
        <w:pStyle w:val="NormalHanging12a"/>
      </w:pPr>
      <w:r w:rsidRPr="0032675A">
        <w:t>Ш.</w:t>
      </w:r>
      <w:r w:rsidRPr="0032675A">
        <w:tab/>
        <w:t>като има предвид, че поради това към тиаклоприд следва да се прилагат същите разсъждения и правила, които се прилагат за клотианидин и тиаметоксам;</w:t>
      </w:r>
    </w:p>
    <w:p w:rsidR="00C306C7" w:rsidRPr="0032675A" w:rsidRDefault="00C306C7" w:rsidP="00D03B76">
      <w:pPr>
        <w:pStyle w:val="NormalHanging12a"/>
      </w:pPr>
      <w:r w:rsidRPr="0032675A">
        <w:t>Щ.</w:t>
      </w:r>
      <w:r w:rsidRPr="0032675A">
        <w:tab/>
        <w:t xml:space="preserve">като има предвид, че Комисията трябва да защитава околната среда и гражданите на Съюза въз основа на наличната научна информация, като използва задълженията и правните възможности, предвидени в Регламент (ЕО) № 396/2005 </w:t>
      </w:r>
      <w:r w:rsidRPr="0032675A">
        <w:lastRenderedPageBreak/>
        <w:t>и Регламент (ЕО) № 178/2002, за да се гарантира високо равнище на защита на здравето на хората и животните и на околната среда;</w:t>
      </w:r>
    </w:p>
    <w:p w:rsidR="00C306C7" w:rsidRPr="0032675A" w:rsidRDefault="00C306C7" w:rsidP="00D03B76">
      <w:pPr>
        <w:pStyle w:val="NormalHanging12a"/>
      </w:pPr>
      <w:r w:rsidRPr="0032675A">
        <w:t>АА.</w:t>
      </w:r>
      <w:r w:rsidRPr="0032675A">
        <w:tab/>
        <w:t>като има предвид, че предложените МДГОВ не опазват здравето на гражданите в Съюза и не осигуряват високо равнище на защита за пчелите и другите опрашители, поради което противоречат на Регламент (ЕО) № 396/2005 и Регламент (ЕО) № 178/2002;</w:t>
      </w:r>
    </w:p>
    <w:p w:rsidR="00C306C7" w:rsidRPr="0032675A" w:rsidRDefault="00C306C7" w:rsidP="00D03B76">
      <w:pPr>
        <w:pStyle w:val="NormalHanging12a"/>
      </w:pPr>
      <w:r w:rsidRPr="0032675A">
        <w:t>АБ.</w:t>
      </w:r>
      <w:r w:rsidRPr="0032675A">
        <w:tab/>
        <w:t xml:space="preserve">като има предвид, че МДГОВ не следва да се определят за активни вещества, които не са одобрени в Съюза поради опасения за здравето; като има предвид, че поради това не следва да се определят допустими нива при вноса за тиаклоприд, тъй като той е класифициран като токсичен за репродукцията от категория 1B; като има предвид, че освен това класифицирането на тиаклоприд като токсичен за репродукцията от категория 1B е трябвало да бъде достатъчно основание Комисията да отхвърли исканията за допустими нива при вноса с позоваване на рисковете за здравето на гражданите в трети държави; </w:t>
      </w:r>
    </w:p>
    <w:p w:rsidR="00C306C7" w:rsidRPr="0032675A" w:rsidRDefault="00C306C7" w:rsidP="00D03B76">
      <w:pPr>
        <w:pStyle w:val="NormalHanging12a"/>
      </w:pPr>
      <w:r w:rsidRPr="0032675A">
        <w:t>1.</w:t>
      </w:r>
      <w:r w:rsidRPr="0032675A">
        <w:tab/>
        <w:t>се противопоставя на приемането на предложението за регламент на Съвета;</w:t>
      </w:r>
    </w:p>
    <w:p w:rsidR="00C306C7" w:rsidRPr="0032675A" w:rsidRDefault="00C306C7" w:rsidP="00D03B76">
      <w:pPr>
        <w:pStyle w:val="NormalHanging12a"/>
      </w:pPr>
      <w:r w:rsidRPr="0032675A">
        <w:t>2.</w:t>
      </w:r>
      <w:r w:rsidRPr="0032675A">
        <w:tab/>
        <w:t>счита, че предложението за регламент на Съвета е несъвместимо с целта и съдържанието на Регламент (ЕО) № 396/2005 и Регламент (ЕО) № 178/2002, както и на Регламент (ЕО) № 1107/2009, включително точка 3.6.4 от приложение II към него;</w:t>
      </w:r>
    </w:p>
    <w:p w:rsidR="00C306C7" w:rsidRPr="0032675A" w:rsidRDefault="00C306C7" w:rsidP="00D03B76">
      <w:pPr>
        <w:pStyle w:val="NormalHanging12a"/>
      </w:pPr>
      <w:r w:rsidRPr="0032675A">
        <w:t>3.</w:t>
      </w:r>
      <w:r w:rsidRPr="0032675A">
        <w:tab/>
        <w:t>отправя искане към Комисията да оттегли своя проект на регламент;</w:t>
      </w:r>
    </w:p>
    <w:p w:rsidR="00C306C7" w:rsidRPr="0032675A" w:rsidRDefault="00C306C7" w:rsidP="00D03B76">
      <w:pPr>
        <w:pStyle w:val="NormalHanging12a"/>
      </w:pPr>
      <w:r w:rsidRPr="0032675A">
        <w:t>4.</w:t>
      </w:r>
      <w:r w:rsidRPr="0032675A">
        <w:tab/>
        <w:t>призовава Комисията да представи на комисията нов проект за намаляване на всички МДГОВ за тиаклоприд до границата на определяне за всички видове употреба и да отхвърли всякакви искания за допустими нива при вноса;</w:t>
      </w:r>
    </w:p>
    <w:p w:rsidR="00C306C7" w:rsidRPr="0032675A" w:rsidRDefault="00C306C7" w:rsidP="00D03B76">
      <w:pPr>
        <w:ind w:left="567" w:hanging="567"/>
      </w:pPr>
      <w:r w:rsidRPr="0032675A">
        <w:t>5.</w:t>
      </w:r>
      <w:r w:rsidRPr="0032675A">
        <w:tab/>
        <w:t>възлага на своя председател да предаде настоящата резолюция съответно на Съвета и на Комисията, както и на правителствата и на парламентите на държавите членки.</w:t>
      </w:r>
    </w:p>
    <w:sectPr w:rsidR="00C306C7" w:rsidRPr="0032675A" w:rsidSect="0032675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19E8" w:rsidRPr="0032675A" w:rsidRDefault="005119E8">
      <w:r w:rsidRPr="0032675A">
        <w:separator/>
      </w:r>
    </w:p>
  </w:endnote>
  <w:endnote w:type="continuationSeparator" w:id="0">
    <w:p w:rsidR="005119E8" w:rsidRPr="0032675A" w:rsidRDefault="005119E8">
      <w:r w:rsidRPr="003267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675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675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67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19E8" w:rsidRPr="0032675A" w:rsidRDefault="005119E8">
      <w:r w:rsidRPr="0032675A">
        <w:separator/>
      </w:r>
    </w:p>
  </w:footnote>
  <w:footnote w:type="continuationSeparator" w:id="0">
    <w:p w:rsidR="005119E8" w:rsidRPr="0032675A" w:rsidRDefault="005119E8">
      <w:r w:rsidRPr="0032675A">
        <w:continuationSeparator/>
      </w:r>
    </w:p>
  </w:footnote>
  <w:footnote w:id="1">
    <w:p w:rsidR="00C306C7" w:rsidRPr="0032675A" w:rsidRDefault="00C306C7" w:rsidP="0032675A">
      <w:pPr>
        <w:pStyle w:val="FootnoteText"/>
        <w:ind w:left="567" w:hanging="567"/>
        <w:rPr>
          <w:sz w:val="24"/>
          <w:lang w:val="bg-BG"/>
        </w:rPr>
      </w:pPr>
      <w:r w:rsidRPr="0032675A">
        <w:rPr>
          <w:rStyle w:val="FootnoteReference"/>
          <w:sz w:val="24"/>
          <w:lang w:val="bg-BG"/>
        </w:rPr>
        <w:footnoteRef/>
      </w:r>
      <w:r w:rsidR="0032675A" w:rsidRPr="0032675A">
        <w:rPr>
          <w:sz w:val="24"/>
          <w:lang w:val="bg-BG"/>
        </w:rPr>
        <w:t xml:space="preserve"> </w:t>
      </w:r>
      <w:r w:rsidR="0032675A" w:rsidRPr="0032675A">
        <w:rPr>
          <w:sz w:val="24"/>
          <w:lang w:val="bg-BG"/>
        </w:rPr>
        <w:tab/>
      </w:r>
      <w:r w:rsidRPr="0032675A">
        <w:rPr>
          <w:sz w:val="24"/>
          <w:lang w:val="bg-BG"/>
        </w:rPr>
        <w:t>ОВ L 70, 16.3.2005 г., стр. 1.</w:t>
      </w:r>
    </w:p>
  </w:footnote>
  <w:footnote w:id="2">
    <w:p w:rsidR="00C306C7" w:rsidRPr="0032675A" w:rsidRDefault="00C306C7" w:rsidP="0032675A">
      <w:pPr>
        <w:pStyle w:val="FootnoteText"/>
        <w:ind w:left="567" w:hanging="567"/>
        <w:rPr>
          <w:sz w:val="24"/>
          <w:lang w:val="bg-BG"/>
        </w:rPr>
      </w:pPr>
      <w:r w:rsidRPr="0032675A">
        <w:rPr>
          <w:rStyle w:val="FootnoteReference"/>
          <w:sz w:val="24"/>
          <w:lang w:val="bg-BG"/>
        </w:rPr>
        <w:footnoteRef/>
      </w:r>
      <w:r w:rsidR="0032675A" w:rsidRPr="0032675A">
        <w:rPr>
          <w:sz w:val="24"/>
          <w:lang w:val="bg-BG"/>
        </w:rPr>
        <w:t xml:space="preserve"> </w:t>
      </w:r>
      <w:r w:rsidR="0032675A" w:rsidRPr="0032675A">
        <w:rPr>
          <w:sz w:val="24"/>
          <w:lang w:val="bg-BG"/>
        </w:rPr>
        <w:tab/>
      </w:r>
      <w:r w:rsidRPr="0032675A">
        <w:rPr>
          <w:sz w:val="24"/>
          <w:lang w:val="bg-BG"/>
        </w:rPr>
        <w:t>ОВ L 309, 24.11.2009 г., стр. 1.</w:t>
      </w:r>
    </w:p>
  </w:footnote>
  <w:footnote w:id="3">
    <w:p w:rsidR="00C306C7" w:rsidRPr="0032675A" w:rsidRDefault="00C306C7" w:rsidP="0032675A">
      <w:pPr>
        <w:pStyle w:val="FootnoteText"/>
        <w:ind w:left="567" w:hanging="567"/>
        <w:rPr>
          <w:sz w:val="24"/>
          <w:lang w:val="bg-BG"/>
        </w:rPr>
      </w:pPr>
      <w:r w:rsidRPr="0032675A">
        <w:rPr>
          <w:rStyle w:val="FootnoteReference"/>
          <w:sz w:val="24"/>
          <w:lang w:val="bg-BG"/>
        </w:rPr>
        <w:footnoteRef/>
      </w:r>
      <w:r w:rsidR="0032675A" w:rsidRPr="0032675A">
        <w:rPr>
          <w:sz w:val="24"/>
          <w:lang w:val="bg-BG"/>
        </w:rPr>
        <w:t xml:space="preserve"> </w:t>
      </w:r>
      <w:r w:rsidR="0032675A" w:rsidRPr="0032675A">
        <w:rPr>
          <w:sz w:val="24"/>
          <w:lang w:val="bg-BG"/>
        </w:rPr>
        <w:tab/>
      </w:r>
      <w:r w:rsidRPr="0032675A">
        <w:rPr>
          <w:sz w:val="24"/>
          <w:lang w:val="bg-BG"/>
        </w:rPr>
        <w:t>ОВ L 31, 1.2.2002 г., стр. 1.</w:t>
      </w:r>
    </w:p>
  </w:footnote>
  <w:footnote w:id="4">
    <w:p w:rsidR="00C306C7" w:rsidRPr="0032675A" w:rsidRDefault="00C306C7" w:rsidP="0032675A">
      <w:pPr>
        <w:pStyle w:val="FootnoteText"/>
        <w:ind w:left="567" w:hanging="567"/>
        <w:rPr>
          <w:sz w:val="24"/>
          <w:lang w:val="bg-BG"/>
        </w:rPr>
      </w:pPr>
      <w:r w:rsidRPr="0032675A">
        <w:rPr>
          <w:rStyle w:val="FootnoteReference"/>
          <w:sz w:val="24"/>
          <w:lang w:val="bg-BG"/>
        </w:rPr>
        <w:footnoteRef/>
      </w:r>
      <w:r w:rsidR="0032675A" w:rsidRPr="0032675A">
        <w:rPr>
          <w:sz w:val="24"/>
          <w:lang w:val="bg-BG"/>
        </w:rPr>
        <w:t xml:space="preserve"> </w:t>
      </w:r>
      <w:r w:rsidR="0032675A" w:rsidRPr="0032675A">
        <w:rPr>
          <w:sz w:val="24"/>
          <w:lang w:val="bg-BG"/>
        </w:rPr>
        <w:tab/>
      </w:r>
      <w:r w:rsidRPr="0032675A">
        <w:rPr>
          <w:sz w:val="24"/>
          <w:lang w:val="bg-BG"/>
        </w:rPr>
        <w:t xml:space="preserve">Изявление на ЕОБХ относно краткосрочната оценка на риска (остър) чрез храната и оценка на потвърждаващите данни за някои максимално допустими граници на остатъчни вещества (МДГОВ) за тиаклоприд, Бюлетин на ЕОБХ 2023;21(3):7888, </w:t>
      </w:r>
      <w:hyperlink r:id="rId1" w:history="1">
        <w:r w:rsidRPr="0032675A">
          <w:rPr>
            <w:rStyle w:val="Hyperlink"/>
            <w:sz w:val="24"/>
            <w:lang w:val="bg-BG"/>
          </w:rPr>
          <w:t>https://doi.org/10.2903/j.efsa.2023.7888</w:t>
        </w:r>
      </w:hyperlink>
      <w:r w:rsidRPr="0032675A">
        <w:rPr>
          <w:sz w:val="24"/>
          <w:lang w:val="bg-BG"/>
        </w:rPr>
        <w:t>.</w:t>
      </w:r>
    </w:p>
  </w:footnote>
  <w:footnote w:id="5">
    <w:p w:rsidR="00C306C7" w:rsidRPr="0032675A" w:rsidRDefault="00C306C7" w:rsidP="0032675A">
      <w:pPr>
        <w:pStyle w:val="FootnoteText"/>
        <w:ind w:left="567" w:hanging="567"/>
        <w:rPr>
          <w:sz w:val="24"/>
          <w:lang w:val="bg-BG"/>
        </w:rPr>
      </w:pPr>
      <w:r w:rsidRPr="0032675A">
        <w:rPr>
          <w:rStyle w:val="FootnoteReference"/>
          <w:sz w:val="24"/>
          <w:lang w:val="bg-BG"/>
        </w:rPr>
        <w:footnoteRef/>
      </w:r>
      <w:r w:rsidR="0032675A" w:rsidRPr="0032675A">
        <w:rPr>
          <w:sz w:val="24"/>
          <w:lang w:val="bg-BG"/>
        </w:rPr>
        <w:t xml:space="preserve"> </w:t>
      </w:r>
      <w:r w:rsidR="0032675A" w:rsidRPr="0032675A">
        <w:rPr>
          <w:sz w:val="24"/>
          <w:lang w:val="bg-BG"/>
        </w:rPr>
        <w:tab/>
      </w:r>
      <w:r w:rsidRPr="0032675A">
        <w:rPr>
          <w:sz w:val="24"/>
          <w:lang w:val="bg-BG"/>
        </w:rPr>
        <w:t xml:space="preserve">EFSA conclusion on the peer review of the pesticide risk assessment of the active substance thiacloprid (Заключение на ЕОБХ относно партньорската проверка на оценката на риска от употребата като пестицид на активното вещество тиаклоприд), Бюлетин на ЕОБХ 2019;17(3):5595, </w:t>
      </w:r>
      <w:hyperlink r:id="rId2" w:history="1">
        <w:r w:rsidRPr="0032675A">
          <w:rPr>
            <w:rStyle w:val="Hyperlink"/>
            <w:sz w:val="24"/>
            <w:lang w:val="bg-BG"/>
          </w:rPr>
          <w:t>https://doi.org/10.2903/j.efsa.2019.5595</w:t>
        </w:r>
      </w:hyperlink>
      <w:r w:rsidRPr="0032675A">
        <w:rPr>
          <w:sz w:val="24"/>
          <w:lang w:val="bg-BG"/>
        </w:rPr>
        <w:t>.</w:t>
      </w:r>
    </w:p>
  </w:footnote>
  <w:footnote w:id="6">
    <w:p w:rsidR="00C306C7" w:rsidRPr="0032675A" w:rsidRDefault="00C306C7" w:rsidP="0032675A">
      <w:pPr>
        <w:pStyle w:val="FootnoteText"/>
        <w:ind w:left="567" w:hanging="567"/>
        <w:rPr>
          <w:sz w:val="24"/>
          <w:lang w:val="bg-BG"/>
        </w:rPr>
      </w:pPr>
      <w:r w:rsidRPr="0032675A">
        <w:rPr>
          <w:rStyle w:val="FootnoteReference"/>
          <w:sz w:val="24"/>
          <w:lang w:val="bg-BG"/>
        </w:rPr>
        <w:footnoteRef/>
      </w:r>
      <w:r w:rsidR="0032675A" w:rsidRPr="0032675A">
        <w:rPr>
          <w:sz w:val="24"/>
          <w:lang w:val="bg-BG"/>
        </w:rPr>
        <w:t xml:space="preserve"> </w:t>
      </w:r>
      <w:r w:rsidR="0032675A" w:rsidRPr="0032675A">
        <w:rPr>
          <w:sz w:val="24"/>
          <w:lang w:val="bg-BG"/>
        </w:rPr>
        <w:tab/>
      </w:r>
      <w:r w:rsidRPr="0032675A">
        <w:rPr>
          <w:sz w:val="24"/>
          <w:lang w:val="bg-BG"/>
        </w:rPr>
        <w:t xml:space="preserve">Становище на КОР, в което се предлага хармонизирано класифициране и етикетиране на равнище ЕС на тиаклоприд (ISO); {(2Z)-3-[(6-chloropyridin-3-yl)methyl]-1,3-thiaz olidin-2-ylidene}cyanamide, </w:t>
      </w:r>
      <w:hyperlink r:id="rId3" w:history="1">
        <w:r w:rsidRPr="0032675A">
          <w:rPr>
            <w:rStyle w:val="Hyperlink"/>
            <w:sz w:val="24"/>
            <w:lang w:val="bg-BG"/>
          </w:rPr>
          <w:t>https://echa.europa.eu/registry-of-clh-intentions-until-outcome/-/dislist/details/0b0236e180638ff8</w:t>
        </w:r>
      </w:hyperlink>
      <w:r w:rsidRPr="0032675A">
        <w:rPr>
          <w:sz w:val="24"/>
          <w:lang w:val="bg-BG"/>
        </w:rPr>
        <w:t>.</w:t>
      </w:r>
    </w:p>
  </w:footnote>
  <w:footnote w:id="7">
    <w:p w:rsidR="00C306C7" w:rsidRPr="0032675A" w:rsidRDefault="00C306C7" w:rsidP="0032675A">
      <w:pPr>
        <w:pStyle w:val="FootnoteText"/>
        <w:ind w:left="567" w:hanging="567"/>
        <w:rPr>
          <w:sz w:val="24"/>
          <w:lang w:val="bg-BG"/>
        </w:rPr>
      </w:pPr>
      <w:r w:rsidRPr="0032675A">
        <w:rPr>
          <w:rStyle w:val="FootnoteReference"/>
          <w:sz w:val="24"/>
          <w:lang w:val="bg-BG"/>
        </w:rPr>
        <w:footnoteRef/>
      </w:r>
      <w:r w:rsidR="0032675A" w:rsidRPr="0032675A">
        <w:rPr>
          <w:sz w:val="24"/>
          <w:lang w:val="bg-BG"/>
        </w:rPr>
        <w:t xml:space="preserve"> </w:t>
      </w:r>
      <w:r w:rsidR="0032675A" w:rsidRPr="0032675A">
        <w:rPr>
          <w:sz w:val="24"/>
          <w:lang w:val="bg-BG"/>
        </w:rPr>
        <w:tab/>
      </w:r>
      <w:r w:rsidRPr="0032675A">
        <w:rPr>
          <w:sz w:val="24"/>
          <w:lang w:val="bg-BG"/>
        </w:rPr>
        <w:t>ОВ L 184, 17.7.1999 г., стр. 23.</w:t>
      </w:r>
    </w:p>
  </w:footnote>
  <w:footnote w:id="8">
    <w:p w:rsidR="00C306C7" w:rsidRPr="0032675A" w:rsidRDefault="00C306C7" w:rsidP="0032675A">
      <w:pPr>
        <w:pStyle w:val="FootnoteText"/>
        <w:ind w:left="567" w:hanging="567"/>
        <w:rPr>
          <w:sz w:val="24"/>
          <w:lang w:val="bg-BG"/>
        </w:rPr>
      </w:pPr>
      <w:r w:rsidRPr="0032675A">
        <w:rPr>
          <w:rStyle w:val="FootnoteReference"/>
          <w:sz w:val="24"/>
          <w:lang w:val="bg-BG"/>
        </w:rPr>
        <w:footnoteRef/>
      </w:r>
      <w:r w:rsidR="0032675A" w:rsidRPr="0032675A">
        <w:rPr>
          <w:sz w:val="24"/>
          <w:lang w:val="bg-BG"/>
        </w:rPr>
        <w:t xml:space="preserve"> </w:t>
      </w:r>
      <w:r w:rsidR="0032675A" w:rsidRPr="0032675A">
        <w:rPr>
          <w:sz w:val="24"/>
          <w:lang w:val="bg-BG"/>
        </w:rPr>
        <w:tab/>
      </w:r>
      <w:r w:rsidRPr="0032675A">
        <w:rPr>
          <w:sz w:val="24"/>
          <w:lang w:val="bg-BG"/>
        </w:rPr>
        <w:t>Регламент за изпълнение (ЕС) 2020/23 на Комисията от 13 януари 2020 г. за неподновяване на одобрението на активното вещество тиаклоприд в съответствие с Регламент (ЕО) № 1107/2009 на Европейския парламент и на Съвета относно пускането на пазара на продукти за растителна защита и за изменение на приложението към Регламент за изпълнение (ЕС) № 540/2011 на Комисията (ОВ L 8, 14.1.2020 г., стр. 8).</w:t>
      </w:r>
    </w:p>
  </w:footnote>
  <w:footnote w:id="9">
    <w:p w:rsidR="00C306C7" w:rsidRPr="0032675A" w:rsidRDefault="00C306C7" w:rsidP="0032675A">
      <w:pPr>
        <w:pStyle w:val="FootnoteText"/>
        <w:ind w:left="567" w:hanging="567"/>
        <w:rPr>
          <w:sz w:val="24"/>
          <w:lang w:val="bg-BG"/>
        </w:rPr>
      </w:pPr>
      <w:r w:rsidRPr="0032675A">
        <w:rPr>
          <w:rStyle w:val="FootnoteReference"/>
          <w:sz w:val="24"/>
          <w:lang w:val="bg-BG"/>
        </w:rPr>
        <w:footnoteRef/>
      </w:r>
      <w:r w:rsidR="0032675A" w:rsidRPr="0032675A">
        <w:rPr>
          <w:sz w:val="24"/>
          <w:lang w:val="bg-BG"/>
        </w:rPr>
        <w:t xml:space="preserve"> </w:t>
      </w:r>
      <w:r w:rsidR="0032675A" w:rsidRPr="0032675A">
        <w:rPr>
          <w:sz w:val="24"/>
          <w:lang w:val="bg-BG"/>
        </w:rPr>
        <w:tab/>
      </w:r>
      <w:r w:rsidRPr="0032675A">
        <w:rPr>
          <w:sz w:val="24"/>
          <w:lang w:val="bg-BG"/>
        </w:rPr>
        <w:t>Заключение на ЕОБХ от 17 януари 2019 г.</w:t>
      </w:r>
    </w:p>
  </w:footnote>
  <w:footnote w:id="10">
    <w:p w:rsidR="00C306C7" w:rsidRPr="0032675A" w:rsidRDefault="00C306C7" w:rsidP="0032675A">
      <w:pPr>
        <w:pStyle w:val="FootnoteText"/>
        <w:ind w:left="567" w:hanging="567"/>
        <w:rPr>
          <w:sz w:val="24"/>
          <w:lang w:val="bg-BG"/>
        </w:rPr>
      </w:pPr>
      <w:r w:rsidRPr="0032675A">
        <w:rPr>
          <w:rStyle w:val="FootnoteReference"/>
          <w:sz w:val="24"/>
          <w:lang w:val="bg-BG"/>
        </w:rPr>
        <w:footnoteRef/>
      </w:r>
      <w:r w:rsidR="0032675A" w:rsidRPr="0032675A">
        <w:rPr>
          <w:sz w:val="24"/>
          <w:lang w:val="bg-BG"/>
        </w:rPr>
        <w:t xml:space="preserve"> </w:t>
      </w:r>
      <w:r w:rsidR="0032675A" w:rsidRPr="0032675A">
        <w:rPr>
          <w:sz w:val="24"/>
          <w:lang w:val="bg-BG"/>
        </w:rPr>
        <w:tab/>
      </w:r>
      <w:r w:rsidRPr="0032675A">
        <w:rPr>
          <w:sz w:val="24"/>
          <w:lang w:val="bg-BG"/>
        </w:rPr>
        <w:t xml:space="preserve">Регламент (ЕО) № 1272/2008 на Европейския парламент и на Съвета от 16 декември 2008 г. </w:t>
      </w:r>
      <w:r w:rsidRPr="0032675A">
        <w:rPr>
          <w:sz w:val="24"/>
          <w:lang w:val="bg-BG"/>
        </w:rPr>
        <w:t xml:space="preserve">относно класифицирането, етикетирането и опаковането на вещества и смеси, за изменение и за отмяна на директиви 67/548/ЕИО и 1999/45/ЕО и за изменение на Регламент </w:t>
      </w:r>
      <w:r w:rsidR="008B3C10">
        <w:rPr>
          <w:sz w:val="24"/>
          <w:lang w:val="bg-BG"/>
        </w:rPr>
        <w:t>(</w:t>
      </w:r>
      <w:r w:rsidRPr="0032675A">
        <w:rPr>
          <w:sz w:val="24"/>
          <w:lang w:val="bg-BG"/>
        </w:rPr>
        <w:t>ЕО</w:t>
      </w:r>
      <w:r w:rsidR="008B3C10">
        <w:rPr>
          <w:sz w:val="24"/>
          <w:lang w:val="bg-BG"/>
        </w:rPr>
        <w:t>)</w:t>
      </w:r>
      <w:r w:rsidRPr="0032675A">
        <w:rPr>
          <w:sz w:val="24"/>
          <w:lang w:val="bg-BG"/>
        </w:rPr>
        <w:t xml:space="preserve"> </w:t>
      </w:r>
      <w:r w:rsidR="008B3C10" w:rsidRPr="0032675A">
        <w:rPr>
          <w:sz w:val="24"/>
          <w:lang w:val="bg-BG"/>
        </w:rPr>
        <w:t>№</w:t>
      </w:r>
      <w:r w:rsidR="008B3C10">
        <w:rPr>
          <w:sz w:val="24"/>
          <w:lang w:val="bg-BG"/>
        </w:rPr>
        <w:t xml:space="preserve"> </w:t>
      </w:r>
      <w:bookmarkStart w:id="7" w:name="_GoBack"/>
      <w:bookmarkEnd w:id="7"/>
      <w:r w:rsidRPr="0032675A">
        <w:rPr>
          <w:sz w:val="24"/>
          <w:lang w:val="bg-BG"/>
        </w:rPr>
        <w:t xml:space="preserve">1907/2006 </w:t>
      </w:r>
      <w:r w:rsidR="003B3BC6">
        <w:rPr>
          <w:sz w:val="24"/>
          <w:lang w:val="bg-BG"/>
        </w:rPr>
        <w:t>(</w:t>
      </w:r>
      <w:r w:rsidRPr="0032675A">
        <w:rPr>
          <w:sz w:val="24"/>
          <w:lang w:val="bg-BG"/>
        </w:rPr>
        <w:t>ОВ L 353, 31.12.2008 г., стр. 1</w:t>
      </w:r>
      <w:r w:rsidR="003B3BC6">
        <w:rPr>
          <w:sz w:val="24"/>
          <w:lang w:val="bg-BG"/>
        </w:rPr>
        <w:t>)</w:t>
      </w:r>
      <w:r w:rsidRPr="0032675A">
        <w:rPr>
          <w:sz w:val="24"/>
          <w:lang w:val="bg-BG"/>
        </w:rPr>
        <w:t>.</w:t>
      </w:r>
    </w:p>
  </w:footnote>
  <w:footnote w:id="11">
    <w:p w:rsidR="00C306C7" w:rsidRPr="0032675A" w:rsidRDefault="00C306C7" w:rsidP="0032675A">
      <w:pPr>
        <w:pStyle w:val="FootnoteText"/>
        <w:ind w:left="567" w:hanging="567"/>
        <w:rPr>
          <w:sz w:val="24"/>
          <w:lang w:val="bg-BG"/>
        </w:rPr>
      </w:pPr>
      <w:r w:rsidRPr="0032675A">
        <w:rPr>
          <w:rStyle w:val="FootnoteReference"/>
          <w:sz w:val="24"/>
          <w:lang w:val="bg-BG"/>
        </w:rPr>
        <w:footnoteRef/>
      </w:r>
      <w:r w:rsidR="0032675A" w:rsidRPr="0032675A">
        <w:rPr>
          <w:sz w:val="24"/>
          <w:lang w:val="bg-BG"/>
        </w:rPr>
        <w:t xml:space="preserve"> </w:t>
      </w:r>
      <w:r w:rsidR="0032675A" w:rsidRPr="0032675A">
        <w:rPr>
          <w:sz w:val="24"/>
          <w:lang w:val="bg-BG"/>
        </w:rPr>
        <w:tab/>
      </w:r>
      <w:r w:rsidRPr="0032675A">
        <w:rPr>
          <w:sz w:val="24"/>
          <w:lang w:val="bg-BG"/>
        </w:rPr>
        <w:t xml:space="preserve">Обобщен доклад от заседанието на Комитета PAFF от 18—19 септември 2023 г., </w:t>
      </w:r>
      <w:hyperlink r:id="rId4" w:history="1">
        <w:r w:rsidRPr="0032675A">
          <w:rPr>
            <w:rStyle w:val="Hyperlink"/>
            <w:sz w:val="24"/>
            <w:lang w:val="bg-BG"/>
          </w:rPr>
          <w:t>https://ec.europa.eu/transparency/comitology-register/screen/documents/092486/1/consult?lang=en</w:t>
        </w:r>
      </w:hyperlink>
      <w:r w:rsidRPr="0032675A">
        <w:rPr>
          <w:sz w:val="24"/>
          <w:lang w:val="bg-BG"/>
        </w:rPr>
        <w:t>.</w:t>
      </w:r>
    </w:p>
  </w:footnote>
  <w:footnote w:id="12">
    <w:p w:rsidR="00C306C7" w:rsidRPr="0032675A" w:rsidRDefault="00C306C7" w:rsidP="0032675A">
      <w:pPr>
        <w:pStyle w:val="FootnoteText"/>
        <w:ind w:left="567" w:hanging="567"/>
        <w:rPr>
          <w:sz w:val="24"/>
          <w:lang w:val="bg-BG"/>
        </w:rPr>
      </w:pPr>
      <w:r w:rsidRPr="0032675A">
        <w:rPr>
          <w:rStyle w:val="FootnoteReference"/>
          <w:sz w:val="24"/>
          <w:lang w:val="bg-BG"/>
        </w:rPr>
        <w:footnoteRef/>
      </w:r>
      <w:r w:rsidR="0032675A" w:rsidRPr="0032675A">
        <w:rPr>
          <w:sz w:val="24"/>
          <w:lang w:val="bg-BG"/>
        </w:rPr>
        <w:t xml:space="preserve"> </w:t>
      </w:r>
      <w:r w:rsidR="0032675A" w:rsidRPr="0032675A">
        <w:rPr>
          <w:sz w:val="24"/>
          <w:lang w:val="bg-BG"/>
        </w:rPr>
        <w:tab/>
      </w:r>
      <w:r w:rsidRPr="0032675A">
        <w:rPr>
          <w:sz w:val="24"/>
          <w:lang w:val="bg-BG"/>
        </w:rPr>
        <w:t>Пак там.</w:t>
      </w:r>
    </w:p>
  </w:footnote>
  <w:footnote w:id="13">
    <w:p w:rsidR="00C306C7" w:rsidRPr="0032675A" w:rsidRDefault="00C306C7" w:rsidP="0032675A">
      <w:pPr>
        <w:pStyle w:val="FootnoteText"/>
        <w:ind w:left="567" w:hanging="567"/>
        <w:rPr>
          <w:sz w:val="24"/>
          <w:lang w:val="bg-BG"/>
        </w:rPr>
      </w:pPr>
      <w:r w:rsidRPr="0032675A">
        <w:rPr>
          <w:rStyle w:val="FootnoteReference"/>
          <w:sz w:val="24"/>
          <w:lang w:val="bg-BG"/>
        </w:rPr>
        <w:footnoteRef/>
      </w:r>
      <w:r w:rsidR="0032675A" w:rsidRPr="0032675A">
        <w:rPr>
          <w:sz w:val="24"/>
          <w:lang w:val="bg-BG"/>
        </w:rPr>
        <w:t xml:space="preserve"> </w:t>
      </w:r>
      <w:r w:rsidR="0032675A" w:rsidRPr="0032675A">
        <w:rPr>
          <w:sz w:val="24"/>
          <w:lang w:val="bg-BG"/>
        </w:rPr>
        <w:tab/>
      </w:r>
      <w:r w:rsidRPr="0032675A">
        <w:rPr>
          <w:sz w:val="24"/>
          <w:lang w:val="bg-BG"/>
        </w:rPr>
        <w:t>Мотивирано становище на ЕОБХ от 9 февруари 2023 г.</w:t>
      </w:r>
    </w:p>
  </w:footnote>
  <w:footnote w:id="14">
    <w:p w:rsidR="00C306C7" w:rsidRPr="0032675A" w:rsidRDefault="00C306C7" w:rsidP="0032675A">
      <w:pPr>
        <w:pStyle w:val="FootnoteText"/>
        <w:ind w:left="567" w:hanging="567"/>
        <w:rPr>
          <w:sz w:val="24"/>
          <w:lang w:val="bg-BG"/>
        </w:rPr>
      </w:pPr>
      <w:r w:rsidRPr="0032675A">
        <w:rPr>
          <w:rStyle w:val="FootnoteReference"/>
          <w:sz w:val="24"/>
          <w:lang w:val="bg-BG"/>
        </w:rPr>
        <w:footnoteRef/>
      </w:r>
      <w:r w:rsidR="0032675A" w:rsidRPr="0032675A">
        <w:rPr>
          <w:sz w:val="24"/>
          <w:lang w:val="bg-BG"/>
        </w:rPr>
        <w:t xml:space="preserve"> </w:t>
      </w:r>
      <w:r w:rsidR="0032675A" w:rsidRPr="0032675A">
        <w:rPr>
          <w:sz w:val="24"/>
          <w:lang w:val="bg-BG"/>
        </w:rPr>
        <w:tab/>
      </w:r>
      <w:r w:rsidRPr="0032675A">
        <w:rPr>
          <w:sz w:val="24"/>
          <w:lang w:val="bg-BG"/>
        </w:rPr>
        <w:t xml:space="preserve">Van der Sluijs, J.P., Vaage, N.S., „Pollinators and Global Food Security: the Need for Holistic Global Stewardship“ (Опрашители и световна продоволствена сигурност: необходимост от цялостно глобално управление), Food ethics 1, 75 – 91 стр., </w:t>
      </w:r>
      <w:r w:rsidRPr="0032675A">
        <w:rPr>
          <w:sz w:val="24"/>
          <w:lang w:val="bg-BG"/>
        </w:rPr>
        <w:t>2016 г.,</w:t>
      </w:r>
      <w:hyperlink r:id="rId5" w:history="1">
        <w:r w:rsidRPr="0032675A">
          <w:rPr>
            <w:rStyle w:val="Hyperlink"/>
            <w:sz w:val="24"/>
            <w:lang w:val="bg-BG"/>
          </w:rPr>
          <w:t>https://doi.org/10.1007/s41055-016-0003-z</w:t>
        </w:r>
      </w:hyperlink>
      <w:r w:rsidRPr="0032675A">
        <w:rPr>
          <w:sz w:val="24"/>
          <w:lang w:val="bg-BG"/>
        </w:rPr>
        <w:t>.</w:t>
      </w:r>
    </w:p>
  </w:footnote>
  <w:footnote w:id="15">
    <w:p w:rsidR="00C306C7" w:rsidRPr="0032675A" w:rsidRDefault="00C306C7" w:rsidP="0032675A">
      <w:pPr>
        <w:pStyle w:val="FootnoteText"/>
        <w:ind w:left="567" w:hanging="567"/>
        <w:rPr>
          <w:iCs/>
          <w:sz w:val="24"/>
          <w:lang w:val="bg-BG"/>
        </w:rPr>
      </w:pPr>
      <w:r w:rsidRPr="0032675A">
        <w:rPr>
          <w:iCs/>
          <w:sz w:val="24"/>
          <w:vertAlign w:val="superscript"/>
          <w:lang w:val="bg-BG"/>
        </w:rPr>
        <w:footnoteRef/>
      </w:r>
      <w:r w:rsidR="0032675A" w:rsidRPr="0032675A">
        <w:rPr>
          <w:sz w:val="24"/>
          <w:lang w:val="bg-BG"/>
        </w:rPr>
        <w:t xml:space="preserve"> </w:t>
      </w:r>
      <w:r w:rsidR="0032675A" w:rsidRPr="0032675A">
        <w:rPr>
          <w:sz w:val="24"/>
          <w:lang w:val="bg-BG"/>
        </w:rPr>
        <w:tab/>
      </w:r>
      <w:r w:rsidRPr="0032675A">
        <w:rPr>
          <w:sz w:val="24"/>
          <w:lang w:val="bg-BG"/>
        </w:rPr>
        <w:t>COM(2020)0381.</w:t>
      </w:r>
    </w:p>
  </w:footnote>
  <w:footnote w:id="16">
    <w:p w:rsidR="00C306C7" w:rsidRPr="0032675A" w:rsidRDefault="00C306C7" w:rsidP="0032675A">
      <w:pPr>
        <w:pStyle w:val="FootnoteText"/>
        <w:ind w:left="567" w:hanging="567"/>
        <w:rPr>
          <w:sz w:val="24"/>
          <w:lang w:val="bg-BG"/>
        </w:rPr>
      </w:pPr>
      <w:r w:rsidRPr="0032675A">
        <w:rPr>
          <w:rStyle w:val="FootnoteReference"/>
          <w:sz w:val="24"/>
          <w:lang w:val="bg-BG"/>
        </w:rPr>
        <w:footnoteRef/>
      </w:r>
      <w:r w:rsidR="0032675A" w:rsidRPr="0032675A">
        <w:rPr>
          <w:sz w:val="24"/>
          <w:lang w:val="bg-BG"/>
        </w:rPr>
        <w:t xml:space="preserve"> </w:t>
      </w:r>
      <w:r w:rsidR="0032675A" w:rsidRPr="0032675A">
        <w:rPr>
          <w:sz w:val="24"/>
          <w:lang w:val="bg-BG"/>
        </w:rPr>
        <w:tab/>
      </w:r>
      <w:r w:rsidRPr="0032675A">
        <w:rPr>
          <w:sz w:val="24"/>
          <w:lang w:val="bg-BG"/>
        </w:rPr>
        <w:t>Регламент (ЕС) 2023/334 на Комисията от 2 февруари 2023 г. за изменение на приложения II и V към Регламент (ЕО) № 396/2005 на Европейския парламент и на Съвета по отношение на максимално допустимите граници на остатъчни вещества от клотианидин и тиаметоксам във и върху определени продукти (ОВ L 47, 15.2.2023 г., стр. 29).</w:t>
      </w:r>
    </w:p>
  </w:footnote>
  <w:footnote w:id="17">
    <w:p w:rsidR="00C306C7" w:rsidRPr="0032675A" w:rsidRDefault="00C306C7" w:rsidP="0032675A">
      <w:pPr>
        <w:pStyle w:val="FootnoteText"/>
        <w:ind w:left="567" w:hanging="567"/>
        <w:rPr>
          <w:sz w:val="24"/>
          <w:lang w:val="bg-BG"/>
        </w:rPr>
      </w:pPr>
      <w:r w:rsidRPr="0032675A">
        <w:rPr>
          <w:rStyle w:val="FootnoteReference"/>
          <w:sz w:val="24"/>
          <w:lang w:val="bg-BG"/>
        </w:rPr>
        <w:footnoteRef/>
      </w:r>
      <w:r w:rsidR="0032675A" w:rsidRPr="0032675A">
        <w:rPr>
          <w:sz w:val="24"/>
          <w:lang w:val="bg-BG"/>
        </w:rPr>
        <w:t xml:space="preserve"> </w:t>
      </w:r>
      <w:r w:rsidR="0032675A" w:rsidRPr="0032675A">
        <w:rPr>
          <w:sz w:val="24"/>
          <w:lang w:val="bg-BG"/>
        </w:rPr>
        <w:tab/>
      </w:r>
      <w:r w:rsidRPr="0032675A">
        <w:rPr>
          <w:sz w:val="24"/>
          <w:lang w:val="bg-BG"/>
        </w:rPr>
        <w:t>Пак там.</w:t>
      </w:r>
    </w:p>
  </w:footnote>
  <w:footnote w:id="18">
    <w:p w:rsidR="00C306C7" w:rsidRPr="0032675A" w:rsidRDefault="00C306C7" w:rsidP="0032675A">
      <w:pPr>
        <w:pStyle w:val="FootnoteText"/>
        <w:ind w:left="567" w:hanging="567"/>
        <w:rPr>
          <w:sz w:val="24"/>
          <w:lang w:val="bg-BG"/>
        </w:rPr>
      </w:pPr>
      <w:r w:rsidRPr="0032675A">
        <w:rPr>
          <w:rStyle w:val="FootnoteReference"/>
          <w:sz w:val="24"/>
          <w:lang w:val="bg-BG"/>
        </w:rPr>
        <w:footnoteRef/>
      </w:r>
      <w:r w:rsidR="0032675A" w:rsidRPr="0032675A">
        <w:rPr>
          <w:sz w:val="24"/>
          <w:lang w:val="bg-BG"/>
        </w:rPr>
        <w:t xml:space="preserve"> </w:t>
      </w:r>
      <w:r w:rsidR="0032675A" w:rsidRPr="0032675A">
        <w:rPr>
          <w:sz w:val="24"/>
          <w:lang w:val="bg-BG"/>
        </w:rPr>
        <w:tab/>
      </w:r>
      <w:r w:rsidRPr="0032675A">
        <w:rPr>
          <w:sz w:val="24"/>
          <w:lang w:val="bg-BG"/>
        </w:rPr>
        <w:t xml:space="preserve">Обобщен доклад от заседанието на Комитета PAFF от 10—11 май 2023 г., </w:t>
      </w:r>
      <w:hyperlink r:id="rId6" w:history="1">
        <w:r w:rsidRPr="0032675A">
          <w:rPr>
            <w:rStyle w:val="Hyperlink"/>
            <w:sz w:val="24"/>
            <w:lang w:val="bg-BG"/>
          </w:rPr>
          <w:t>https://ec.europa.eu/transparency/comitology-register/screen/documents/090500/1/consult?lang=en</w:t>
        </w:r>
      </w:hyperlink>
      <w:r w:rsidRPr="0032675A">
        <w:rPr>
          <w:sz w:val="24"/>
          <w:lang w:val="bg-BG"/>
        </w:rPr>
        <w:t>.</w:t>
      </w:r>
    </w:p>
  </w:footnote>
  <w:footnote w:id="19">
    <w:p w:rsidR="00C306C7" w:rsidRPr="0032675A" w:rsidRDefault="00C306C7" w:rsidP="0032675A">
      <w:pPr>
        <w:pStyle w:val="FootnoteText"/>
        <w:ind w:left="567" w:hanging="567"/>
        <w:rPr>
          <w:sz w:val="24"/>
          <w:lang w:val="bg-BG"/>
        </w:rPr>
      </w:pPr>
      <w:r w:rsidRPr="0032675A">
        <w:rPr>
          <w:rStyle w:val="FootnoteReference"/>
          <w:sz w:val="24"/>
          <w:lang w:val="bg-BG"/>
        </w:rPr>
        <w:footnoteRef/>
      </w:r>
      <w:r w:rsidR="0032675A" w:rsidRPr="0032675A">
        <w:rPr>
          <w:sz w:val="24"/>
          <w:lang w:val="bg-BG"/>
        </w:rPr>
        <w:t xml:space="preserve"> </w:t>
      </w:r>
      <w:r w:rsidR="0032675A" w:rsidRPr="0032675A">
        <w:rPr>
          <w:sz w:val="24"/>
          <w:lang w:val="bg-BG"/>
        </w:rPr>
        <w:tab/>
      </w:r>
      <w:r w:rsidRPr="0032675A">
        <w:rPr>
          <w:sz w:val="24"/>
          <w:lang w:val="bg-BG"/>
        </w:rPr>
        <w:t xml:space="preserve">Ellis, C., Park, K.J., Whitehorn, P., David, A., Goulson, D., ‘The Neonicotinoid Insecticide Thiacloprid Impacts upon Bumblebee Colony Development under Field Conditions’ (Неоникотиноидният инсектицид тиаклоприд влияе върху развитието на колониите на земните пчели при полеви условия), Environmental Science &amp; Technology 2017, 51, 3, стр. </w:t>
      </w:r>
      <w:r w:rsidRPr="0032675A">
        <w:rPr>
          <w:sz w:val="24"/>
          <w:lang w:val="bg-BG"/>
        </w:rPr>
        <w:t xml:space="preserve">1727–1732, </w:t>
      </w:r>
      <w:hyperlink r:id="rId7" w:history="1">
        <w:r w:rsidRPr="0032675A">
          <w:rPr>
            <w:rStyle w:val="Hyperlink"/>
            <w:sz w:val="24"/>
            <w:lang w:val="bg-BG"/>
          </w:rPr>
          <w:t>https://pubs.acs.org/doi/10.1021/acs.est.6b04791</w:t>
        </w:r>
      </w:hyperlink>
      <w:r w:rsidRPr="0032675A">
        <w:rPr>
          <w:sz w:val="24"/>
          <w:lang w:val="bg-BG"/>
        </w:rPr>
        <w:t>.</w:t>
      </w:r>
    </w:p>
  </w:footnote>
  <w:footnote w:id="20">
    <w:p w:rsidR="00C306C7" w:rsidRPr="0032675A" w:rsidRDefault="00C306C7" w:rsidP="0032675A">
      <w:pPr>
        <w:pStyle w:val="FootnoteText"/>
        <w:ind w:left="567" w:hanging="567"/>
        <w:rPr>
          <w:sz w:val="24"/>
          <w:lang w:val="bg-BG"/>
        </w:rPr>
      </w:pPr>
      <w:r w:rsidRPr="0032675A">
        <w:rPr>
          <w:rStyle w:val="FootnoteReference"/>
          <w:sz w:val="24"/>
          <w:lang w:val="bg-BG"/>
        </w:rPr>
        <w:footnoteRef/>
      </w:r>
      <w:r w:rsidR="0032675A" w:rsidRPr="0032675A">
        <w:rPr>
          <w:sz w:val="24"/>
          <w:lang w:val="bg-BG"/>
        </w:rPr>
        <w:t xml:space="preserve"> </w:t>
      </w:r>
      <w:r w:rsidR="0032675A" w:rsidRPr="0032675A">
        <w:rPr>
          <w:sz w:val="24"/>
          <w:lang w:val="bg-BG"/>
        </w:rPr>
        <w:tab/>
      </w:r>
      <w:r w:rsidRPr="0032675A">
        <w:rPr>
          <w:sz w:val="24"/>
          <w:lang w:val="bg-BG"/>
        </w:rPr>
        <w:t>Пак там.</w:t>
      </w:r>
    </w:p>
  </w:footnote>
  <w:footnote w:id="21">
    <w:p w:rsidR="00C306C7" w:rsidRPr="0032675A" w:rsidRDefault="00C306C7" w:rsidP="0032675A">
      <w:pPr>
        <w:pStyle w:val="FootnoteText"/>
        <w:ind w:left="567" w:hanging="567"/>
        <w:rPr>
          <w:sz w:val="24"/>
          <w:lang w:val="bg-BG"/>
        </w:rPr>
      </w:pPr>
      <w:r w:rsidRPr="0032675A">
        <w:rPr>
          <w:rStyle w:val="FootnoteReference"/>
          <w:sz w:val="24"/>
          <w:lang w:val="bg-BG"/>
        </w:rPr>
        <w:footnoteRef/>
      </w:r>
      <w:r w:rsidR="0032675A" w:rsidRPr="0032675A">
        <w:rPr>
          <w:sz w:val="24"/>
          <w:lang w:val="bg-BG"/>
        </w:rPr>
        <w:t xml:space="preserve"> </w:t>
      </w:r>
      <w:r w:rsidR="0032675A" w:rsidRPr="0032675A">
        <w:rPr>
          <w:sz w:val="24"/>
          <w:lang w:val="bg-BG"/>
        </w:rPr>
        <w:tab/>
      </w:r>
      <w:r w:rsidRPr="0032675A">
        <w:rPr>
          <w:sz w:val="24"/>
          <w:lang w:val="bg-BG"/>
        </w:rPr>
        <w:t>Brandt, A., Gorenflo, A., Siede, R., Meixner, M., Büchler, R., ‘The neonicotinoids thiacloprid, imidacloprid, and clothianidin affect the immunocompetence of honey bees (</w:t>
      </w:r>
      <w:r w:rsidRPr="0032675A">
        <w:rPr>
          <w:i/>
          <w:sz w:val="24"/>
          <w:lang w:val="bg-BG"/>
        </w:rPr>
        <w:t>Apis mellifera</w:t>
      </w:r>
      <w:r w:rsidRPr="0032675A">
        <w:rPr>
          <w:sz w:val="24"/>
          <w:lang w:val="bg-BG"/>
        </w:rPr>
        <w:t xml:space="preserve"> L.)</w:t>
      </w:r>
      <w:r w:rsidRPr="0032675A">
        <w:rPr>
          <w:sz w:val="24"/>
          <w:lang w:val="bg-BG"/>
        </w:rPr>
        <w:t>’ (Неоникотиноидите тиаклоприд, имидаклоприд и клотианидин влияят на имунокомпетентността на медоносните пчели (</w:t>
      </w:r>
      <w:r w:rsidRPr="0032675A">
        <w:rPr>
          <w:i/>
          <w:sz w:val="24"/>
          <w:lang w:val="bg-BG"/>
        </w:rPr>
        <w:t>Apis mellifera</w:t>
      </w:r>
      <w:r w:rsidRPr="0032675A">
        <w:rPr>
          <w:sz w:val="24"/>
          <w:lang w:val="bg-BG"/>
        </w:rPr>
        <w:t xml:space="preserve"> L.)), Journal of Insect Physiology, Volume 86, March 2016, Pages 40-47, </w:t>
      </w:r>
      <w:hyperlink r:id="rId8" w:history="1">
        <w:r w:rsidRPr="0032675A">
          <w:rPr>
            <w:rStyle w:val="Hyperlink"/>
            <w:sz w:val="24"/>
            <w:lang w:val="bg-BG"/>
          </w:rPr>
          <w:t>https://www.sciencedirect.com/science/article/pii/S0022191016300014</w:t>
        </w:r>
      </w:hyperlink>
      <w:r w:rsidRPr="0032675A">
        <w:rPr>
          <w:sz w:val="24"/>
          <w:lang w:val="bg-BG"/>
        </w:rPr>
        <w:t>.</w:t>
      </w:r>
    </w:p>
  </w:footnote>
  <w:footnote w:id="22">
    <w:p w:rsidR="00C306C7" w:rsidRPr="0032675A" w:rsidRDefault="00C306C7" w:rsidP="0032675A">
      <w:pPr>
        <w:pStyle w:val="FootnoteText"/>
        <w:keepNext/>
        <w:ind w:left="567" w:hanging="567"/>
        <w:rPr>
          <w:sz w:val="24"/>
          <w:lang w:val="bg-BG"/>
        </w:rPr>
      </w:pPr>
      <w:r w:rsidRPr="0032675A">
        <w:rPr>
          <w:rStyle w:val="FootnoteReference"/>
          <w:sz w:val="24"/>
          <w:lang w:val="bg-BG"/>
        </w:rPr>
        <w:footnoteRef/>
      </w:r>
      <w:r w:rsidR="0032675A" w:rsidRPr="0032675A">
        <w:rPr>
          <w:sz w:val="24"/>
          <w:lang w:val="bg-BG"/>
        </w:rPr>
        <w:t xml:space="preserve"> </w:t>
      </w:r>
      <w:r w:rsidR="0032675A" w:rsidRPr="0032675A">
        <w:rPr>
          <w:sz w:val="24"/>
          <w:lang w:val="bg-BG"/>
        </w:rPr>
        <w:tab/>
      </w:r>
      <w:r w:rsidRPr="0032675A">
        <w:rPr>
          <w:sz w:val="24"/>
          <w:lang w:val="bg-BG"/>
        </w:rPr>
        <w:t xml:space="preserve">Tison, L., Hahn, M.-L., Holtz, S., Rößner A., Greggers, U., Bischoff, G., and Menzel, R., ‘Honey Bees’ Behavior Is Impaired by Chronic Exposure to the Neonicotinoid Thiacloprid in the Field’ (Поведението на медоносните пчели е нарушено от хроничната експозиция на неоникотиноидния тиаклоприд при полеви условия), Environmental Science &amp; Technology 2016, 50, 13, стр. </w:t>
      </w:r>
      <w:r w:rsidRPr="0032675A">
        <w:rPr>
          <w:sz w:val="24"/>
          <w:lang w:val="bg-BG"/>
        </w:rPr>
        <w:t xml:space="preserve">7218–7227, </w:t>
      </w:r>
      <w:hyperlink r:id="rId9" w:history="1">
        <w:r w:rsidRPr="0032675A">
          <w:rPr>
            <w:rStyle w:val="Hyperlink"/>
            <w:sz w:val="24"/>
            <w:lang w:val="bg-BG"/>
          </w:rPr>
          <w:t>https://pubs.acs.org/doi/full/10.1021/acs.est.6b02658</w:t>
        </w:r>
      </w:hyperlink>
      <w:r w:rsidRPr="0032675A">
        <w:rPr>
          <w:sz w:val="24"/>
          <w:lang w:val="bg-BG"/>
        </w:rPr>
        <w:t xml:space="preserve">. </w:t>
      </w:r>
    </w:p>
  </w:footnote>
  <w:footnote w:id="23">
    <w:p w:rsidR="00C306C7" w:rsidRPr="0032675A" w:rsidRDefault="00C306C7" w:rsidP="0032675A">
      <w:pPr>
        <w:pStyle w:val="FootnoteText"/>
        <w:ind w:left="567" w:hanging="567"/>
        <w:rPr>
          <w:iCs/>
          <w:sz w:val="24"/>
          <w:lang w:val="bg-BG"/>
        </w:rPr>
      </w:pPr>
      <w:r w:rsidRPr="0032675A">
        <w:rPr>
          <w:iCs/>
          <w:sz w:val="24"/>
          <w:vertAlign w:val="superscript"/>
          <w:lang w:val="bg-BG"/>
        </w:rPr>
        <w:footnoteRef/>
      </w:r>
      <w:r w:rsidR="0032675A" w:rsidRPr="0032675A">
        <w:rPr>
          <w:sz w:val="24"/>
          <w:lang w:val="bg-BG"/>
        </w:rPr>
        <w:t xml:space="preserve"> </w:t>
      </w:r>
      <w:r w:rsidR="0032675A" w:rsidRPr="0032675A">
        <w:rPr>
          <w:sz w:val="24"/>
          <w:lang w:val="bg-BG"/>
        </w:rPr>
        <w:tab/>
      </w:r>
      <w:r w:rsidRPr="0032675A">
        <w:rPr>
          <w:sz w:val="24"/>
          <w:lang w:val="bg-BG"/>
        </w:rPr>
        <w:t xml:space="preserve">Pisa, L., Goulson, D., Yang, E.C., et al., „An update of the Worldwide Integrated Assessment (WIA) on systemic insecticides. Част 2: impacts on organisms and ecosystems“ (Актуална информация относно интегрираната оценка в световен мащаб на въздействието на системните пестициди. Част 2: Въздействие върху организмите и екосистемите), Environmental Science and Pollution Research 28, 11749 – 11797 стр., </w:t>
      </w:r>
      <w:r w:rsidRPr="0032675A">
        <w:rPr>
          <w:sz w:val="24"/>
          <w:lang w:val="bg-BG"/>
        </w:rPr>
        <w:t xml:space="preserve">2021 г., </w:t>
      </w:r>
      <w:hyperlink r:id="rId10" w:history="1">
        <w:r w:rsidRPr="0032675A">
          <w:rPr>
            <w:rStyle w:val="Hyperlink"/>
            <w:sz w:val="24"/>
            <w:lang w:val="bg-BG"/>
          </w:rPr>
          <w:t>https://doi.org/10.1007/s11356-017-0341-3</w:t>
        </w:r>
      </w:hyperlink>
      <w:r w:rsidRPr="0032675A">
        <w:rPr>
          <w:sz w:val="24"/>
          <w:lang w:val="bg-BG"/>
        </w:rPr>
        <w:t>.</w:t>
      </w:r>
    </w:p>
  </w:footnote>
  <w:footnote w:id="24">
    <w:p w:rsidR="00C306C7" w:rsidRPr="0032675A" w:rsidRDefault="00C306C7" w:rsidP="0032675A">
      <w:pPr>
        <w:pStyle w:val="FootnoteText"/>
        <w:ind w:left="567" w:hanging="567"/>
        <w:rPr>
          <w:sz w:val="24"/>
          <w:lang w:val="bg-BG"/>
        </w:rPr>
      </w:pPr>
      <w:r w:rsidRPr="0032675A">
        <w:rPr>
          <w:rStyle w:val="FootnoteReference"/>
          <w:sz w:val="24"/>
          <w:lang w:val="bg-BG"/>
        </w:rPr>
        <w:footnoteRef/>
      </w:r>
      <w:r w:rsidR="0032675A" w:rsidRPr="0032675A">
        <w:rPr>
          <w:sz w:val="24"/>
          <w:lang w:val="bg-BG"/>
        </w:rPr>
        <w:t xml:space="preserve"> </w:t>
      </w:r>
      <w:r w:rsidR="0032675A" w:rsidRPr="0032675A">
        <w:rPr>
          <w:sz w:val="24"/>
          <w:lang w:val="bg-BG"/>
        </w:rPr>
        <w:tab/>
      </w:r>
      <w:hyperlink r:id="rId11" w:history="1">
        <w:r w:rsidRPr="0032675A">
          <w:rPr>
            <w:rStyle w:val="Hyperlink"/>
            <w:sz w:val="24"/>
            <w:lang w:val="bg-BG"/>
          </w:rPr>
          <w:t>https://ec.europa.eu/food/plant/pesticides/eu-pesticides-database/start/screen/active-substances/details/841</w:t>
        </w:r>
      </w:hyperlink>
      <w:r w:rsidRPr="0032675A">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675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675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67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7/2024"/>
    <w:docVar w:name="dvlangue" w:val="BG"/>
    <w:docVar w:name="dvnumam" w:val="0"/>
    <w:docVar w:name="dvpe" w:val="757.277"/>
    <w:docVar w:name="dvtitre" w:val="Резолюция на Европейския парламент от ... 2024 г. относно предложението за регламент на Съвета за изменение на приложение II към Регламент (ЕО) № 396/2005 на Европейския парламент и на Съвета по отношение на максимално допустимите граници на остатъчни вещества от тиаклоприд във и върху определени продукти(COM(2023)0739 – 2023/3005(RPS))"/>
  </w:docVars>
  <w:rsids>
    <w:rsidRoot w:val="005119E8"/>
    <w:rsid w:val="00002272"/>
    <w:rsid w:val="00064002"/>
    <w:rsid w:val="000677B9"/>
    <w:rsid w:val="000831BA"/>
    <w:rsid w:val="000A42CC"/>
    <w:rsid w:val="000E7DD9"/>
    <w:rsid w:val="0010095E"/>
    <w:rsid w:val="00125B37"/>
    <w:rsid w:val="00187494"/>
    <w:rsid w:val="001F32AE"/>
    <w:rsid w:val="002767FF"/>
    <w:rsid w:val="002B18FE"/>
    <w:rsid w:val="002B5493"/>
    <w:rsid w:val="0032675A"/>
    <w:rsid w:val="00343214"/>
    <w:rsid w:val="00361C00"/>
    <w:rsid w:val="00395FA1"/>
    <w:rsid w:val="003B3BC6"/>
    <w:rsid w:val="003E15D4"/>
    <w:rsid w:val="00411CCE"/>
    <w:rsid w:val="0041666E"/>
    <w:rsid w:val="00421060"/>
    <w:rsid w:val="00471C19"/>
    <w:rsid w:val="004867E3"/>
    <w:rsid w:val="00494A28"/>
    <w:rsid w:val="004C0004"/>
    <w:rsid w:val="004C5D52"/>
    <w:rsid w:val="0050519A"/>
    <w:rsid w:val="005072A1"/>
    <w:rsid w:val="005119E8"/>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3C10"/>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06C7"/>
    <w:rsid w:val="00C61C0C"/>
    <w:rsid w:val="00C941CB"/>
    <w:rsid w:val="00CC2357"/>
    <w:rsid w:val="00CF071A"/>
    <w:rsid w:val="00D03B76"/>
    <w:rsid w:val="00D058B8"/>
    <w:rsid w:val="00D56C11"/>
    <w:rsid w:val="00D834A0"/>
    <w:rsid w:val="00D872DF"/>
    <w:rsid w:val="00D91E21"/>
    <w:rsid w:val="00DA7FCD"/>
    <w:rsid w:val="00E365E1"/>
    <w:rsid w:val="00E820A4"/>
    <w:rsid w:val="00EB006A"/>
    <w:rsid w:val="00EB15C6"/>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C13007"/>
  <w15:chartTrackingRefBased/>
  <w15:docId w15:val="{8940E2BA-1BB7-4AB6-A0B8-4E74C97A2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306C7"/>
    <w:pPr>
      <w:spacing w:before="480" w:after="240"/>
    </w:pPr>
  </w:style>
  <w:style w:type="paragraph" w:customStyle="1" w:styleId="NormalHanging12a">
    <w:name w:val="NormalHanging12a"/>
    <w:basedOn w:val="Normal"/>
    <w:rsid w:val="00C306C7"/>
    <w:pPr>
      <w:spacing w:after="240"/>
      <w:ind w:left="567" w:hanging="567"/>
    </w:pPr>
  </w:style>
  <w:style w:type="character" w:styleId="Hyperlink">
    <w:name w:val="Hyperlink"/>
    <w:basedOn w:val="DefaultParagraphFont"/>
    <w:uiPriority w:val="99"/>
    <w:unhideWhenUsed/>
    <w:rsid w:val="00C306C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0022191016300014" TargetMode="External"/><Relationship Id="rId3" Type="http://schemas.openxmlformats.org/officeDocument/2006/relationships/hyperlink" Target="https://echa.europa.eu/registry-of-clh-intentions-until-outcome/-/dislist/details/0b0236e180638ff8" TargetMode="External"/><Relationship Id="rId7" Type="http://schemas.openxmlformats.org/officeDocument/2006/relationships/hyperlink" Target="https://pubs.acs.org/doi/10.1021/acs.est.6b04791" TargetMode="External"/><Relationship Id="rId2" Type="http://schemas.openxmlformats.org/officeDocument/2006/relationships/hyperlink" Target="https://doi.org/10.2903/j.efsa.2019.5595" TargetMode="External"/><Relationship Id="rId1" Type="http://schemas.openxmlformats.org/officeDocument/2006/relationships/hyperlink" Target="https://doi.org/10.2903/j.efsa.2023.7888" TargetMode="External"/><Relationship Id="rId6" Type="http://schemas.openxmlformats.org/officeDocument/2006/relationships/hyperlink" Target="https://ec.europa.eu/transparency/comitology-register/screen/documents/090500/1/consult?lang=en" TargetMode="External"/><Relationship Id="rId11" Type="http://schemas.openxmlformats.org/officeDocument/2006/relationships/hyperlink" Target="https://ec.europa.eu/food/plant/pesticides/eu-pesticides-database/start/screen/active-substances/details/841" TargetMode="External"/><Relationship Id="rId5" Type="http://schemas.openxmlformats.org/officeDocument/2006/relationships/hyperlink" Target="https://doi.org/10.1007/s41055-016-0003-z" TargetMode="External"/><Relationship Id="rId10" Type="http://schemas.openxmlformats.org/officeDocument/2006/relationships/hyperlink" Target="https://doi.org/10.1007/s11356-017-0341-3" TargetMode="External"/><Relationship Id="rId4" Type="http://schemas.openxmlformats.org/officeDocument/2006/relationships/hyperlink" Target="https://ec.europa.eu/transparency/comitology-register/screen/documents/092486/1/consult?lang=en" TargetMode="External"/><Relationship Id="rId9" Type="http://schemas.openxmlformats.org/officeDocument/2006/relationships/hyperlink" Target="https://pubs.acs.org/doi/full/10.1021/acs.est.6b026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8409A0-1AAE-47D5-8EE9-7718564B5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2565</Words>
  <Characters>14625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2024-02-14T13:25:00Z</dcterms:created>
  <dcterms:modified xsi:type="dcterms:W3CDTF">2024-02-14T13:25:00Z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B9-0057/2024</vt:lpwstr>
  </property>
  <property fmtid="{D5CDD505-2E9C-101B-9397-08002B2CF9AE}" pid="4" name="&lt;Type&gt;">
    <vt:lpwstr>RR</vt:lpwstr>
  </property>
</Properties>
</file>