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676B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676BA" w:rsidRDefault="00C97D43" w:rsidP="0010095E">
            <w:pPr>
              <w:pStyle w:val="EPName"/>
            </w:pPr>
            <w:r w:rsidRPr="00D676BA">
              <w:t>Evropský parlament</w:t>
            </w:r>
          </w:p>
          <w:p w:rsidR="00751A4A" w:rsidRPr="00D676B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676B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676BA" w:rsidRDefault="00187494" w:rsidP="0010095E">
            <w:pPr>
              <w:pStyle w:val="EPLogo"/>
            </w:pPr>
            <w:r w:rsidRPr="00D676B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676BA" w:rsidRDefault="00D058B8" w:rsidP="004C5D52">
      <w:pPr>
        <w:pStyle w:val="LineTop"/>
      </w:pPr>
    </w:p>
    <w:p w:rsidR="00680577" w:rsidRPr="00D676BA" w:rsidRDefault="00C97D43" w:rsidP="00680577">
      <w:pPr>
        <w:pStyle w:val="EPBodyTA1"/>
      </w:pPr>
      <w:r w:rsidRPr="00D676BA">
        <w:t>PŘIJATÉ TEXTY</w:t>
      </w:r>
    </w:p>
    <w:p w:rsidR="00D058B8" w:rsidRPr="00D676BA" w:rsidRDefault="00D058B8" w:rsidP="00D058B8">
      <w:pPr>
        <w:pStyle w:val="LineBottom"/>
      </w:pPr>
    </w:p>
    <w:p w:rsidR="00C97D43" w:rsidRPr="00D676BA" w:rsidRDefault="00C97D43" w:rsidP="00C97D43">
      <w:pPr>
        <w:pStyle w:val="ATHeading1"/>
      </w:pPr>
      <w:bookmarkStart w:id="0" w:name="TANumber"/>
      <w:r w:rsidRPr="00D676BA">
        <w:t>P9_TA(2024)00</w:t>
      </w:r>
      <w:r w:rsidR="00031754">
        <w:t>16</w:t>
      </w:r>
      <w:bookmarkEnd w:id="0"/>
    </w:p>
    <w:p w:rsidR="00C97D43" w:rsidRPr="00D676BA" w:rsidRDefault="00F91307" w:rsidP="00F91307">
      <w:pPr>
        <w:pStyle w:val="ATHeading2"/>
      </w:pPr>
      <w:r>
        <w:t>Námitka v</w:t>
      </w:r>
      <w:r w:rsidR="00B4289A" w:rsidRPr="00B4289A">
        <w:t>ůči prováděcímu aktu</w:t>
      </w:r>
      <w:r>
        <w:t>: maximální limity reziduí pro</w:t>
      </w:r>
      <w:r w:rsidR="00B4289A">
        <w:t xml:space="preserve"> </w:t>
      </w:r>
      <w:proofErr w:type="spellStart"/>
      <w:r>
        <w:t>thiakloprid</w:t>
      </w:r>
      <w:proofErr w:type="spellEnd"/>
    </w:p>
    <w:p w:rsidR="00C97D43" w:rsidRPr="00D676BA" w:rsidRDefault="00C97D43" w:rsidP="00C97D43">
      <w:pPr>
        <w:rPr>
          <w:i/>
          <w:vanish/>
        </w:rPr>
      </w:pPr>
      <w:r w:rsidRPr="00D676BA">
        <w:rPr>
          <w:i/>
        </w:rPr>
        <w:fldChar w:fldCharType="begin"/>
      </w:r>
      <w:r w:rsidRPr="00D676BA">
        <w:rPr>
          <w:i/>
        </w:rPr>
        <w:instrText xml:space="preserve"> TC"(</w:instrText>
      </w:r>
      <w:bookmarkStart w:id="1" w:name="DocNumber"/>
      <w:r w:rsidRPr="00D676BA">
        <w:rPr>
          <w:i/>
        </w:rPr>
        <w:instrText>B9-0057/2024</w:instrText>
      </w:r>
      <w:bookmarkEnd w:id="1"/>
      <w:r w:rsidRPr="00D676BA">
        <w:rPr>
          <w:i/>
        </w:rPr>
        <w:instrText xml:space="preserve">)"\l3 \n&gt; \* MERGEFORMAT </w:instrText>
      </w:r>
      <w:r w:rsidRPr="00D676BA">
        <w:rPr>
          <w:i/>
        </w:rPr>
        <w:fldChar w:fldCharType="end"/>
      </w:r>
    </w:p>
    <w:p w:rsidR="00C97D43" w:rsidRPr="00D676BA" w:rsidRDefault="00C97D43" w:rsidP="00C97D43">
      <w:pPr>
        <w:rPr>
          <w:vanish/>
        </w:rPr>
      </w:pPr>
      <w:bookmarkStart w:id="2" w:name="PE"/>
      <w:r w:rsidRPr="00D676BA">
        <w:rPr>
          <w:vanish/>
        </w:rPr>
        <w:t>PE757.277</w:t>
      </w:r>
      <w:bookmarkEnd w:id="2"/>
    </w:p>
    <w:p w:rsidR="00C97D43" w:rsidRPr="00D676BA" w:rsidRDefault="00C97D43" w:rsidP="00C97D43">
      <w:pPr>
        <w:pStyle w:val="ATHeading3"/>
      </w:pPr>
      <w:bookmarkStart w:id="3" w:name="Sujet"/>
      <w:r w:rsidRPr="00D676BA">
        <w:t xml:space="preserve">Usnesení Evropského parlamentu ze dne </w:t>
      </w:r>
      <w:r w:rsidR="006C6AB2">
        <w:t>17</w:t>
      </w:r>
      <w:r w:rsidRPr="00D676BA">
        <w:t xml:space="preserve">. ledna 2024 o návrhu nařízení Rady, kterým se mění příloha II nařízení Evropského parlamentu a Rady (ES) č. 396/2005, pokud jde o maximální limity reziduí pro </w:t>
      </w:r>
      <w:proofErr w:type="spellStart"/>
      <w:r w:rsidRPr="00D676BA">
        <w:t>thiakloprid</w:t>
      </w:r>
      <w:proofErr w:type="spellEnd"/>
      <w:r w:rsidRPr="00D676BA">
        <w:t xml:space="preserve"> v některých produktech a na jejich povrchu</w:t>
      </w:r>
      <w:bookmarkEnd w:id="3"/>
      <w:r w:rsidRPr="00D676BA">
        <w:t xml:space="preserve"> </w:t>
      </w:r>
      <w:bookmarkStart w:id="4" w:name="References"/>
      <w:r w:rsidRPr="00D676BA">
        <w:t>(COM(2023)0739 – 2023/3005(RPS))</w:t>
      </w:r>
      <w:bookmarkEnd w:id="4"/>
    </w:p>
    <w:p w:rsidR="00B5402D" w:rsidRPr="00D676BA" w:rsidRDefault="00B5402D" w:rsidP="00B5402D">
      <w:pPr>
        <w:pStyle w:val="EPComma"/>
      </w:pPr>
      <w:bookmarkStart w:id="5" w:name="TextBodyBegin"/>
      <w:bookmarkEnd w:id="5"/>
      <w:r w:rsidRPr="00D676BA">
        <w:rPr>
          <w:i/>
        </w:rPr>
        <w:t>Evropský parlament</w:t>
      </w:r>
      <w:r w:rsidRPr="00D676BA">
        <w:t>,</w:t>
      </w:r>
    </w:p>
    <w:p w:rsidR="00B5402D" w:rsidRPr="00D676BA" w:rsidRDefault="00B5402D" w:rsidP="00BB3AC9">
      <w:pPr>
        <w:pStyle w:val="NormalHanging12a"/>
      </w:pPr>
      <w:r w:rsidRPr="00D676BA">
        <w:t>–</w:t>
      </w:r>
      <w:r w:rsidRPr="00D676BA">
        <w:tab/>
        <w:t xml:space="preserve">s ohledem na návrh nařízení Rady, kterým se mění příloha II nařízení Evropského parlamentu a Rady (ES) č. 396/2005, pokud jde o maximální limity reziduí pro </w:t>
      </w:r>
      <w:proofErr w:type="spellStart"/>
      <w:r w:rsidRPr="00D676BA">
        <w:t>thiakloprid</w:t>
      </w:r>
      <w:proofErr w:type="spellEnd"/>
      <w:r w:rsidRPr="00D676BA">
        <w:t xml:space="preserve"> v některých produktech a na jejich povrchu (COM(2023)0739),</w:t>
      </w:r>
    </w:p>
    <w:p w:rsidR="00B5402D" w:rsidRPr="00D676BA" w:rsidRDefault="00B5402D">
      <w:pPr>
        <w:pStyle w:val="NormalHanging12a"/>
        <w:rPr>
          <w:szCs w:val="24"/>
        </w:rPr>
      </w:pPr>
      <w:r w:rsidRPr="00D676BA">
        <w:t>–</w:t>
      </w:r>
      <w:r w:rsidRPr="00D676BA">
        <w:tab/>
        <w:t>s ohledem na nařízení Evropského parlamentu a Rady (ES) č. 396/2005 ze dne 23. února 2005 o maximálních limitech reziduí pesticidů v potravinách a krmivech rostlinného a živočišného původu a na jejich povrchu a o změně směrnice Rady 91/414/EHS</w:t>
      </w:r>
      <w:r w:rsidRPr="00D676BA">
        <w:rPr>
          <w:rStyle w:val="FootnoteReference"/>
        </w:rPr>
        <w:footnoteReference w:id="1"/>
      </w:r>
      <w:r w:rsidRPr="00D676BA">
        <w:t xml:space="preserve">, a zejména na čl. 14 odst. 1 písm. a) a čl. 49 odst. 2 uvedeného nařízení, </w:t>
      </w:r>
    </w:p>
    <w:p w:rsidR="00B5402D" w:rsidRPr="00D676BA" w:rsidRDefault="00B5402D">
      <w:pPr>
        <w:pStyle w:val="NormalHanging12a"/>
        <w:rPr>
          <w:szCs w:val="24"/>
        </w:rPr>
      </w:pPr>
      <w:r w:rsidRPr="00D676BA">
        <w:t>–</w:t>
      </w:r>
      <w:r w:rsidRPr="00D676BA">
        <w:tab/>
        <w:t>s ohledem na nařízení Evropského parlamentu a Rady (ES) č. 1107/2009 ze dne 21. října 2009 o uvádění přípravků na ochranu rostlin na trh a o zrušení směrnic Rady 79/117/EHS a 91/414/EHS</w:t>
      </w:r>
      <w:r w:rsidRPr="00D676BA">
        <w:rPr>
          <w:rStyle w:val="FootnoteReference"/>
          <w:szCs w:val="24"/>
        </w:rPr>
        <w:footnoteReference w:id="2"/>
      </w:r>
      <w:r w:rsidRPr="00D676BA">
        <w:t>, a zejména na čl. 4 odst. 1 a čl. 4 odst. 2 první pododstavec písm. a) a bod 3.6.4 přílohy II,</w:t>
      </w:r>
    </w:p>
    <w:p w:rsidR="00B5402D" w:rsidRPr="00D676BA" w:rsidRDefault="00B5402D">
      <w:pPr>
        <w:pStyle w:val="NormalHanging12a"/>
        <w:rPr>
          <w:szCs w:val="24"/>
        </w:rPr>
      </w:pPr>
      <w:r w:rsidRPr="00D676BA">
        <w:t>–</w:t>
      </w:r>
      <w:r w:rsidRPr="00D676BA">
        <w:tab/>
        <w:t>s ohledem na nařízení Evropského parlamentu a Rady (ES) č. 178/2002 ze dne 28. ledna 2002, kterým se stanoví obecné zásady a požadavky potravinového práva, zřizuje se Evropský úřad pro bezpečnost potravin a stanoví postupy týkající se bezpečnosti potravin</w:t>
      </w:r>
      <w:r w:rsidRPr="00D676BA">
        <w:rPr>
          <w:rStyle w:val="FootnoteReference"/>
          <w:szCs w:val="24"/>
        </w:rPr>
        <w:footnoteReference w:id="3"/>
      </w:r>
      <w:r w:rsidRPr="00D676BA">
        <w:t>, a zejména na čl. 5 odst. 1 uvedeného nařízení,</w:t>
      </w:r>
    </w:p>
    <w:p w:rsidR="00B5402D" w:rsidRPr="00D676BA" w:rsidRDefault="00B5402D">
      <w:pPr>
        <w:pStyle w:val="NormalHanging12a"/>
        <w:rPr>
          <w:szCs w:val="24"/>
        </w:rPr>
      </w:pPr>
      <w:r w:rsidRPr="00D676BA">
        <w:t>–</w:t>
      </w:r>
      <w:r w:rsidRPr="00D676BA">
        <w:tab/>
        <w:t>s ohledem na články 11, 13, 168 a 191 Smlouvy o fungování Evropské unie,</w:t>
      </w:r>
    </w:p>
    <w:p w:rsidR="00B5402D" w:rsidRPr="00D676BA" w:rsidRDefault="00B5402D">
      <w:pPr>
        <w:pStyle w:val="NormalHanging12a"/>
      </w:pPr>
      <w:r w:rsidRPr="00D676BA">
        <w:t>–</w:t>
      </w:r>
      <w:r w:rsidRPr="00D676BA">
        <w:tab/>
        <w:t xml:space="preserve">s ohledem na odůvodněné stanovisko Evropského úřadu pro bezpečnost potravin </w:t>
      </w:r>
      <w:r w:rsidRPr="00D676BA">
        <w:lastRenderedPageBreak/>
        <w:t>(EFSA) ze dne 9. února 2023, zveřejněné dne 15. března 2023</w:t>
      </w:r>
      <w:r w:rsidRPr="00D676BA">
        <w:rPr>
          <w:rStyle w:val="FootnoteReference"/>
        </w:rPr>
        <w:footnoteReference w:id="4"/>
      </w:r>
      <w:r w:rsidRPr="00D676BA">
        <w:t>,</w:t>
      </w:r>
    </w:p>
    <w:p w:rsidR="00B5402D" w:rsidRPr="00D676BA" w:rsidRDefault="00B5402D">
      <w:pPr>
        <w:pStyle w:val="NormalHanging12a"/>
        <w:rPr>
          <w:szCs w:val="24"/>
        </w:rPr>
      </w:pPr>
      <w:r w:rsidRPr="00D676BA">
        <w:t>–</w:t>
      </w:r>
      <w:r w:rsidRPr="00D676BA">
        <w:tab/>
        <w:t>s ohledem na závěry vzájemného přezkumu pesticidů, které schválil úřad EFSA dne 17. ledna 2019 a které byly zveřejněny dne 14. března 2019</w:t>
      </w:r>
      <w:r w:rsidRPr="00D676BA">
        <w:rPr>
          <w:rStyle w:val="FootnoteReference"/>
          <w:szCs w:val="24"/>
        </w:rPr>
        <w:footnoteReference w:id="5"/>
      </w:r>
      <w:r w:rsidRPr="00D676BA">
        <w:t>,</w:t>
      </w:r>
    </w:p>
    <w:p w:rsidR="00B5402D" w:rsidRPr="00D676BA" w:rsidRDefault="00B5402D">
      <w:pPr>
        <w:pStyle w:val="NormalHanging12a"/>
        <w:rPr>
          <w:szCs w:val="24"/>
        </w:rPr>
      </w:pPr>
      <w:r w:rsidRPr="00D676BA">
        <w:t>–</w:t>
      </w:r>
      <w:r w:rsidRPr="00D676BA">
        <w:tab/>
        <w:t>s ohledem na stanovisko přijaté Výborem pro posuzování rizik (RAC) Evropské agentury pro chemické látky (ECHA) dne 12. března 2015</w:t>
      </w:r>
      <w:r w:rsidRPr="00D676BA">
        <w:rPr>
          <w:rStyle w:val="FootnoteReference"/>
          <w:szCs w:val="24"/>
        </w:rPr>
        <w:footnoteReference w:id="6"/>
      </w:r>
      <w:r w:rsidRPr="00D676BA">
        <w:t>,</w:t>
      </w:r>
    </w:p>
    <w:p w:rsidR="00B5402D" w:rsidRPr="00D676BA" w:rsidRDefault="00B5402D">
      <w:pPr>
        <w:pStyle w:val="NormalHanging12a"/>
        <w:rPr>
          <w:szCs w:val="24"/>
        </w:rPr>
      </w:pPr>
      <w:r w:rsidRPr="00D676BA">
        <w:t>–</w:t>
      </w:r>
      <w:r w:rsidRPr="00D676BA">
        <w:tab/>
        <w:t>s ohledem na čl. 5a odst. 4 písm. e) a čl. 5a odst. 5 rozhodnutí Rady 1999/468/ES ze dne 28. června 1999 o postupech pro výkon prováděcích pravomocí svěřených Komisi</w:t>
      </w:r>
      <w:r w:rsidRPr="00D676BA">
        <w:rPr>
          <w:rStyle w:val="FootnoteReference"/>
          <w:szCs w:val="24"/>
        </w:rPr>
        <w:footnoteReference w:id="7"/>
      </w:r>
      <w:r w:rsidRPr="00D676BA">
        <w:t>,</w:t>
      </w:r>
    </w:p>
    <w:p w:rsidR="00B5402D" w:rsidRPr="00D676BA" w:rsidRDefault="00B5402D">
      <w:pPr>
        <w:pStyle w:val="NormalHanging12a"/>
      </w:pPr>
      <w:r w:rsidRPr="00D676BA">
        <w:t>–</w:t>
      </w:r>
      <w:r w:rsidRPr="00D676BA">
        <w:tab/>
        <w:t>s ohledem na čl. 112 odst. 2 a 3 a odst. 4 písm. c) jednacího řádu,</w:t>
      </w:r>
    </w:p>
    <w:p w:rsidR="00B5402D" w:rsidRPr="00D676BA" w:rsidRDefault="00B5402D">
      <w:pPr>
        <w:pStyle w:val="NormalHanging12a"/>
      </w:pPr>
      <w:r w:rsidRPr="00D676BA">
        <w:t>–</w:t>
      </w:r>
      <w:r w:rsidRPr="00D676BA">
        <w:tab/>
        <w:t>s ohledem na návrh usnesení Výboru pro životní prostředí, veřejné zdraví a bezpečnost potravin,</w:t>
      </w:r>
    </w:p>
    <w:p w:rsidR="00B5402D" w:rsidRPr="00D676BA" w:rsidRDefault="00B5402D">
      <w:pPr>
        <w:pStyle w:val="NormalHanging12a"/>
      </w:pPr>
      <w:r w:rsidRPr="00D676BA">
        <w:t>A.</w:t>
      </w:r>
      <w:r w:rsidRPr="00D676BA">
        <w:tab/>
        <w:t xml:space="preserve">vzhledem k tomu, že </w:t>
      </w:r>
      <w:proofErr w:type="spellStart"/>
      <w:r w:rsidRPr="00D676BA">
        <w:t>thiakloprid</w:t>
      </w:r>
      <w:proofErr w:type="spellEnd"/>
      <w:r w:rsidRPr="00D676BA">
        <w:t xml:space="preserve"> je účinnou látkou v insekticidech používaných zejména pro bavlnu, jádrové ovoce, zeleninu a brambory;</w:t>
      </w:r>
    </w:p>
    <w:p w:rsidR="00B5402D" w:rsidRPr="00D676BA" w:rsidRDefault="00B5402D">
      <w:pPr>
        <w:pStyle w:val="NormalHanging12a"/>
      </w:pPr>
      <w:r w:rsidRPr="00D676BA">
        <w:t>B.</w:t>
      </w:r>
      <w:r w:rsidRPr="00D676BA">
        <w:tab/>
        <w:t xml:space="preserve">vzhledem k tomu, že platnost schválení účinné látky </w:t>
      </w:r>
      <w:proofErr w:type="spellStart"/>
      <w:r w:rsidRPr="00D676BA">
        <w:t>thiakloprid</w:t>
      </w:r>
      <w:proofErr w:type="spellEnd"/>
      <w:r w:rsidRPr="00D676BA">
        <w:t xml:space="preserve"> skončila dne 3. února 2020 a prováděcí nařízení Komise (EU) 2020/23 schválení neobnovilo</w:t>
      </w:r>
      <w:r w:rsidRPr="00D676BA">
        <w:rPr>
          <w:rStyle w:val="FootnoteReference"/>
        </w:rPr>
        <w:footnoteReference w:id="8"/>
      </w:r>
      <w:r w:rsidRPr="00D676BA">
        <w:t xml:space="preserve">; vzhledem k tomu, že odkladná lhůta pro přípravky na ochranu rostlin obsahující </w:t>
      </w:r>
      <w:proofErr w:type="spellStart"/>
      <w:r w:rsidRPr="00D676BA">
        <w:t>thiakloprid</w:t>
      </w:r>
      <w:proofErr w:type="spellEnd"/>
      <w:r w:rsidRPr="00D676BA">
        <w:t xml:space="preserve"> uplynula dne 3. února 2021;</w:t>
      </w:r>
    </w:p>
    <w:p w:rsidR="00B5402D" w:rsidRPr="00D676BA" w:rsidRDefault="00B5402D">
      <w:pPr>
        <w:pStyle w:val="NormalHanging12a"/>
      </w:pPr>
      <w:r w:rsidRPr="00D676BA">
        <w:t>C.</w:t>
      </w:r>
      <w:r w:rsidRPr="00D676BA">
        <w:tab/>
        <w:t xml:space="preserve">vzhledem k tomu, že schválení účinné látky </w:t>
      </w:r>
      <w:proofErr w:type="spellStart"/>
      <w:r w:rsidRPr="00D676BA">
        <w:t>thiakloprid</w:t>
      </w:r>
      <w:proofErr w:type="spellEnd"/>
      <w:r w:rsidRPr="00D676BA">
        <w:t xml:space="preserve"> nebylo obnoveno, neboť u jednoho či více reprezentativních použití alespoň jednoho přípravku na ochranu rostlin nebylo možné stanovit, že byla splněna kritéria pro schválení stanovená v článku 4 nařízení (ES) č. 1107/2009; vzhledem k tomu, že úřad EFSA konkrétně určil dvě kritické oblasti vzbuzující obavy; vzhledem k tomu, že první kritická oblast vzbuzující obavy se týká indikace kontaminace podzemních vod několika relevantními metabolity </w:t>
      </w:r>
      <w:proofErr w:type="spellStart"/>
      <w:r w:rsidRPr="00D676BA">
        <w:t>thiaklopridu</w:t>
      </w:r>
      <w:proofErr w:type="spellEnd"/>
      <w:r w:rsidRPr="00D676BA">
        <w:t>, u nichž nebylo možné vyloučit karcinogenní potenciál (M30, M34 a M46) nad mezní hodnotou ukazatele pro pitnou vodu 0,1 µg/l pro všechna reprezentativní použití</w:t>
      </w:r>
      <w:r w:rsidRPr="00D676BA">
        <w:rPr>
          <w:rStyle w:val="FootnoteReference"/>
        </w:rPr>
        <w:footnoteReference w:id="9"/>
      </w:r>
      <w:r w:rsidRPr="00D676BA">
        <w:t xml:space="preserve">; vzhledem k tomu, že druhá kritická oblast vzbuzující obavy souvisí s tím, že podle agentury ECHA spadá </w:t>
      </w:r>
      <w:proofErr w:type="spellStart"/>
      <w:r w:rsidRPr="00D676BA">
        <w:t>thiakloprid</w:t>
      </w:r>
      <w:proofErr w:type="spellEnd"/>
      <w:r w:rsidRPr="00D676BA">
        <w:t xml:space="preserve"> v rámci harmonizované klasifikace v souladu </w:t>
      </w:r>
      <w:r w:rsidRPr="00D676BA">
        <w:lastRenderedPageBreak/>
        <w:t>s nařízením Evropského parlamentu a Rady (ES) č. 1272/2008</w:t>
      </w:r>
      <w:r w:rsidRPr="00D676BA">
        <w:rPr>
          <w:rStyle w:val="FootnoteReference"/>
        </w:rPr>
        <w:footnoteReference w:id="10"/>
      </w:r>
      <w:r w:rsidRPr="00D676BA">
        <w:t xml:space="preserve"> mezi látky, o nichž se předpokládá, že poškozují reprodukční schopnost nebo plod v těle matky (toxické pro reprodukci kategorie 1B), čímž se </w:t>
      </w:r>
      <w:proofErr w:type="spellStart"/>
      <w:r w:rsidRPr="00D676BA">
        <w:t>thiakloprid</w:t>
      </w:r>
      <w:proofErr w:type="spellEnd"/>
      <w:r w:rsidRPr="00D676BA">
        <w:t xml:space="preserve"> stává látkou, na niž se vztahují kritéria pro vyloučení podle čl. 4 odst. 1 nařízení (ES) č. 1107/2009; </w:t>
      </w:r>
    </w:p>
    <w:p w:rsidR="00B5402D" w:rsidRPr="00D676BA" w:rsidRDefault="00B5402D">
      <w:pPr>
        <w:pStyle w:val="NormalHanging12a"/>
      </w:pPr>
      <w:r w:rsidRPr="00D676BA">
        <w:t>D.</w:t>
      </w:r>
      <w:r w:rsidRPr="00D676BA">
        <w:tab/>
        <w:t>vzhledem k tomu, že úřad EFSA rovněž dospěl k závěru, že nelze dokončit posouzení rizik pro včely a necílové suchozemské rostliny;</w:t>
      </w:r>
    </w:p>
    <w:p w:rsidR="00B5402D" w:rsidRPr="00D676BA" w:rsidRDefault="00B5402D">
      <w:pPr>
        <w:pStyle w:val="NormalHanging12a"/>
      </w:pPr>
      <w:r w:rsidRPr="00D676BA">
        <w:t>E.</w:t>
      </w:r>
      <w:r w:rsidRPr="00D676BA">
        <w:tab/>
        <w:t xml:space="preserve">vzhledem k tomu, že </w:t>
      </w:r>
      <w:proofErr w:type="spellStart"/>
      <w:r w:rsidRPr="00D676BA">
        <w:t>thiakloprid</w:t>
      </w:r>
      <w:proofErr w:type="spellEnd"/>
      <w:r w:rsidRPr="00D676BA">
        <w:t xml:space="preserve"> je v souladu s nařízením (ES) č. 1272/2008 rovněž klasifikován jako látka, u níž existuje podezření, že způsobuje rakovinu (karcinogenní kategorie 2) a jako látka vysoce toxická pro vodní organismy (akutně toxická pro vodní prostředí kategorie 1) a vysoce toxická pro vodní organismy, s dlouhodobými účinky (chronicky toxická pro vodní prostředí kategorie 1);</w:t>
      </w:r>
    </w:p>
    <w:p w:rsidR="00B5402D" w:rsidRPr="00D676BA" w:rsidRDefault="00B5402D">
      <w:pPr>
        <w:pStyle w:val="NormalHanging12a"/>
      </w:pPr>
      <w:r w:rsidRPr="00D676BA">
        <w:t>F.</w:t>
      </w:r>
      <w:r w:rsidRPr="00D676BA">
        <w:tab/>
        <w:t>vzhledem k tomu, že Stálý výbor pro rostliny, zvířata, potraviny a krmiva (PAFF) nevydal k návrhu nařízení Rady stanovisko; vzhledem k tomu, že na zasedání výboru PAFF konaném ve dnech 18.–19. září 2023 „osm členských států návrh nařízení nepodpořilo. Šest z nich uvedlo především obavy ohledně zachování CXL a přípustných odchylek pro dovoz pro neschválenou látku, která splňuje jedno z kritérií pro vyloučení podle nařízení (ES) č. 1107/2009 (toxická pro reprodukci). Nadto měl jeden členský stát, který návrh nařízení nepodpořil, obavy, že úřad EFSA uvedl překročení akutní referenční dávky u některých přípravků za určitých nestandardních okolností, a jiný členský stát zmínil diskriminaci zemědělců v EU, kteří již přípravky na ochranu rostlin obsahující tuto účinnou látku nesmějí používat, zatímco zemědělci v třetích zemích tak stále činit mohou, což vede k nekalé hospodářské soutěži“</w:t>
      </w:r>
      <w:r w:rsidRPr="00D676BA">
        <w:rPr>
          <w:rStyle w:val="FootnoteReference"/>
        </w:rPr>
        <w:footnoteReference w:id="11"/>
      </w:r>
      <w:r w:rsidRPr="00D676BA">
        <w:t>;</w:t>
      </w:r>
    </w:p>
    <w:p w:rsidR="00B5402D" w:rsidRPr="00D676BA" w:rsidRDefault="00B5402D">
      <w:pPr>
        <w:pStyle w:val="NormalHanging12a"/>
      </w:pPr>
      <w:r w:rsidRPr="00D676BA">
        <w:t>G.</w:t>
      </w:r>
      <w:r w:rsidRPr="00D676BA">
        <w:tab/>
        <w:t>vzhledem k tomu, že Německo požádalo, aby bylo do souhrnné zprávy ze zasedání výboru PAFF konaného ve dnech 18.–19. září 2023 zařazeno toto prohlášení: „</w:t>
      </w:r>
      <w:proofErr w:type="spellStart"/>
      <w:r w:rsidRPr="00D676BA">
        <w:t>Thiakloprid</w:t>
      </w:r>
      <w:proofErr w:type="spellEnd"/>
      <w:r w:rsidRPr="00D676BA">
        <w:t xml:space="preserve"> je účinnou látkou, která splňuje kritéria pro vyloučení podle nařízení (ES) č. 1107/2009. Během postupu opětovného schvalování účinné látky bylo zjištěno, že splňuje kritéria pro vyloučení, jelikož se jedná o látku, jež je klasifikována jako toxická pro reprodukci kategorie 1B. Proto nebyla tato účinná látka znovu schválena. Německo obecně nepodporuje stanovování [maximálních limitů reziduí] pro účinné látky, které nejsou v EU schváleny z důvodu obav z ohrožení zdraví. Rozhodující je zde skutečnost, že kritéria pro vyloučení byla stanovena v rámci postupu (opětovného) schvalování účinné látky podle nařízení (ES) č. 1107/2009“</w:t>
      </w:r>
      <w:r w:rsidRPr="00D676BA">
        <w:rPr>
          <w:rStyle w:val="FootnoteReference"/>
        </w:rPr>
        <w:footnoteReference w:id="12"/>
      </w:r>
      <w:r w:rsidRPr="00D676BA">
        <w:t>;</w:t>
      </w:r>
    </w:p>
    <w:p w:rsidR="00B5402D" w:rsidRPr="00D676BA" w:rsidRDefault="00B5402D">
      <w:pPr>
        <w:pStyle w:val="NormalHanging12a"/>
      </w:pPr>
      <w:r w:rsidRPr="00D676BA">
        <w:t>H.</w:t>
      </w:r>
      <w:r w:rsidRPr="00D676BA">
        <w:tab/>
        <w:t xml:space="preserve">vzhledem k tomu, že je tudíž vhodné zrušit stávající maximální limity reziduí stanovené pro </w:t>
      </w:r>
      <w:proofErr w:type="spellStart"/>
      <w:r w:rsidRPr="00D676BA">
        <w:t>thiakloprid</w:t>
      </w:r>
      <w:proofErr w:type="spellEnd"/>
      <w:r w:rsidRPr="00D676BA">
        <w:t xml:space="preserve"> v příloze II nařízení (ES) č. 396/2005 v souladu s článkem 17 uvedeného nařízení ve spojení s čl. 14 odst. 1 písm. a) uvedeného nařízení;</w:t>
      </w:r>
    </w:p>
    <w:p w:rsidR="00B5402D" w:rsidRPr="00D676BA" w:rsidRDefault="00B5402D">
      <w:pPr>
        <w:pStyle w:val="NormalHanging12a"/>
      </w:pPr>
      <w:r w:rsidRPr="00D676BA">
        <w:t>I.</w:t>
      </w:r>
      <w:r w:rsidRPr="00D676BA">
        <w:tab/>
        <w:t xml:space="preserve">vzhledem k tomu, že v návrhu nařízení Rady však Komise na základě odůvodněného stanoviska úřadu EFSA navrhuje zachovat maximální limity reziduí pro </w:t>
      </w:r>
      <w:proofErr w:type="spellStart"/>
      <w:r w:rsidRPr="00D676BA">
        <w:t>thiakloprid</w:t>
      </w:r>
      <w:proofErr w:type="spellEnd"/>
      <w:r w:rsidRPr="00D676BA">
        <w:t xml:space="preserve"> nad </w:t>
      </w:r>
      <w:r w:rsidRPr="00D676BA">
        <w:lastRenderedPageBreak/>
        <w:t>mezí stanovitelnosti pro více než 30 produktů pro účely dovozu</w:t>
      </w:r>
      <w:r w:rsidRPr="00D676BA">
        <w:rPr>
          <w:rStyle w:val="FootnoteReference"/>
        </w:rPr>
        <w:footnoteReference w:id="13"/>
      </w:r>
      <w:r w:rsidRPr="00D676BA">
        <w:t>;</w:t>
      </w:r>
    </w:p>
    <w:p w:rsidR="00B5402D" w:rsidRPr="00D676BA" w:rsidRDefault="00B5402D">
      <w:pPr>
        <w:pStyle w:val="NormalHanging12a"/>
      </w:pPr>
      <w:r w:rsidRPr="00D676BA">
        <w:t>J.</w:t>
      </w:r>
      <w:r w:rsidRPr="00D676BA">
        <w:tab/>
        <w:t xml:space="preserve">vzhledem k tomu, že použití, pro něž se maximální limity reziduí nad mezí stanovitelnosti považují za bezpečné, zahrnují použití </w:t>
      </w:r>
      <w:proofErr w:type="spellStart"/>
      <w:r w:rsidRPr="00D676BA">
        <w:t>thiaklopridu</w:t>
      </w:r>
      <w:proofErr w:type="spellEnd"/>
      <w:r w:rsidRPr="00D676BA">
        <w:t xml:space="preserve"> k ošetření papájí, čaje, ořechů ze stromů, kdoulí, mišpulí, </w:t>
      </w:r>
      <w:proofErr w:type="spellStart"/>
      <w:r w:rsidRPr="00D676BA">
        <w:t>lokvátů</w:t>
      </w:r>
      <w:proofErr w:type="spellEnd"/>
      <w:r w:rsidRPr="00D676BA">
        <w:t xml:space="preserve"> / japonských mišpulí, meruněk, třešní (sladkých), švestek, jahod, ostružin, ostružin ostružiníku ježiníku, jiných malých plodů a bobulí, kiwi, brambor, rajčat, lilků/baklažánů, melounů, vodních melounů, rýže, pšenice, zvířat (prasat, skotu, ovcí, koní, drůbeže a jiných hospodářských zvířat), produktů z tkání (svaloviny, jater, ledvin a jedlých drobů), mléka a vajec, malin, salátových okurek, cuket, semen řepky olejky, hořčičných semen a bavlníkových semen; vzhledem k tomu, že maximální limity reziduí navrhované pro tato použití se pohybují od dvojnásobku meze stanovitelnosti až po tisícinásobek meze stanovitelnosti (pro použití k ošetření čaje);</w:t>
      </w:r>
    </w:p>
    <w:p w:rsidR="00B5402D" w:rsidRPr="00D676BA" w:rsidRDefault="00B5402D">
      <w:pPr>
        <w:pStyle w:val="NormalHanging12a"/>
      </w:pPr>
      <w:r w:rsidRPr="00D676BA">
        <w:t>K.</w:t>
      </w:r>
      <w:r w:rsidRPr="00D676BA">
        <w:tab/>
        <w:t xml:space="preserve">vzhledem k tomu, že oproti tomu byla žádost o přípustné odchylky pro dovoz zamítnuta pouze pro dvě použití (k ošetření broskví a zeleninové papriky), neboť nelze vyloučit překročení akutní referenční dávky, a Komise proto navrhla snížit maximální limity reziduí pro </w:t>
      </w:r>
      <w:proofErr w:type="spellStart"/>
      <w:r w:rsidRPr="00D676BA">
        <w:t>thiakloprid</w:t>
      </w:r>
      <w:proofErr w:type="spellEnd"/>
      <w:r w:rsidRPr="00D676BA">
        <w:t xml:space="preserve"> na mez stanovitelnosti pouze pro tato použití; </w:t>
      </w:r>
    </w:p>
    <w:p w:rsidR="00B5402D" w:rsidRPr="00D676BA" w:rsidRDefault="00B5402D">
      <w:pPr>
        <w:pStyle w:val="NormalHanging12a"/>
      </w:pPr>
      <w:r w:rsidRPr="00D676BA">
        <w:t>L.</w:t>
      </w:r>
      <w:r w:rsidRPr="00D676BA">
        <w:tab/>
        <w:t xml:space="preserve">vzhledem k tomu, že 5. bod odůvodnění nařízení (ES) č. 396/2005 stanoví, že přítomnost reziduí by neměla dosahovat úrovně představující nepřijatelné riziko pro člověka a případně pro zvířata; </w:t>
      </w:r>
    </w:p>
    <w:p w:rsidR="00B5402D" w:rsidRPr="00D676BA" w:rsidRDefault="00B5402D">
      <w:pPr>
        <w:pStyle w:val="NormalHanging12a"/>
      </w:pPr>
      <w:r w:rsidRPr="00D676BA">
        <w:t>M.</w:t>
      </w:r>
      <w:r w:rsidRPr="00D676BA">
        <w:tab/>
        <w:t>vzhledem k tomu, že čl. 4 odst. 2 písm. a) nařízení (ES) č. 1107/2009 stanoví, že rezidua přípravků na ochranu rostlin nesmí mít škodlivý účinek na lidské zdraví, včetně zdraví zranitelných skupin, nebo na zdraví zvířat, s přihlédnutím ke známým kumulativním a synergickým účinkům; vzhledem k tomu, že bod 3.6.4 přílohy II uvedeného nařízení stanoví, že účinná látka, která je v souladu s nařízením (ES) č. 1272/2008 klasifikována jako toxická pro reprodukci kategorie 1A nebo 1B, se neschválí, pokud „rezidua dotyčné účinné látky […] v potravinách a krmivech překročí standardní hodnotu stanovenou v souladu s čl. 18 odst. 1 písm. b) nařízení (ES) č. 396/2005“; vzhledem k tomu, že čl. 18 odst. 1 písm. b) nařízení (ES) č. 396/2005 stanoví standardní hodnotu 0,01 mg/kg;</w:t>
      </w:r>
    </w:p>
    <w:p w:rsidR="00B5402D" w:rsidRPr="00D676BA" w:rsidRDefault="00B5402D" w:rsidP="00031754">
      <w:pPr>
        <w:pStyle w:val="NormalHanging12a"/>
      </w:pPr>
      <w:r w:rsidRPr="00D676BA">
        <w:t>N.</w:t>
      </w:r>
      <w:r w:rsidRPr="00D676BA">
        <w:tab/>
        <w:t xml:space="preserve">vzhledem k tomu, že čl. 3 odst. 2 písm. g) nařízení (ES) č. 396/2005 stanoví, že přípustnou odchylkou pro dovoz se rozumí maximální limity reziduí stanovené pro dovezené produkty, pokud „použití účinné látky v přípravku na ochranu rostlin není na daném produktu ve Společenství povoleno z důvodů jiných, než jsou důvody veřejného zdraví pro konkrétní produkt nebo konkrétní použití“; vzhledem k tomu, že </w:t>
      </w:r>
      <w:proofErr w:type="spellStart"/>
      <w:r w:rsidRPr="00D676BA">
        <w:t>thiakloprid</w:t>
      </w:r>
      <w:proofErr w:type="spellEnd"/>
      <w:r w:rsidRPr="00D676BA">
        <w:t xml:space="preserve"> tato kritéria nesplňuje, neboť je zakázán ze zdravotních důvodů, jelikož je klasifikován jako toxický pro reprodukci kategorie 1B;</w:t>
      </w:r>
    </w:p>
    <w:p w:rsidR="00B5402D" w:rsidRPr="00D676BA" w:rsidRDefault="00B5402D" w:rsidP="00031754">
      <w:pPr>
        <w:pStyle w:val="NormalHanging12a"/>
      </w:pPr>
      <w:r w:rsidRPr="00D676BA">
        <w:t>O.</w:t>
      </w:r>
      <w:r w:rsidRPr="00D676BA">
        <w:tab/>
        <w:t>vzhledem k tomu, že čl. 5 odst. 1 nařízení (ES) č. 178/2002 stanoví, že potravinové právo má sledovat jeden nebo více obecných cílů vysoké úrovně ochrany lidského života a zdraví a ochrany zájmů spotřebitelů, včetně poctivého jednání v obchodu s potravinami, a popřípadě zohledňovat ochranu zdraví a dobré životní podmínky zvířat, zdraví rostlin a ochranu životního prostředí;</w:t>
      </w:r>
    </w:p>
    <w:p w:rsidR="00B5402D" w:rsidRPr="00D676BA" w:rsidRDefault="00B5402D" w:rsidP="00031754">
      <w:pPr>
        <w:pStyle w:val="NormalHanging12a"/>
      </w:pPr>
      <w:r w:rsidRPr="00D676BA">
        <w:t>P.</w:t>
      </w:r>
      <w:r w:rsidRPr="00D676BA">
        <w:tab/>
        <w:t xml:space="preserve">vzhledem k tomu, že současná krize opylovačů je jednou z hlavních hrozeb pro </w:t>
      </w:r>
      <w:r w:rsidRPr="00D676BA">
        <w:lastRenderedPageBreak/>
        <w:t>biologickou rozmanitost a potravinové zabezpečení na celosvětové i místní úrovni; vzhledem k tomu, že tato krize může zhoršit problém skrytého hladu, narušuje odolnost ekosystémů a může destabilizovat ekosystémy, které tvoří systém podpory našeho života</w:t>
      </w:r>
      <w:r w:rsidRPr="00D676BA">
        <w:rPr>
          <w:rStyle w:val="FootnoteReference"/>
        </w:rPr>
        <w:footnoteReference w:id="14"/>
      </w:r>
      <w:r w:rsidRPr="00D676BA">
        <w:t>;</w:t>
      </w:r>
    </w:p>
    <w:p w:rsidR="00B5402D" w:rsidRPr="00D676BA" w:rsidRDefault="00B5402D" w:rsidP="00031754">
      <w:pPr>
        <w:pStyle w:val="NormalHanging12a"/>
      </w:pPr>
      <w:r w:rsidRPr="00D676BA">
        <w:t>Q.</w:t>
      </w:r>
      <w:r w:rsidRPr="00D676BA">
        <w:tab/>
        <w:t>vzhledem k tomu, že Komise ve svém sdělení ze dne 20. května 2020 nazvaném „Strategie „od zemědělce ke spotřebiteli“ pro spravedlivé, zdravé a ekologické potravinové systémy“</w:t>
      </w:r>
      <w:r w:rsidRPr="00D676BA">
        <w:rPr>
          <w:rStyle w:val="FootnoteReference"/>
        </w:rPr>
        <w:footnoteReference w:id="15"/>
      </w:r>
      <w:r w:rsidRPr="00D676BA">
        <w:t xml:space="preserve"> oznámila, že „EU bude podporovat globální transformaci směrem k udržitelným zemědělsko-potravinářským systémům v souladu s cíli této strategie a cíli udržitelného rozvoje“ a že „EU může sehrát zásadní úlohu tím, že v této strategii vymezí celosvětové standardy“; vzhledem k tomu, že Komise ve strategii výslovně uvedla, že „udržitelnější potravinový systém EU vyžaduje i udržitelnější postupy našich obchodních partnerů; s cílem podpořit postupný přechod k používání bezpečnějších přípravků na ochranu rostlin zváží EU v souladu s pravidly WTO a na základě posouzení rizik přezkum přípustných odchylek pro dovoz látek, které splňují kritéria pro vyloučení a představují vysokou míru rizika pro lidské zdraví“;</w:t>
      </w:r>
    </w:p>
    <w:p w:rsidR="00B5402D" w:rsidRPr="00D676BA" w:rsidRDefault="00B5402D" w:rsidP="00031754">
      <w:pPr>
        <w:pStyle w:val="NormalHanging12a"/>
      </w:pPr>
      <w:r w:rsidRPr="00D676BA">
        <w:t>R.</w:t>
      </w:r>
      <w:r w:rsidRPr="00D676BA">
        <w:tab/>
        <w:t>vzhledem k tomu, že v roce 2022 Komise snížila</w:t>
      </w:r>
      <w:r w:rsidRPr="00D676BA">
        <w:rPr>
          <w:rStyle w:val="FootnoteReference"/>
        </w:rPr>
        <w:footnoteReference w:id="16"/>
      </w:r>
      <w:r w:rsidRPr="00D676BA">
        <w:t xml:space="preserve"> maximální limity reziduí pro dva </w:t>
      </w:r>
      <w:proofErr w:type="spellStart"/>
      <w:r w:rsidRPr="00D676BA">
        <w:t>neonikotinoidy</w:t>
      </w:r>
      <w:proofErr w:type="spellEnd"/>
      <w:r w:rsidRPr="00D676BA">
        <w:t xml:space="preserve">, které představují vysoké riziko pro opylovače, na nejnižší úroveň měřitelnou prostřednictvím nejnovějších technologií a že dovážené produkty již nemohou rezidua </w:t>
      </w:r>
      <w:proofErr w:type="spellStart"/>
      <w:r w:rsidRPr="00D676BA">
        <w:t>klothianidinu</w:t>
      </w:r>
      <w:proofErr w:type="spellEnd"/>
      <w:r w:rsidRPr="00D676BA">
        <w:t xml:space="preserve"> a </w:t>
      </w:r>
      <w:proofErr w:type="spellStart"/>
      <w:r w:rsidRPr="00D676BA">
        <w:t>thiamethoxamu</w:t>
      </w:r>
      <w:proofErr w:type="spellEnd"/>
      <w:r w:rsidRPr="00D676BA">
        <w:t xml:space="preserve"> obsahovat; </w:t>
      </w:r>
    </w:p>
    <w:p w:rsidR="00B5402D" w:rsidRPr="00D676BA" w:rsidRDefault="00B5402D" w:rsidP="00031754">
      <w:pPr>
        <w:pStyle w:val="NormalHanging12a"/>
      </w:pPr>
      <w:r w:rsidRPr="00D676BA">
        <w:t>S.</w:t>
      </w:r>
      <w:r w:rsidRPr="00D676BA">
        <w:tab/>
        <w:t xml:space="preserve">vzhledem k tomu, že Komise uvedla, že „s ohledem na všechny faktory významné pro posuzovanou záležitost v souladu s čl. 14 odst. 2 ve spojení s článkem 11 Smlouvy o fungování Evropské unie, v němž je stanoveno, že „požadavky na ochranu životního prostředí musí být zahrnuty do vymezení a provádění politik a činností Unie, zejména s ohledem na podporu udržitelného rozvoje“, by proto všechny stávající maximální limity reziduí pro </w:t>
      </w:r>
      <w:proofErr w:type="spellStart"/>
      <w:r w:rsidRPr="00D676BA">
        <w:t>klothianidin</w:t>
      </w:r>
      <w:proofErr w:type="spellEnd"/>
      <w:r w:rsidRPr="00D676BA">
        <w:t xml:space="preserve"> a/nebo </w:t>
      </w:r>
      <w:proofErr w:type="spellStart"/>
      <w:r w:rsidRPr="00D676BA">
        <w:t>thiamethoxam</w:t>
      </w:r>
      <w:proofErr w:type="spellEnd"/>
      <w:r w:rsidRPr="00D676BA">
        <w:t xml:space="preserve"> stanovené nařízením (ES) č. 396/2005 měly být sníženy na mez stanovitelnosti“</w:t>
      </w:r>
      <w:r w:rsidRPr="00D676BA">
        <w:rPr>
          <w:rStyle w:val="FootnoteReference"/>
        </w:rPr>
        <w:footnoteReference w:id="17"/>
      </w:r>
      <w:r w:rsidRPr="00D676BA">
        <w:t>;</w:t>
      </w:r>
    </w:p>
    <w:p w:rsidR="00B5402D" w:rsidRPr="00D676BA" w:rsidRDefault="00B5402D" w:rsidP="00031754">
      <w:pPr>
        <w:pStyle w:val="NormalHanging12a"/>
      </w:pPr>
      <w:r w:rsidRPr="00D676BA">
        <w:t>T.</w:t>
      </w:r>
      <w:r w:rsidRPr="00D676BA">
        <w:tab/>
        <w:t xml:space="preserve">vzhledem k tomu, že na zasedání výboru PAFF konaném ve dnech 10.–11. května 2023 „Komise připomněla, že </w:t>
      </w:r>
      <w:proofErr w:type="spellStart"/>
      <w:r w:rsidRPr="00D676BA">
        <w:t>thiakloprid</w:t>
      </w:r>
      <w:proofErr w:type="spellEnd"/>
      <w:r w:rsidRPr="00D676BA">
        <w:t xml:space="preserve"> patří do skupiny účinných látek </w:t>
      </w:r>
      <w:proofErr w:type="spellStart"/>
      <w:r w:rsidRPr="00D676BA">
        <w:t>neonikotinoidů</w:t>
      </w:r>
      <w:proofErr w:type="spellEnd"/>
      <w:r w:rsidRPr="00D676BA">
        <w:t xml:space="preserve">, [avšak] vzhledem k tomu, že má jiné vlastnosti než </w:t>
      </w:r>
      <w:proofErr w:type="spellStart"/>
      <w:r w:rsidRPr="00D676BA">
        <w:t>klothianidin</w:t>
      </w:r>
      <w:proofErr w:type="spellEnd"/>
      <w:r w:rsidRPr="00D676BA">
        <w:t xml:space="preserve"> a </w:t>
      </w:r>
      <w:proofErr w:type="spellStart"/>
      <w:r w:rsidRPr="00D676BA">
        <w:t>thiamethoxam</w:t>
      </w:r>
      <w:proofErr w:type="spellEnd"/>
      <w:r w:rsidRPr="00D676BA">
        <w:t xml:space="preserve">, se v současné době nepředpokládá, že by se uplatnil tentýž postup jako v případě </w:t>
      </w:r>
      <w:proofErr w:type="spellStart"/>
      <w:r w:rsidRPr="00D676BA">
        <w:t>klothianidinu</w:t>
      </w:r>
      <w:proofErr w:type="spellEnd"/>
      <w:r w:rsidRPr="00D676BA">
        <w:t xml:space="preserve"> a </w:t>
      </w:r>
      <w:proofErr w:type="spellStart"/>
      <w:r w:rsidRPr="00D676BA">
        <w:t>thiamthoxamu</w:t>
      </w:r>
      <w:proofErr w:type="spellEnd"/>
      <w:r w:rsidRPr="00D676BA">
        <w:t xml:space="preserve"> při provádění strategie „od zemědělce ke spotřebiteli“, kdy došlo ke snížení všech maximálních hodnot reziduí na mez stanovitelnosti“</w:t>
      </w:r>
      <w:r w:rsidRPr="00D676BA">
        <w:rPr>
          <w:rStyle w:val="FootnoteReference"/>
        </w:rPr>
        <w:footnoteReference w:id="18"/>
      </w:r>
      <w:r w:rsidRPr="00D676BA">
        <w:t>;</w:t>
      </w:r>
    </w:p>
    <w:p w:rsidR="00B5402D" w:rsidRPr="00D676BA" w:rsidRDefault="00B5402D" w:rsidP="00031754">
      <w:pPr>
        <w:pStyle w:val="NormalHanging12a"/>
      </w:pPr>
      <w:r w:rsidRPr="00D676BA">
        <w:t>U.</w:t>
      </w:r>
      <w:r w:rsidRPr="00D676BA">
        <w:tab/>
        <w:t xml:space="preserve">vzhledem k tomu, že o tom, zda má </w:t>
      </w:r>
      <w:proofErr w:type="spellStart"/>
      <w:r w:rsidRPr="00D676BA">
        <w:t>thiakloprid</w:t>
      </w:r>
      <w:proofErr w:type="spellEnd"/>
      <w:r w:rsidRPr="00D676BA">
        <w:t xml:space="preserve"> jiné vlastnosti než ostatní </w:t>
      </w:r>
      <w:proofErr w:type="spellStart"/>
      <w:r w:rsidRPr="00D676BA">
        <w:t>neonikotinoidy</w:t>
      </w:r>
      <w:proofErr w:type="spellEnd"/>
      <w:r w:rsidRPr="00D676BA">
        <w:t xml:space="preserve">, se ve vědecké literatuře vedou spory, přičemž výsledky ukazují, že </w:t>
      </w:r>
      <w:r w:rsidRPr="00D676BA">
        <w:lastRenderedPageBreak/>
        <w:t xml:space="preserve">„obraz </w:t>
      </w:r>
      <w:proofErr w:type="spellStart"/>
      <w:r w:rsidRPr="00D676BA">
        <w:t>thiaklopridu</w:t>
      </w:r>
      <w:proofErr w:type="spellEnd"/>
      <w:r w:rsidRPr="00D676BA">
        <w:t xml:space="preserve"> jako relativně benigního </w:t>
      </w:r>
      <w:proofErr w:type="spellStart"/>
      <w:r w:rsidRPr="00D676BA">
        <w:t>neonikotinoidu</w:t>
      </w:r>
      <w:proofErr w:type="spellEnd"/>
      <w:r w:rsidRPr="00D676BA">
        <w:t xml:space="preserve"> je třeba zpochybnit“</w:t>
      </w:r>
      <w:r w:rsidRPr="00D676BA">
        <w:rPr>
          <w:rStyle w:val="FootnoteReference"/>
        </w:rPr>
        <w:footnoteReference w:id="19"/>
      </w:r>
      <w:r w:rsidRPr="00D676BA">
        <w:t>;</w:t>
      </w:r>
    </w:p>
    <w:p w:rsidR="00B5402D" w:rsidRPr="00D676BA" w:rsidRDefault="00B5402D" w:rsidP="00031754">
      <w:pPr>
        <w:pStyle w:val="NormalHanging12a"/>
      </w:pPr>
      <w:r w:rsidRPr="00D676BA">
        <w:t>V.</w:t>
      </w:r>
      <w:r w:rsidRPr="00D676BA">
        <w:tab/>
        <w:t xml:space="preserve">vzhledem k tomu, že bylo zjištěno, že zejména kolonie čmeláků vystavené </w:t>
      </w:r>
      <w:proofErr w:type="spellStart"/>
      <w:r w:rsidRPr="00D676BA">
        <w:t>thiaklopridu</w:t>
      </w:r>
      <w:proofErr w:type="spellEnd"/>
      <w:r w:rsidRPr="00D676BA">
        <w:t xml:space="preserve"> vykazují větší pravděpodobnost předčasného úmrtí a ty, které přežijí, trpí subletálními účinky</w:t>
      </w:r>
      <w:r w:rsidRPr="00D676BA">
        <w:rPr>
          <w:rStyle w:val="FootnoteReference"/>
        </w:rPr>
        <w:footnoteReference w:id="20"/>
      </w:r>
      <w:r w:rsidRPr="00D676BA">
        <w:t xml:space="preserve">; vzhledem k tomu, že bylo rovněž zjištěno, že </w:t>
      </w:r>
      <w:proofErr w:type="spellStart"/>
      <w:r w:rsidRPr="00D676BA">
        <w:t>thiakloprid</w:t>
      </w:r>
      <w:proofErr w:type="spellEnd"/>
      <w:r w:rsidRPr="00D676BA">
        <w:t xml:space="preserve"> ovlivňuje chování a imunitní systém včel medonosných podobně jako </w:t>
      </w:r>
      <w:proofErr w:type="spellStart"/>
      <w:r w:rsidRPr="00D676BA">
        <w:t>imidakloprid</w:t>
      </w:r>
      <w:proofErr w:type="spellEnd"/>
      <w:r w:rsidRPr="00D676BA">
        <w:t xml:space="preserve">, </w:t>
      </w:r>
      <w:proofErr w:type="spellStart"/>
      <w:r w:rsidRPr="00D676BA">
        <w:t>klothianidin</w:t>
      </w:r>
      <w:proofErr w:type="spellEnd"/>
      <w:r w:rsidRPr="00D676BA">
        <w:t xml:space="preserve"> a </w:t>
      </w:r>
      <w:proofErr w:type="spellStart"/>
      <w:r w:rsidRPr="00D676BA">
        <w:t>thiamethoxam</w:t>
      </w:r>
      <w:proofErr w:type="spellEnd"/>
      <w:r w:rsidRPr="00D676BA">
        <w:rPr>
          <w:rStyle w:val="FootnoteReference"/>
        </w:rPr>
        <w:footnoteReference w:id="21"/>
      </w:r>
      <w:r w:rsidRPr="00D676BA">
        <w:rPr>
          <w:vertAlign w:val="superscript"/>
        </w:rPr>
        <w:t>,</w:t>
      </w:r>
      <w:r w:rsidRPr="00D676BA">
        <w:rPr>
          <w:rStyle w:val="FootnoteReference"/>
        </w:rPr>
        <w:footnoteReference w:id="22"/>
      </w:r>
      <w:r w:rsidRPr="00D676BA">
        <w:t>;</w:t>
      </w:r>
    </w:p>
    <w:p w:rsidR="00B5402D" w:rsidRPr="00D676BA" w:rsidRDefault="00B5402D" w:rsidP="00031754">
      <w:pPr>
        <w:pStyle w:val="NormalHanging12a"/>
      </w:pPr>
      <w:r w:rsidRPr="00D676BA">
        <w:t>W.</w:t>
      </w:r>
      <w:r w:rsidRPr="00D676BA">
        <w:tab/>
        <w:t xml:space="preserve">vzhledem k tomu, že přibývá důkazů o tom, že používání </w:t>
      </w:r>
      <w:proofErr w:type="spellStart"/>
      <w:r w:rsidRPr="00D676BA">
        <w:t>thiaklopridu</w:t>
      </w:r>
      <w:proofErr w:type="spellEnd"/>
      <w:r w:rsidRPr="00D676BA">
        <w:t xml:space="preserve"> má ničivý dopad na biologickou rozmanitost, a zejména na včely a další opylovače</w:t>
      </w:r>
      <w:r w:rsidRPr="00D676BA">
        <w:rPr>
          <w:rStyle w:val="FootnoteReference"/>
          <w:szCs w:val="24"/>
        </w:rPr>
        <w:footnoteReference w:id="23"/>
      </w:r>
      <w:r w:rsidRPr="00D676BA">
        <w:t>;</w:t>
      </w:r>
    </w:p>
    <w:p w:rsidR="00B5402D" w:rsidRPr="00D676BA" w:rsidRDefault="00B5402D" w:rsidP="00031754">
      <w:pPr>
        <w:pStyle w:val="NormalHanging12a"/>
      </w:pPr>
      <w:r w:rsidRPr="00D676BA">
        <w:t>X.</w:t>
      </w:r>
      <w:r w:rsidRPr="00D676BA">
        <w:tab/>
        <w:t>vzhledem k tomu, že úřad EFSA dospěl ve své zprávě o neobnovení ze dne 22. října 2019</w:t>
      </w:r>
      <w:r w:rsidRPr="00D676BA">
        <w:rPr>
          <w:rStyle w:val="FootnoteReference"/>
        </w:rPr>
        <w:footnoteReference w:id="24"/>
      </w:r>
      <w:r w:rsidRPr="00D676BA">
        <w:t xml:space="preserve"> k závěru, že „dostupné informace nepostačují ke splnění požadavků stanovených v čl. 4 odst. 1 až 3 nařízení (ES) č. 1107/2009“, a zejména že „posouzení rizik pro včely nemohlo být dokončeno“;</w:t>
      </w:r>
    </w:p>
    <w:p w:rsidR="00B5402D" w:rsidRPr="00D676BA" w:rsidRDefault="00B5402D" w:rsidP="00031754">
      <w:pPr>
        <w:pStyle w:val="NormalHanging12a"/>
      </w:pPr>
      <w:r w:rsidRPr="00D676BA">
        <w:t>Y.</w:t>
      </w:r>
      <w:r w:rsidRPr="00D676BA">
        <w:tab/>
        <w:t xml:space="preserve">vzhledem k tomu, že by se na </w:t>
      </w:r>
      <w:proofErr w:type="spellStart"/>
      <w:r w:rsidRPr="00D676BA">
        <w:t>thiakloprid</w:t>
      </w:r>
      <w:proofErr w:type="spellEnd"/>
      <w:r w:rsidRPr="00D676BA">
        <w:t xml:space="preserve"> proto měly vztahovat tytéž argumenty a pravidla, které se uplatnily na </w:t>
      </w:r>
      <w:proofErr w:type="spellStart"/>
      <w:r w:rsidRPr="00D676BA">
        <w:t>thiamethoxam</w:t>
      </w:r>
      <w:proofErr w:type="spellEnd"/>
      <w:r w:rsidRPr="00D676BA">
        <w:t>;</w:t>
      </w:r>
    </w:p>
    <w:p w:rsidR="00B5402D" w:rsidRPr="00D676BA" w:rsidRDefault="00B5402D" w:rsidP="00031754">
      <w:pPr>
        <w:pStyle w:val="NormalHanging12a"/>
      </w:pPr>
      <w:r w:rsidRPr="00D676BA">
        <w:t>Z.</w:t>
      </w:r>
      <w:r w:rsidRPr="00D676BA">
        <w:tab/>
        <w:t>vzhledem k tomu, že Komise musí chránit životní prostředí a občany Unie na základě dostupných vědeckých informací a že má k zajištění vysoké úrovně ochrany zdraví lidí a zvířat a životního prostředí uplatňovat povinnosti a právní možnosti, které stanoví nařízení (ES) č. 396/2005 a nařízení (ES) č. 178/2002;</w:t>
      </w:r>
    </w:p>
    <w:p w:rsidR="00B5402D" w:rsidRPr="00D676BA" w:rsidRDefault="00B5402D" w:rsidP="00031754">
      <w:pPr>
        <w:pStyle w:val="NormalHanging12a"/>
      </w:pPr>
      <w:r w:rsidRPr="00D676BA">
        <w:t>AA.</w:t>
      </w:r>
      <w:r w:rsidRPr="00D676BA">
        <w:tab/>
        <w:t>vzhledem k tomu, že navrhované maximální limity reziduí nechrání zdraví občanů v Unii a nezajišťují vysokou úroveň ochrany včel a jiných opylovačů, a jsou tudíž v rozporu s nařízeními (ES) č. 396/2005 a (ES) č. 178/2002;</w:t>
      </w:r>
    </w:p>
    <w:p w:rsidR="00B5402D" w:rsidRPr="00D676BA" w:rsidRDefault="00B5402D" w:rsidP="00031754">
      <w:pPr>
        <w:pStyle w:val="NormalHanging12a"/>
      </w:pPr>
      <w:r w:rsidRPr="00D676BA">
        <w:t>AB.</w:t>
      </w:r>
      <w:r w:rsidRPr="00D676BA">
        <w:tab/>
        <w:t xml:space="preserve">vzhledem k tomu, že pro účinné látky, které nejsou v Unii schváleny z důvodu obav o ohrožení zdraví, by neměly být stanovovány maximální limity reziduí; vzhledem k tomu, že by proto v případě </w:t>
      </w:r>
      <w:proofErr w:type="spellStart"/>
      <w:r w:rsidRPr="00D676BA">
        <w:t>thiaklopridu</w:t>
      </w:r>
      <w:proofErr w:type="spellEnd"/>
      <w:r w:rsidRPr="00D676BA">
        <w:t xml:space="preserve"> neměly být stanoveny žádné přípustné odchylky pro dovoz, jelikož je klasifikován jako toxický pro reprodukci kategorie 1B; </w:t>
      </w:r>
      <w:r w:rsidRPr="00D676BA">
        <w:lastRenderedPageBreak/>
        <w:t xml:space="preserve">vzhledem k tomu, že klasifikace </w:t>
      </w:r>
      <w:proofErr w:type="spellStart"/>
      <w:r w:rsidRPr="00D676BA">
        <w:t>thiaklopridu</w:t>
      </w:r>
      <w:proofErr w:type="spellEnd"/>
      <w:r w:rsidRPr="00D676BA">
        <w:t xml:space="preserve"> jako látky toxické pro reprodukci kategorie 1B by měla být dostatečným důvodem k tomu, aby Komise zamítla žádosti o přípustné odchylky pro dovoz s odkazem na možné ohrožení zdraví občanů třetích zemí; </w:t>
      </w:r>
    </w:p>
    <w:p w:rsidR="00B5402D" w:rsidRPr="00D676BA" w:rsidRDefault="00B5402D" w:rsidP="00031754">
      <w:pPr>
        <w:pStyle w:val="NormalHanging12a"/>
      </w:pPr>
      <w:r w:rsidRPr="00D676BA">
        <w:t>1.</w:t>
      </w:r>
      <w:r w:rsidRPr="00D676BA">
        <w:tab/>
        <w:t>vyjadřuje nesouhlas s přijetím návrhu nařízení Rady;</w:t>
      </w:r>
    </w:p>
    <w:p w:rsidR="00B5402D" w:rsidRPr="00D676BA" w:rsidRDefault="00B5402D" w:rsidP="00031754">
      <w:pPr>
        <w:pStyle w:val="NormalHanging12a"/>
      </w:pPr>
      <w:r w:rsidRPr="00D676BA">
        <w:t>2.</w:t>
      </w:r>
      <w:r w:rsidRPr="00D676BA">
        <w:tab/>
        <w:t>domnívá se, že návrh nařízení Rady není v souladu s cílem a obsahem nařízení (ES) č. 396/2005 a nařízení (ES) č. 178/2002 ani s nařízením (ES) č. 1107/2009, včetně bodu 3.6.4 přílohy II tohoto nařízení;</w:t>
      </w:r>
    </w:p>
    <w:p w:rsidR="00B5402D" w:rsidRPr="00D676BA" w:rsidRDefault="00B5402D" w:rsidP="00031754">
      <w:pPr>
        <w:pStyle w:val="NormalHanging12a"/>
      </w:pPr>
      <w:r w:rsidRPr="00D676BA">
        <w:t>3.</w:t>
      </w:r>
      <w:r w:rsidRPr="00D676BA">
        <w:tab/>
        <w:t>vyzývá Komisi, aby vzala návrh nařízení zpět;</w:t>
      </w:r>
    </w:p>
    <w:p w:rsidR="00B5402D" w:rsidRPr="00D676BA" w:rsidRDefault="00B5402D" w:rsidP="00031754">
      <w:pPr>
        <w:pStyle w:val="NormalHanging12a"/>
      </w:pPr>
      <w:r w:rsidRPr="00D676BA">
        <w:t>4.</w:t>
      </w:r>
      <w:r w:rsidRPr="00D676BA">
        <w:tab/>
        <w:t xml:space="preserve">vyzývá Komisi, aby výboru předložila nový návrh, jenž sníží všechny maximální limity reziduí pro </w:t>
      </w:r>
      <w:proofErr w:type="spellStart"/>
      <w:r w:rsidRPr="00D676BA">
        <w:t>thiakloprid</w:t>
      </w:r>
      <w:proofErr w:type="spellEnd"/>
      <w:r w:rsidRPr="00D676BA">
        <w:t xml:space="preserve"> pro všechna použití na mez stanovitelnosti, a aby zamítla veškeré žádosti o přípustné odchylky pro dovoz;</w:t>
      </w:r>
    </w:p>
    <w:p w:rsidR="00B5402D" w:rsidRPr="00D676BA" w:rsidRDefault="00B5402D" w:rsidP="00031754">
      <w:pPr>
        <w:pStyle w:val="NormalHanging12a"/>
      </w:pPr>
      <w:r w:rsidRPr="00D676BA">
        <w:t>5.</w:t>
      </w:r>
      <w:r w:rsidRPr="00D676BA">
        <w:tab/>
        <w:t>pověřuje svou předsedkyni, aby předala toto usnesení Radě a Komisi, jakož i vládám a parlamentům členských států.</w:t>
      </w:r>
    </w:p>
    <w:p w:rsidR="00E365E1" w:rsidRPr="00D676BA" w:rsidRDefault="00E365E1" w:rsidP="00BB3AC9">
      <w:bookmarkStart w:id="7" w:name="TextBodyEnd"/>
      <w:bookmarkEnd w:id="7"/>
    </w:p>
    <w:sectPr w:rsidR="00E365E1" w:rsidRPr="00D676BA" w:rsidSect="00D676B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D43" w:rsidRPr="00D676BA" w:rsidRDefault="00C97D43">
      <w:r w:rsidRPr="00D676BA">
        <w:separator/>
      </w:r>
    </w:p>
  </w:endnote>
  <w:endnote w:type="continuationSeparator" w:id="0">
    <w:p w:rsidR="00C97D43" w:rsidRPr="00D676BA" w:rsidRDefault="00C97D43">
      <w:r w:rsidRPr="00D676B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676B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676B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676B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D43" w:rsidRPr="00D676BA" w:rsidRDefault="00C97D43">
      <w:r w:rsidRPr="00D676BA">
        <w:separator/>
      </w:r>
    </w:p>
  </w:footnote>
  <w:footnote w:type="continuationSeparator" w:id="0">
    <w:p w:rsidR="00C97D43" w:rsidRPr="00D676BA" w:rsidRDefault="00C97D43">
      <w:r w:rsidRPr="00D676BA">
        <w:continuationSeparator/>
      </w:r>
    </w:p>
  </w:footnote>
  <w:footnote w:id="1">
    <w:p w:rsidR="00B5402D" w:rsidRPr="00551A71" w:rsidRDefault="00B5402D" w:rsidP="00D676BA">
      <w:pPr>
        <w:pStyle w:val="FootnoteText"/>
        <w:ind w:left="567" w:hanging="567"/>
        <w:rPr>
          <w:sz w:val="24"/>
          <w:szCs w:val="24"/>
          <w:lang w:val="cs-CZ"/>
        </w:rPr>
      </w:pPr>
      <w:r w:rsidRPr="00551A71">
        <w:rPr>
          <w:rStyle w:val="FootnoteReference"/>
          <w:sz w:val="24"/>
          <w:szCs w:val="24"/>
          <w:lang w:val="cs-CZ"/>
        </w:rPr>
        <w:footnoteRef/>
      </w:r>
      <w:r w:rsidR="00D676BA" w:rsidRPr="00551A71">
        <w:rPr>
          <w:sz w:val="24"/>
          <w:szCs w:val="24"/>
          <w:lang w:val="cs-CZ"/>
        </w:rPr>
        <w:t xml:space="preserve"> </w:t>
      </w:r>
      <w:r w:rsidR="00D676BA" w:rsidRPr="00551A71">
        <w:rPr>
          <w:sz w:val="24"/>
          <w:szCs w:val="24"/>
          <w:lang w:val="cs-CZ"/>
        </w:rPr>
        <w:tab/>
      </w:r>
      <w:proofErr w:type="spellStart"/>
      <w:r w:rsidRPr="00551A71">
        <w:rPr>
          <w:sz w:val="24"/>
          <w:szCs w:val="24"/>
          <w:lang w:val="cs-CZ"/>
        </w:rPr>
        <w:t>Úř</w:t>
      </w:r>
      <w:proofErr w:type="spellEnd"/>
      <w:r w:rsidRPr="00551A71">
        <w:rPr>
          <w:sz w:val="24"/>
          <w:szCs w:val="24"/>
          <w:lang w:val="cs-CZ"/>
        </w:rPr>
        <w:t xml:space="preserve">. </w:t>
      </w:r>
      <w:proofErr w:type="spellStart"/>
      <w:r w:rsidRPr="00551A71">
        <w:rPr>
          <w:sz w:val="24"/>
          <w:szCs w:val="24"/>
          <w:lang w:val="cs-CZ"/>
        </w:rPr>
        <w:t>věst</w:t>
      </w:r>
      <w:proofErr w:type="spellEnd"/>
      <w:r w:rsidRPr="00551A71">
        <w:rPr>
          <w:sz w:val="24"/>
          <w:szCs w:val="24"/>
          <w:lang w:val="cs-CZ"/>
        </w:rPr>
        <w:t>. L 70, 16.3.2005, s. 1.</w:t>
      </w:r>
    </w:p>
  </w:footnote>
  <w:footnote w:id="2">
    <w:p w:rsidR="00B5402D" w:rsidRPr="00551A71" w:rsidRDefault="00B5402D" w:rsidP="00D676BA">
      <w:pPr>
        <w:pStyle w:val="FootnoteText"/>
        <w:ind w:left="567" w:hanging="567"/>
        <w:rPr>
          <w:sz w:val="24"/>
          <w:szCs w:val="24"/>
          <w:lang w:val="cs-CZ"/>
        </w:rPr>
      </w:pPr>
      <w:r w:rsidRPr="00551A71">
        <w:rPr>
          <w:rStyle w:val="FootnoteReference"/>
          <w:sz w:val="24"/>
          <w:szCs w:val="24"/>
          <w:lang w:val="cs-CZ"/>
        </w:rPr>
        <w:footnoteRef/>
      </w:r>
      <w:r w:rsidR="00D676BA" w:rsidRPr="00551A71">
        <w:rPr>
          <w:sz w:val="24"/>
          <w:szCs w:val="24"/>
          <w:lang w:val="cs-CZ"/>
        </w:rPr>
        <w:t xml:space="preserve"> </w:t>
      </w:r>
      <w:r w:rsidR="00D676BA" w:rsidRPr="00551A71">
        <w:rPr>
          <w:sz w:val="24"/>
          <w:szCs w:val="24"/>
          <w:lang w:val="cs-CZ"/>
        </w:rPr>
        <w:tab/>
      </w:r>
      <w:proofErr w:type="spellStart"/>
      <w:r w:rsidRPr="00551A71">
        <w:rPr>
          <w:sz w:val="24"/>
          <w:szCs w:val="24"/>
          <w:lang w:val="cs-CZ"/>
        </w:rPr>
        <w:t>Úř</w:t>
      </w:r>
      <w:proofErr w:type="spellEnd"/>
      <w:r w:rsidRPr="00551A71">
        <w:rPr>
          <w:sz w:val="24"/>
          <w:szCs w:val="24"/>
          <w:lang w:val="cs-CZ"/>
        </w:rPr>
        <w:t xml:space="preserve">. </w:t>
      </w:r>
      <w:proofErr w:type="spellStart"/>
      <w:r w:rsidRPr="00551A71">
        <w:rPr>
          <w:sz w:val="24"/>
          <w:szCs w:val="24"/>
          <w:lang w:val="cs-CZ"/>
        </w:rPr>
        <w:t>věst</w:t>
      </w:r>
      <w:proofErr w:type="spellEnd"/>
      <w:r w:rsidRPr="00551A71">
        <w:rPr>
          <w:sz w:val="24"/>
          <w:szCs w:val="24"/>
          <w:lang w:val="cs-CZ"/>
        </w:rPr>
        <w:t>. L 309, 24.11.2009, s. 1.</w:t>
      </w:r>
    </w:p>
  </w:footnote>
  <w:footnote w:id="3">
    <w:p w:rsidR="00B5402D" w:rsidRPr="00551A71" w:rsidRDefault="00B5402D" w:rsidP="00D676BA">
      <w:pPr>
        <w:pStyle w:val="FootnoteText"/>
        <w:ind w:left="567" w:hanging="567"/>
        <w:rPr>
          <w:sz w:val="24"/>
          <w:szCs w:val="24"/>
          <w:lang w:val="cs-CZ"/>
        </w:rPr>
      </w:pPr>
      <w:r w:rsidRPr="00551A71">
        <w:rPr>
          <w:rStyle w:val="FootnoteReference"/>
          <w:sz w:val="24"/>
          <w:szCs w:val="24"/>
          <w:lang w:val="cs-CZ"/>
        </w:rPr>
        <w:footnoteRef/>
      </w:r>
      <w:r w:rsidR="00D676BA" w:rsidRPr="00551A71">
        <w:rPr>
          <w:sz w:val="24"/>
          <w:szCs w:val="24"/>
          <w:lang w:val="cs-CZ"/>
        </w:rPr>
        <w:t xml:space="preserve"> </w:t>
      </w:r>
      <w:r w:rsidR="00D676BA" w:rsidRPr="00551A71">
        <w:rPr>
          <w:sz w:val="24"/>
          <w:szCs w:val="24"/>
          <w:lang w:val="cs-CZ"/>
        </w:rPr>
        <w:tab/>
      </w:r>
      <w:proofErr w:type="spellStart"/>
      <w:r w:rsidRPr="00551A71">
        <w:rPr>
          <w:sz w:val="24"/>
          <w:szCs w:val="24"/>
          <w:lang w:val="cs-CZ"/>
        </w:rPr>
        <w:t>Úř</w:t>
      </w:r>
      <w:proofErr w:type="spellEnd"/>
      <w:r w:rsidRPr="00551A71">
        <w:rPr>
          <w:sz w:val="24"/>
          <w:szCs w:val="24"/>
          <w:lang w:val="cs-CZ"/>
        </w:rPr>
        <w:t xml:space="preserve">. </w:t>
      </w:r>
      <w:proofErr w:type="spellStart"/>
      <w:r w:rsidRPr="00551A71">
        <w:rPr>
          <w:sz w:val="24"/>
          <w:szCs w:val="24"/>
          <w:lang w:val="cs-CZ"/>
        </w:rPr>
        <w:t>věst</w:t>
      </w:r>
      <w:proofErr w:type="spellEnd"/>
      <w:r w:rsidRPr="00551A71">
        <w:rPr>
          <w:sz w:val="24"/>
          <w:szCs w:val="24"/>
          <w:lang w:val="cs-CZ"/>
        </w:rPr>
        <w:t>. L 31, 1.2.2002, s. 1.</w:t>
      </w:r>
    </w:p>
  </w:footnote>
  <w:footnote w:id="4">
    <w:p w:rsidR="00B5402D" w:rsidRPr="00551A71" w:rsidRDefault="00B5402D" w:rsidP="00D676BA">
      <w:pPr>
        <w:pStyle w:val="FootnoteText"/>
        <w:ind w:left="567" w:hanging="567"/>
        <w:rPr>
          <w:noProof/>
          <w:sz w:val="24"/>
          <w:szCs w:val="24"/>
          <w:lang w:val="cs-CZ"/>
        </w:rPr>
      </w:pPr>
      <w:r w:rsidRPr="00551A71">
        <w:rPr>
          <w:rStyle w:val="FootnoteReference"/>
          <w:sz w:val="24"/>
          <w:szCs w:val="24"/>
          <w:lang w:val="cs-CZ"/>
        </w:rPr>
        <w:footnoteRef/>
      </w:r>
      <w:r w:rsidR="00D676BA" w:rsidRPr="00551A71">
        <w:rPr>
          <w:noProof/>
          <w:sz w:val="24"/>
          <w:szCs w:val="24"/>
          <w:lang w:val="cs-CZ"/>
        </w:rPr>
        <w:t xml:space="preserve"> </w:t>
      </w:r>
      <w:r w:rsidR="00D676BA" w:rsidRPr="00551A71">
        <w:rPr>
          <w:noProof/>
          <w:sz w:val="24"/>
          <w:szCs w:val="24"/>
          <w:lang w:val="cs-CZ"/>
        </w:rPr>
        <w:tab/>
      </w:r>
      <w:r w:rsidRPr="00551A71">
        <w:rPr>
          <w:noProof/>
          <w:sz w:val="24"/>
          <w:szCs w:val="24"/>
          <w:lang w:val="cs-CZ"/>
        </w:rPr>
        <w:t xml:space="preserve">EFSA statement on the short-term (acute) dietary risk assessment and evaluation of confirmatory data for certain maximum residue levels (MRLs) for thiacloprid, EFSA Journal 2023;21(3):7888, </w:t>
      </w:r>
      <w:r w:rsidR="00551A71" w:rsidRPr="00551A71">
        <w:rPr>
          <w:sz w:val="24"/>
          <w:szCs w:val="24"/>
        </w:rPr>
        <w:fldChar w:fldCharType="begin"/>
      </w:r>
      <w:r w:rsidR="00551A71" w:rsidRPr="00551A71">
        <w:rPr>
          <w:sz w:val="24"/>
          <w:szCs w:val="24"/>
          <w:lang w:val="en-GB"/>
        </w:rPr>
        <w:instrText xml:space="preserve"> HYPERLINK "https://doi.org/10.2903/j.efsa.2023.7888" </w:instrText>
      </w:r>
      <w:r w:rsidR="00551A71" w:rsidRPr="00551A71">
        <w:rPr>
          <w:sz w:val="24"/>
          <w:szCs w:val="24"/>
        </w:rPr>
        <w:fldChar w:fldCharType="separate"/>
      </w:r>
      <w:r w:rsidRPr="00551A71">
        <w:rPr>
          <w:rStyle w:val="Hyperlink"/>
          <w:noProof/>
          <w:sz w:val="24"/>
          <w:szCs w:val="24"/>
          <w:lang w:val="cs-CZ"/>
        </w:rPr>
        <w:t>https://doi.org/10.2903/j.efsa.2023.7888</w:t>
      </w:r>
      <w:r w:rsidR="00551A71" w:rsidRPr="00551A71">
        <w:rPr>
          <w:rStyle w:val="Hyperlink"/>
          <w:noProof/>
          <w:sz w:val="24"/>
          <w:szCs w:val="24"/>
          <w:lang w:val="cs-CZ"/>
        </w:rPr>
        <w:fldChar w:fldCharType="end"/>
      </w:r>
      <w:r w:rsidRPr="00551A71">
        <w:rPr>
          <w:noProof/>
          <w:sz w:val="24"/>
          <w:szCs w:val="24"/>
          <w:lang w:val="cs-CZ"/>
        </w:rPr>
        <w:t>.</w:t>
      </w:r>
    </w:p>
  </w:footnote>
  <w:footnote w:id="5">
    <w:p w:rsidR="00B5402D" w:rsidRPr="00551A71" w:rsidRDefault="00B5402D" w:rsidP="00D676BA">
      <w:pPr>
        <w:pStyle w:val="FootnoteText"/>
        <w:ind w:left="567" w:hanging="567"/>
        <w:rPr>
          <w:noProof/>
          <w:sz w:val="24"/>
          <w:szCs w:val="24"/>
          <w:lang w:val="cs-CZ"/>
        </w:rPr>
      </w:pPr>
      <w:r w:rsidRPr="00551A71">
        <w:rPr>
          <w:rStyle w:val="FootnoteReference"/>
          <w:noProof/>
          <w:sz w:val="24"/>
          <w:szCs w:val="24"/>
          <w:lang w:val="cs-CZ"/>
        </w:rPr>
        <w:footnoteRef/>
      </w:r>
      <w:r w:rsidR="00D676BA" w:rsidRPr="00551A71">
        <w:rPr>
          <w:noProof/>
          <w:sz w:val="24"/>
          <w:szCs w:val="24"/>
          <w:lang w:val="cs-CZ"/>
        </w:rPr>
        <w:t xml:space="preserve"> </w:t>
      </w:r>
      <w:r w:rsidR="00D676BA" w:rsidRPr="00551A71">
        <w:rPr>
          <w:noProof/>
          <w:sz w:val="24"/>
          <w:szCs w:val="24"/>
          <w:lang w:val="cs-CZ"/>
        </w:rPr>
        <w:tab/>
      </w:r>
      <w:r w:rsidRPr="00551A71">
        <w:rPr>
          <w:noProof/>
          <w:sz w:val="24"/>
          <w:szCs w:val="24"/>
          <w:lang w:val="cs-CZ"/>
        </w:rPr>
        <w:t xml:space="preserve">EFSA conclusion on the peer review of the pesticide risk assessment of the active substance thiacloprid, EFSA Journal 2019;17(3):5595, </w:t>
      </w:r>
      <w:r w:rsidR="00551A71" w:rsidRPr="00551A71">
        <w:rPr>
          <w:sz w:val="24"/>
          <w:szCs w:val="24"/>
        </w:rPr>
        <w:fldChar w:fldCharType="begin"/>
      </w:r>
      <w:r w:rsidR="00551A71" w:rsidRPr="00551A71">
        <w:rPr>
          <w:sz w:val="24"/>
          <w:szCs w:val="24"/>
          <w:lang w:val="en-GB"/>
        </w:rPr>
        <w:instrText xml:space="preserve"> HYPERLINK "https://doi.org/10.2903/j.efsa.2019.5595" </w:instrText>
      </w:r>
      <w:r w:rsidR="00551A71" w:rsidRPr="00551A71">
        <w:rPr>
          <w:sz w:val="24"/>
          <w:szCs w:val="24"/>
        </w:rPr>
        <w:fldChar w:fldCharType="separate"/>
      </w:r>
      <w:r w:rsidRPr="00551A71">
        <w:rPr>
          <w:rStyle w:val="Hyperlink"/>
          <w:noProof/>
          <w:sz w:val="24"/>
          <w:szCs w:val="24"/>
          <w:lang w:val="cs-CZ"/>
        </w:rPr>
        <w:t>https://doi.org/10.2903/j.efsa.2019.5595</w:t>
      </w:r>
      <w:r w:rsidR="00551A71" w:rsidRPr="00551A71">
        <w:rPr>
          <w:rStyle w:val="Hyperlink"/>
          <w:noProof/>
          <w:sz w:val="24"/>
          <w:szCs w:val="24"/>
          <w:lang w:val="cs-CZ"/>
        </w:rPr>
        <w:fldChar w:fldCharType="end"/>
      </w:r>
      <w:r w:rsidRPr="00551A71">
        <w:rPr>
          <w:noProof/>
          <w:sz w:val="24"/>
          <w:szCs w:val="24"/>
          <w:lang w:val="cs-CZ"/>
        </w:rPr>
        <w:t>.</w:t>
      </w:r>
    </w:p>
  </w:footnote>
  <w:footnote w:id="6">
    <w:p w:rsidR="00B5402D" w:rsidRPr="00551A71" w:rsidRDefault="00B5402D" w:rsidP="00D676BA">
      <w:pPr>
        <w:pStyle w:val="FootnoteText"/>
        <w:ind w:left="567" w:hanging="567"/>
        <w:rPr>
          <w:sz w:val="24"/>
          <w:szCs w:val="24"/>
          <w:lang w:val="cs-CZ"/>
        </w:rPr>
      </w:pPr>
      <w:r w:rsidRPr="00551A71">
        <w:rPr>
          <w:rStyle w:val="FootnoteReference"/>
          <w:sz w:val="24"/>
          <w:szCs w:val="24"/>
          <w:lang w:val="cs-CZ"/>
        </w:rPr>
        <w:footnoteRef/>
      </w:r>
      <w:r w:rsidR="00D676BA" w:rsidRPr="00551A71">
        <w:rPr>
          <w:noProof/>
          <w:sz w:val="24"/>
          <w:szCs w:val="24"/>
          <w:lang w:val="cs-CZ"/>
        </w:rPr>
        <w:t xml:space="preserve"> </w:t>
      </w:r>
      <w:r w:rsidR="00D676BA" w:rsidRPr="00551A71">
        <w:rPr>
          <w:noProof/>
          <w:sz w:val="24"/>
          <w:szCs w:val="24"/>
          <w:lang w:val="cs-CZ"/>
        </w:rPr>
        <w:tab/>
      </w:r>
      <w:r w:rsidRPr="00551A71">
        <w:rPr>
          <w:noProof/>
          <w:sz w:val="24"/>
          <w:szCs w:val="24"/>
          <w:lang w:val="cs-CZ"/>
        </w:rPr>
        <w:t xml:space="preserve">RAC opinion proposing harmonised classification and labelling at EU level of Thiacloprid (ISO); {(2Z)-3-[(6-chloropyridin-3-yl)methyl]-1,3-thiaz olidin-2-ylidene}cyanamide, </w:t>
      </w:r>
      <w:r w:rsidR="00551A71" w:rsidRPr="00551A71">
        <w:rPr>
          <w:sz w:val="24"/>
          <w:szCs w:val="24"/>
        </w:rPr>
        <w:fldChar w:fldCharType="begin"/>
      </w:r>
      <w:r w:rsidR="00551A71" w:rsidRPr="00551A71">
        <w:rPr>
          <w:sz w:val="24"/>
          <w:szCs w:val="24"/>
          <w:lang w:val="cs-CZ"/>
        </w:rPr>
        <w:instrText xml:space="preserve"> HYPERLINK "https://echa.europa.eu/registry-of-clh-int</w:instrText>
      </w:r>
      <w:r w:rsidR="00551A71" w:rsidRPr="00551A71">
        <w:rPr>
          <w:sz w:val="24"/>
          <w:szCs w:val="24"/>
          <w:lang w:val="cs-CZ"/>
        </w:rPr>
        <w:instrText xml:space="preserve">entions-until-outcome/-/dislist/details/0b0236e180638ff8" </w:instrText>
      </w:r>
      <w:r w:rsidR="00551A71" w:rsidRPr="00551A71">
        <w:rPr>
          <w:sz w:val="24"/>
          <w:szCs w:val="24"/>
        </w:rPr>
        <w:fldChar w:fldCharType="separate"/>
      </w:r>
      <w:r w:rsidRPr="00551A71">
        <w:rPr>
          <w:rStyle w:val="Hyperlink"/>
          <w:noProof/>
          <w:sz w:val="24"/>
          <w:szCs w:val="24"/>
          <w:lang w:val="cs-CZ"/>
        </w:rPr>
        <w:t>https://echa.europa.eu/registry-of-clh-intentions-until-outcome/-/dislist/details/0b0236e180638ff8</w:t>
      </w:r>
      <w:r w:rsidR="00551A71" w:rsidRPr="00551A71">
        <w:rPr>
          <w:rStyle w:val="Hyperlink"/>
          <w:noProof/>
          <w:sz w:val="24"/>
          <w:szCs w:val="24"/>
          <w:lang w:val="cs-CZ"/>
        </w:rPr>
        <w:fldChar w:fldCharType="end"/>
      </w:r>
      <w:r w:rsidRPr="00551A71">
        <w:rPr>
          <w:noProof/>
          <w:sz w:val="24"/>
          <w:szCs w:val="24"/>
          <w:lang w:val="cs-CZ"/>
        </w:rPr>
        <w:t>.</w:t>
      </w:r>
    </w:p>
  </w:footnote>
  <w:footnote w:id="7">
    <w:p w:rsidR="00B5402D" w:rsidRPr="00551A71" w:rsidRDefault="00B5402D" w:rsidP="00D676BA">
      <w:pPr>
        <w:pStyle w:val="FootnoteText"/>
        <w:ind w:left="567" w:hanging="567"/>
        <w:rPr>
          <w:sz w:val="24"/>
          <w:szCs w:val="24"/>
          <w:lang w:val="cs-CZ"/>
        </w:rPr>
      </w:pPr>
      <w:r w:rsidRPr="00551A71">
        <w:rPr>
          <w:rStyle w:val="FootnoteReference"/>
          <w:sz w:val="24"/>
          <w:szCs w:val="24"/>
          <w:lang w:val="cs-CZ"/>
        </w:rPr>
        <w:footnoteRef/>
      </w:r>
      <w:r w:rsidR="00D676BA" w:rsidRPr="00551A71">
        <w:rPr>
          <w:sz w:val="24"/>
          <w:szCs w:val="24"/>
          <w:lang w:val="cs-CZ"/>
        </w:rPr>
        <w:t xml:space="preserve"> </w:t>
      </w:r>
      <w:r w:rsidR="00D676BA" w:rsidRPr="00551A71">
        <w:rPr>
          <w:sz w:val="24"/>
          <w:szCs w:val="24"/>
          <w:lang w:val="cs-CZ"/>
        </w:rPr>
        <w:tab/>
      </w:r>
      <w:proofErr w:type="spellStart"/>
      <w:r w:rsidRPr="00551A71">
        <w:rPr>
          <w:sz w:val="24"/>
          <w:szCs w:val="24"/>
          <w:lang w:val="cs-CZ"/>
        </w:rPr>
        <w:t>Úř</w:t>
      </w:r>
      <w:proofErr w:type="spellEnd"/>
      <w:r w:rsidRPr="00551A71">
        <w:rPr>
          <w:sz w:val="24"/>
          <w:szCs w:val="24"/>
          <w:lang w:val="cs-CZ"/>
        </w:rPr>
        <w:t xml:space="preserve">. </w:t>
      </w:r>
      <w:proofErr w:type="spellStart"/>
      <w:r w:rsidRPr="00551A71">
        <w:rPr>
          <w:sz w:val="24"/>
          <w:szCs w:val="24"/>
          <w:lang w:val="cs-CZ"/>
        </w:rPr>
        <w:t>věst</w:t>
      </w:r>
      <w:proofErr w:type="spellEnd"/>
      <w:r w:rsidRPr="00551A71">
        <w:rPr>
          <w:sz w:val="24"/>
          <w:szCs w:val="24"/>
          <w:lang w:val="cs-CZ"/>
        </w:rPr>
        <w:t>. L 184, 17.7.1999, s. 23.</w:t>
      </w:r>
    </w:p>
  </w:footnote>
  <w:footnote w:id="8">
    <w:p w:rsidR="00B5402D" w:rsidRPr="00551A71" w:rsidRDefault="00B5402D" w:rsidP="00D676BA">
      <w:pPr>
        <w:pStyle w:val="FootnoteText"/>
        <w:ind w:left="567" w:hanging="567"/>
        <w:rPr>
          <w:sz w:val="24"/>
          <w:szCs w:val="24"/>
          <w:lang w:val="cs-CZ"/>
        </w:rPr>
      </w:pPr>
      <w:r w:rsidRPr="00551A71">
        <w:rPr>
          <w:rStyle w:val="FootnoteReference"/>
          <w:sz w:val="24"/>
          <w:szCs w:val="24"/>
          <w:lang w:val="cs-CZ"/>
        </w:rPr>
        <w:footnoteRef/>
      </w:r>
      <w:r w:rsidR="00D676BA" w:rsidRPr="00551A71">
        <w:rPr>
          <w:sz w:val="24"/>
          <w:szCs w:val="24"/>
          <w:lang w:val="cs-CZ"/>
        </w:rPr>
        <w:t xml:space="preserve"> </w:t>
      </w:r>
      <w:r w:rsidR="00D676BA" w:rsidRPr="00551A71">
        <w:rPr>
          <w:sz w:val="24"/>
          <w:szCs w:val="24"/>
          <w:lang w:val="cs-CZ"/>
        </w:rPr>
        <w:tab/>
      </w:r>
      <w:r w:rsidRPr="00551A71">
        <w:rPr>
          <w:sz w:val="24"/>
          <w:szCs w:val="24"/>
          <w:lang w:val="cs-CZ"/>
        </w:rPr>
        <w:t xml:space="preserve">Prováděcí nařízení Komise (EU) 2020/23 ze dne 13. ledna 2020, kterým se v souladu s nařízením Evropského parlamentu a Rady (ES) č. 1107/2009 o uvádění přípravků na ochranu rostlin na trh neobnovuje schválení účinné látky </w:t>
      </w:r>
      <w:proofErr w:type="spellStart"/>
      <w:r w:rsidRPr="00551A71">
        <w:rPr>
          <w:sz w:val="24"/>
          <w:szCs w:val="24"/>
          <w:lang w:val="cs-CZ"/>
        </w:rPr>
        <w:t>thiakloprid</w:t>
      </w:r>
      <w:proofErr w:type="spellEnd"/>
      <w:r w:rsidRPr="00551A71">
        <w:rPr>
          <w:sz w:val="24"/>
          <w:szCs w:val="24"/>
          <w:lang w:val="cs-CZ"/>
        </w:rPr>
        <w:t xml:space="preserve"> a kterým se mění příloha prováděcího nařízení Komise (EU) č. 540/2011 (</w:t>
      </w:r>
      <w:proofErr w:type="spellStart"/>
      <w:r w:rsidRPr="00551A71">
        <w:rPr>
          <w:sz w:val="24"/>
          <w:szCs w:val="24"/>
          <w:lang w:val="cs-CZ"/>
        </w:rPr>
        <w:t>Úř</w:t>
      </w:r>
      <w:proofErr w:type="spellEnd"/>
      <w:r w:rsidRPr="00551A71">
        <w:rPr>
          <w:sz w:val="24"/>
          <w:szCs w:val="24"/>
          <w:lang w:val="cs-CZ"/>
        </w:rPr>
        <w:t xml:space="preserve">. </w:t>
      </w:r>
      <w:proofErr w:type="spellStart"/>
      <w:r w:rsidRPr="00551A71">
        <w:rPr>
          <w:sz w:val="24"/>
          <w:szCs w:val="24"/>
          <w:lang w:val="cs-CZ"/>
        </w:rPr>
        <w:t>věst</w:t>
      </w:r>
      <w:proofErr w:type="spellEnd"/>
      <w:r w:rsidRPr="00551A71">
        <w:rPr>
          <w:sz w:val="24"/>
          <w:szCs w:val="24"/>
          <w:lang w:val="cs-CZ"/>
        </w:rPr>
        <w:t>. L 8, 14.1.2020, s. 8).</w:t>
      </w:r>
    </w:p>
  </w:footnote>
  <w:footnote w:id="9">
    <w:p w:rsidR="00B5402D" w:rsidRPr="00551A71" w:rsidRDefault="00B5402D" w:rsidP="00D676BA">
      <w:pPr>
        <w:pStyle w:val="FootnoteText"/>
        <w:ind w:left="567" w:hanging="567"/>
        <w:rPr>
          <w:sz w:val="24"/>
          <w:szCs w:val="24"/>
          <w:lang w:val="cs-CZ"/>
        </w:rPr>
      </w:pPr>
      <w:r w:rsidRPr="00551A71">
        <w:rPr>
          <w:rStyle w:val="FootnoteReference"/>
          <w:sz w:val="24"/>
          <w:szCs w:val="24"/>
          <w:lang w:val="cs-CZ"/>
        </w:rPr>
        <w:footnoteRef/>
      </w:r>
      <w:r w:rsidR="00D676BA" w:rsidRPr="00551A71">
        <w:rPr>
          <w:sz w:val="24"/>
          <w:szCs w:val="24"/>
          <w:lang w:val="cs-CZ"/>
        </w:rPr>
        <w:t xml:space="preserve"> </w:t>
      </w:r>
      <w:r w:rsidR="00D676BA" w:rsidRPr="00551A71">
        <w:rPr>
          <w:sz w:val="24"/>
          <w:szCs w:val="24"/>
          <w:lang w:val="cs-CZ"/>
        </w:rPr>
        <w:tab/>
      </w:r>
      <w:r w:rsidRPr="00551A71">
        <w:rPr>
          <w:sz w:val="24"/>
          <w:szCs w:val="24"/>
          <w:lang w:val="cs-CZ"/>
        </w:rPr>
        <w:t>Závěry úřadu EFSA ze dne 17. ledna 2019.</w:t>
      </w:r>
    </w:p>
  </w:footnote>
  <w:footnote w:id="10">
    <w:p w:rsidR="00B5402D" w:rsidRPr="00551A71" w:rsidRDefault="00B5402D" w:rsidP="00D676BA">
      <w:pPr>
        <w:pStyle w:val="FootnoteText"/>
        <w:ind w:left="567" w:hanging="567"/>
        <w:rPr>
          <w:sz w:val="24"/>
          <w:szCs w:val="24"/>
          <w:lang w:val="cs-CZ"/>
        </w:rPr>
      </w:pPr>
      <w:r w:rsidRPr="00551A71">
        <w:rPr>
          <w:rStyle w:val="FootnoteReference"/>
          <w:sz w:val="24"/>
          <w:szCs w:val="24"/>
          <w:lang w:val="cs-CZ"/>
        </w:rPr>
        <w:footnoteRef/>
      </w:r>
      <w:r w:rsidR="00D676BA" w:rsidRPr="00551A71">
        <w:rPr>
          <w:sz w:val="24"/>
          <w:szCs w:val="24"/>
          <w:lang w:val="cs-CZ"/>
        </w:rPr>
        <w:t xml:space="preserve"> </w:t>
      </w:r>
      <w:r w:rsidR="00D676BA" w:rsidRPr="00551A71">
        <w:rPr>
          <w:sz w:val="24"/>
          <w:szCs w:val="24"/>
          <w:lang w:val="cs-CZ"/>
        </w:rPr>
        <w:tab/>
      </w:r>
      <w:r w:rsidRPr="00551A71">
        <w:rPr>
          <w:sz w:val="24"/>
          <w:szCs w:val="24"/>
          <w:lang w:val="cs-CZ"/>
        </w:rPr>
        <w:t>Nařízení Evropského parlamentu a Rady (ES) č. 1272/2008 ze dne 16. prosince 2008 o klasifikaci, označování a balení látek a směsí, o změně a zrušení směrnic 67/548/EHS a 1999/45/ES a o změně nařízení (ES) č. 1907/2006 (</w:t>
      </w:r>
      <w:proofErr w:type="spellStart"/>
      <w:r w:rsidRPr="00551A71">
        <w:rPr>
          <w:sz w:val="24"/>
          <w:szCs w:val="24"/>
          <w:lang w:val="cs-CZ"/>
        </w:rPr>
        <w:t>Úř</w:t>
      </w:r>
      <w:proofErr w:type="spellEnd"/>
      <w:r w:rsidRPr="00551A71">
        <w:rPr>
          <w:sz w:val="24"/>
          <w:szCs w:val="24"/>
          <w:lang w:val="cs-CZ"/>
        </w:rPr>
        <w:t xml:space="preserve">. </w:t>
      </w:r>
      <w:proofErr w:type="spellStart"/>
      <w:r w:rsidRPr="00551A71">
        <w:rPr>
          <w:sz w:val="24"/>
          <w:szCs w:val="24"/>
          <w:lang w:val="cs-CZ"/>
        </w:rPr>
        <w:t>věst</w:t>
      </w:r>
      <w:proofErr w:type="spellEnd"/>
      <w:r w:rsidRPr="00551A71">
        <w:rPr>
          <w:sz w:val="24"/>
          <w:szCs w:val="24"/>
          <w:lang w:val="cs-CZ"/>
        </w:rPr>
        <w:t>. L 353, 31.12.2008, s. 1).</w:t>
      </w:r>
    </w:p>
  </w:footnote>
  <w:footnote w:id="11">
    <w:p w:rsidR="00B5402D" w:rsidRPr="00551A71" w:rsidRDefault="00B5402D" w:rsidP="00D676BA">
      <w:pPr>
        <w:pStyle w:val="FootnoteText"/>
        <w:ind w:left="567" w:hanging="567"/>
        <w:rPr>
          <w:sz w:val="24"/>
          <w:szCs w:val="24"/>
          <w:lang w:val="cs-CZ"/>
        </w:rPr>
      </w:pPr>
      <w:r w:rsidRPr="00551A71">
        <w:rPr>
          <w:rStyle w:val="FootnoteReference"/>
          <w:sz w:val="24"/>
          <w:szCs w:val="24"/>
          <w:lang w:val="cs-CZ"/>
        </w:rPr>
        <w:footnoteRef/>
      </w:r>
      <w:r w:rsidR="00D676BA" w:rsidRPr="00551A71">
        <w:rPr>
          <w:sz w:val="24"/>
          <w:szCs w:val="24"/>
          <w:lang w:val="cs-CZ"/>
        </w:rPr>
        <w:t xml:space="preserve"> </w:t>
      </w:r>
      <w:r w:rsidR="00D676BA" w:rsidRPr="00551A71">
        <w:rPr>
          <w:sz w:val="24"/>
          <w:szCs w:val="24"/>
          <w:lang w:val="cs-CZ"/>
        </w:rPr>
        <w:tab/>
      </w:r>
      <w:r w:rsidRPr="00551A71">
        <w:rPr>
          <w:sz w:val="24"/>
          <w:szCs w:val="24"/>
          <w:lang w:val="cs-CZ"/>
        </w:rPr>
        <w:t xml:space="preserve">Souhrnná zpráva ze zasedání výboru PAFF konaného ve dnech 18.–19. září 2023, </w:t>
      </w:r>
      <w:r w:rsidR="00551A71" w:rsidRPr="00551A71">
        <w:rPr>
          <w:sz w:val="24"/>
          <w:szCs w:val="24"/>
        </w:rPr>
        <w:fldChar w:fldCharType="begin"/>
      </w:r>
      <w:r w:rsidR="00551A71" w:rsidRPr="00551A71">
        <w:rPr>
          <w:sz w:val="24"/>
          <w:szCs w:val="24"/>
          <w:lang w:val="cs-CZ"/>
        </w:rPr>
        <w:instrText xml:space="preserve"> HYPERLINK "https://ec.europa.eu/transparency/comitology-register/screen/documents/092486/1/consult?lan</w:instrText>
      </w:r>
      <w:r w:rsidR="00551A71" w:rsidRPr="00551A71">
        <w:rPr>
          <w:sz w:val="24"/>
          <w:szCs w:val="24"/>
          <w:lang w:val="cs-CZ"/>
        </w:rPr>
        <w:instrText xml:space="preserve">g=en" </w:instrText>
      </w:r>
      <w:r w:rsidR="00551A71" w:rsidRPr="00551A71">
        <w:rPr>
          <w:sz w:val="24"/>
          <w:szCs w:val="24"/>
        </w:rPr>
        <w:fldChar w:fldCharType="separate"/>
      </w:r>
      <w:r w:rsidRPr="00551A71">
        <w:rPr>
          <w:rStyle w:val="Hyperlink"/>
          <w:sz w:val="24"/>
          <w:szCs w:val="24"/>
          <w:lang w:val="cs-CZ"/>
        </w:rPr>
        <w:t>https://ec.europa.eu/transparency/comitology-register/screen/documents/092486/1/consult?lang=en</w:t>
      </w:r>
      <w:r w:rsidR="00551A71" w:rsidRPr="00551A71">
        <w:rPr>
          <w:rStyle w:val="Hyperlink"/>
          <w:sz w:val="24"/>
          <w:szCs w:val="24"/>
          <w:lang w:val="cs-CZ"/>
        </w:rPr>
        <w:fldChar w:fldCharType="end"/>
      </w:r>
      <w:r w:rsidRPr="00551A71">
        <w:rPr>
          <w:sz w:val="24"/>
          <w:szCs w:val="24"/>
          <w:lang w:val="cs-CZ"/>
        </w:rPr>
        <w:t>.</w:t>
      </w:r>
    </w:p>
  </w:footnote>
  <w:footnote w:id="12">
    <w:p w:rsidR="00B5402D" w:rsidRPr="00551A71" w:rsidRDefault="00B5402D" w:rsidP="00D676BA">
      <w:pPr>
        <w:pStyle w:val="FootnoteText"/>
        <w:ind w:left="567" w:hanging="567"/>
        <w:rPr>
          <w:sz w:val="24"/>
          <w:szCs w:val="24"/>
          <w:lang w:val="cs-CZ"/>
        </w:rPr>
      </w:pPr>
      <w:r w:rsidRPr="00551A71">
        <w:rPr>
          <w:rStyle w:val="FootnoteReference"/>
          <w:sz w:val="24"/>
          <w:szCs w:val="24"/>
          <w:lang w:val="cs-CZ"/>
        </w:rPr>
        <w:footnoteRef/>
      </w:r>
      <w:r w:rsidR="00D676BA" w:rsidRPr="00551A71">
        <w:rPr>
          <w:sz w:val="24"/>
          <w:szCs w:val="24"/>
          <w:lang w:val="cs-CZ"/>
        </w:rPr>
        <w:t xml:space="preserve"> </w:t>
      </w:r>
      <w:r w:rsidR="00D676BA" w:rsidRPr="00551A71">
        <w:rPr>
          <w:sz w:val="24"/>
          <w:szCs w:val="24"/>
          <w:lang w:val="cs-CZ"/>
        </w:rPr>
        <w:tab/>
      </w:r>
      <w:r w:rsidRPr="00551A71">
        <w:rPr>
          <w:sz w:val="24"/>
          <w:szCs w:val="24"/>
          <w:lang w:val="cs-CZ"/>
        </w:rPr>
        <w:t>Tamtéž.</w:t>
      </w:r>
    </w:p>
  </w:footnote>
  <w:footnote w:id="13">
    <w:p w:rsidR="00B5402D" w:rsidRPr="00551A71" w:rsidRDefault="00B5402D" w:rsidP="00D676BA">
      <w:pPr>
        <w:pStyle w:val="FootnoteText"/>
        <w:ind w:left="567" w:hanging="567"/>
        <w:rPr>
          <w:sz w:val="24"/>
          <w:szCs w:val="24"/>
          <w:lang w:val="cs-CZ"/>
        </w:rPr>
      </w:pPr>
      <w:r w:rsidRPr="00551A71">
        <w:rPr>
          <w:rStyle w:val="FootnoteReference"/>
          <w:sz w:val="24"/>
          <w:szCs w:val="24"/>
          <w:lang w:val="cs-CZ"/>
        </w:rPr>
        <w:footnoteRef/>
      </w:r>
      <w:r w:rsidR="00D676BA" w:rsidRPr="00551A71">
        <w:rPr>
          <w:sz w:val="24"/>
          <w:szCs w:val="24"/>
          <w:lang w:val="cs-CZ"/>
        </w:rPr>
        <w:t xml:space="preserve"> </w:t>
      </w:r>
      <w:r w:rsidR="00D676BA" w:rsidRPr="00551A71">
        <w:rPr>
          <w:sz w:val="24"/>
          <w:szCs w:val="24"/>
          <w:lang w:val="cs-CZ"/>
        </w:rPr>
        <w:tab/>
      </w:r>
      <w:r w:rsidRPr="00551A71">
        <w:rPr>
          <w:sz w:val="24"/>
          <w:szCs w:val="24"/>
          <w:lang w:val="cs-CZ"/>
        </w:rPr>
        <w:t>Odůvodněné stanovisko úřadu EFSA ze dne 9. února 2023.</w:t>
      </w:r>
    </w:p>
  </w:footnote>
  <w:footnote w:id="14">
    <w:p w:rsidR="00B5402D" w:rsidRPr="00551A71" w:rsidRDefault="00B5402D" w:rsidP="00D676BA">
      <w:pPr>
        <w:pStyle w:val="FootnoteText"/>
        <w:ind w:left="567" w:hanging="567"/>
        <w:rPr>
          <w:sz w:val="24"/>
          <w:szCs w:val="24"/>
          <w:lang w:val="cs-CZ"/>
        </w:rPr>
      </w:pPr>
      <w:r w:rsidRPr="00551A71">
        <w:rPr>
          <w:rStyle w:val="FootnoteReference"/>
          <w:sz w:val="24"/>
          <w:szCs w:val="24"/>
          <w:lang w:val="cs-CZ"/>
        </w:rPr>
        <w:footnoteRef/>
      </w:r>
      <w:r w:rsidR="00D676BA" w:rsidRPr="00551A71">
        <w:rPr>
          <w:sz w:val="24"/>
          <w:szCs w:val="24"/>
          <w:lang w:val="cs-CZ"/>
        </w:rPr>
        <w:t xml:space="preserve"> </w:t>
      </w:r>
      <w:r w:rsidR="00D676BA" w:rsidRPr="00551A71">
        <w:rPr>
          <w:sz w:val="24"/>
          <w:szCs w:val="24"/>
          <w:lang w:val="cs-CZ"/>
        </w:rPr>
        <w:tab/>
      </w:r>
      <w:r w:rsidRPr="00551A71">
        <w:rPr>
          <w:sz w:val="24"/>
          <w:szCs w:val="24"/>
          <w:lang w:val="cs-CZ"/>
        </w:rPr>
        <w:t xml:space="preserve">Van der </w:t>
      </w:r>
      <w:proofErr w:type="spellStart"/>
      <w:r w:rsidRPr="00551A71">
        <w:rPr>
          <w:sz w:val="24"/>
          <w:szCs w:val="24"/>
          <w:lang w:val="cs-CZ"/>
        </w:rPr>
        <w:t>Sluijs</w:t>
      </w:r>
      <w:proofErr w:type="spellEnd"/>
      <w:r w:rsidRPr="00551A71">
        <w:rPr>
          <w:sz w:val="24"/>
          <w:szCs w:val="24"/>
          <w:lang w:val="cs-CZ"/>
        </w:rPr>
        <w:t xml:space="preserve">, J. P., </w:t>
      </w:r>
      <w:proofErr w:type="spellStart"/>
      <w:r w:rsidRPr="00551A71">
        <w:rPr>
          <w:sz w:val="24"/>
          <w:szCs w:val="24"/>
          <w:lang w:val="cs-CZ"/>
        </w:rPr>
        <w:t>Vaage</w:t>
      </w:r>
      <w:proofErr w:type="spellEnd"/>
      <w:r w:rsidRPr="00551A71">
        <w:rPr>
          <w:sz w:val="24"/>
          <w:szCs w:val="24"/>
          <w:lang w:val="cs-CZ"/>
        </w:rPr>
        <w:t>, N. S., „</w:t>
      </w:r>
      <w:proofErr w:type="spellStart"/>
      <w:r w:rsidRPr="00551A71">
        <w:rPr>
          <w:sz w:val="24"/>
          <w:szCs w:val="24"/>
          <w:lang w:val="cs-CZ"/>
        </w:rPr>
        <w:t>Pollinators</w:t>
      </w:r>
      <w:proofErr w:type="spellEnd"/>
      <w:r w:rsidRPr="00551A71">
        <w:rPr>
          <w:sz w:val="24"/>
          <w:szCs w:val="24"/>
          <w:lang w:val="cs-CZ"/>
        </w:rPr>
        <w:t xml:space="preserve"> and </w:t>
      </w:r>
      <w:proofErr w:type="spellStart"/>
      <w:r w:rsidRPr="00551A71">
        <w:rPr>
          <w:sz w:val="24"/>
          <w:szCs w:val="24"/>
          <w:lang w:val="cs-CZ"/>
        </w:rPr>
        <w:t>Global</w:t>
      </w:r>
      <w:proofErr w:type="spellEnd"/>
      <w:r w:rsidRPr="00551A71">
        <w:rPr>
          <w:sz w:val="24"/>
          <w:szCs w:val="24"/>
          <w:lang w:val="cs-CZ"/>
        </w:rPr>
        <w:t xml:space="preserve"> Food </w:t>
      </w:r>
      <w:proofErr w:type="spellStart"/>
      <w:r w:rsidRPr="00551A71">
        <w:rPr>
          <w:sz w:val="24"/>
          <w:szCs w:val="24"/>
          <w:lang w:val="cs-CZ"/>
        </w:rPr>
        <w:t>Security</w:t>
      </w:r>
      <w:proofErr w:type="spellEnd"/>
      <w:r w:rsidRPr="00551A71">
        <w:rPr>
          <w:sz w:val="24"/>
          <w:szCs w:val="24"/>
          <w:lang w:val="cs-CZ"/>
        </w:rPr>
        <w:t xml:space="preserve">: </w:t>
      </w:r>
      <w:proofErr w:type="spellStart"/>
      <w:r w:rsidRPr="00551A71">
        <w:rPr>
          <w:sz w:val="24"/>
          <w:szCs w:val="24"/>
          <w:lang w:val="cs-CZ"/>
        </w:rPr>
        <w:t>the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Need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for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Holistic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Global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Stewardship</w:t>
      </w:r>
      <w:proofErr w:type="spellEnd"/>
      <w:r w:rsidRPr="00551A71">
        <w:rPr>
          <w:sz w:val="24"/>
          <w:szCs w:val="24"/>
          <w:lang w:val="cs-CZ"/>
        </w:rPr>
        <w:t xml:space="preserve">“, Food </w:t>
      </w:r>
      <w:proofErr w:type="spellStart"/>
      <w:r w:rsidRPr="00551A71">
        <w:rPr>
          <w:sz w:val="24"/>
          <w:szCs w:val="24"/>
          <w:lang w:val="cs-CZ"/>
        </w:rPr>
        <w:t>ethics</w:t>
      </w:r>
      <w:proofErr w:type="spellEnd"/>
      <w:r w:rsidRPr="00551A71">
        <w:rPr>
          <w:sz w:val="24"/>
          <w:szCs w:val="24"/>
          <w:lang w:val="cs-CZ"/>
        </w:rPr>
        <w:t xml:space="preserve"> 1, s. 75–91 (2016), </w:t>
      </w:r>
      <w:r w:rsidR="00551A71" w:rsidRPr="00551A71">
        <w:rPr>
          <w:sz w:val="24"/>
          <w:szCs w:val="24"/>
        </w:rPr>
        <w:fldChar w:fldCharType="begin"/>
      </w:r>
      <w:r w:rsidR="00551A71" w:rsidRPr="00551A71">
        <w:rPr>
          <w:sz w:val="24"/>
          <w:szCs w:val="24"/>
          <w:lang w:val="en-GB"/>
        </w:rPr>
        <w:instrText xml:space="preserve"> HYPERLINK "https://doi.org/10.1007/s41055-016-0003-z" </w:instrText>
      </w:r>
      <w:r w:rsidR="00551A71" w:rsidRPr="00551A71">
        <w:rPr>
          <w:sz w:val="24"/>
          <w:szCs w:val="24"/>
        </w:rPr>
        <w:fldChar w:fldCharType="separate"/>
      </w:r>
      <w:r w:rsidRPr="00551A71">
        <w:rPr>
          <w:rStyle w:val="Hyperlink"/>
          <w:sz w:val="24"/>
          <w:szCs w:val="24"/>
          <w:lang w:val="cs-CZ"/>
        </w:rPr>
        <w:t>https://doi.org/10.1007/s41055-016-0003-z</w:t>
      </w:r>
      <w:r w:rsidR="00551A71" w:rsidRPr="00551A71">
        <w:rPr>
          <w:rStyle w:val="Hyperlink"/>
          <w:sz w:val="24"/>
          <w:szCs w:val="24"/>
          <w:lang w:val="cs-CZ"/>
        </w:rPr>
        <w:fldChar w:fldCharType="end"/>
      </w:r>
      <w:r w:rsidRPr="00551A71">
        <w:rPr>
          <w:sz w:val="24"/>
          <w:szCs w:val="24"/>
          <w:lang w:val="cs-CZ"/>
        </w:rPr>
        <w:t>.</w:t>
      </w:r>
    </w:p>
  </w:footnote>
  <w:footnote w:id="15">
    <w:p w:rsidR="00B5402D" w:rsidRPr="00551A71" w:rsidRDefault="00B5402D" w:rsidP="00D676BA">
      <w:pPr>
        <w:pStyle w:val="FootnoteText"/>
        <w:ind w:left="567" w:hanging="567"/>
        <w:rPr>
          <w:iCs/>
          <w:sz w:val="24"/>
          <w:szCs w:val="24"/>
          <w:lang w:val="cs-CZ"/>
        </w:rPr>
      </w:pPr>
      <w:r w:rsidRPr="00551A71">
        <w:rPr>
          <w:iCs/>
          <w:sz w:val="24"/>
          <w:szCs w:val="24"/>
          <w:vertAlign w:val="superscript"/>
          <w:lang w:val="cs-CZ"/>
        </w:rPr>
        <w:footnoteRef/>
      </w:r>
      <w:r w:rsidR="00D676BA" w:rsidRPr="00551A71">
        <w:rPr>
          <w:sz w:val="24"/>
          <w:szCs w:val="24"/>
          <w:lang w:val="cs-CZ"/>
        </w:rPr>
        <w:t xml:space="preserve"> </w:t>
      </w:r>
      <w:r w:rsidR="00D676BA" w:rsidRPr="00551A71">
        <w:rPr>
          <w:sz w:val="24"/>
          <w:szCs w:val="24"/>
          <w:lang w:val="cs-CZ"/>
        </w:rPr>
        <w:tab/>
      </w:r>
      <w:r w:rsidRPr="00551A71">
        <w:rPr>
          <w:sz w:val="24"/>
          <w:szCs w:val="24"/>
          <w:lang w:val="cs-CZ"/>
        </w:rPr>
        <w:t>COM(2020)0381.</w:t>
      </w:r>
    </w:p>
  </w:footnote>
  <w:footnote w:id="16">
    <w:p w:rsidR="00B5402D" w:rsidRPr="00551A71" w:rsidRDefault="00B5402D" w:rsidP="00D676BA">
      <w:pPr>
        <w:pStyle w:val="FootnoteText"/>
        <w:ind w:left="567" w:hanging="567"/>
        <w:rPr>
          <w:sz w:val="24"/>
          <w:szCs w:val="24"/>
          <w:lang w:val="cs-CZ"/>
        </w:rPr>
      </w:pPr>
      <w:r w:rsidRPr="00551A71">
        <w:rPr>
          <w:rStyle w:val="FootnoteReference"/>
          <w:sz w:val="24"/>
          <w:szCs w:val="24"/>
          <w:lang w:val="cs-CZ"/>
        </w:rPr>
        <w:footnoteRef/>
      </w:r>
      <w:r w:rsidR="00D676BA" w:rsidRPr="00551A71">
        <w:rPr>
          <w:sz w:val="24"/>
          <w:szCs w:val="24"/>
          <w:lang w:val="cs-CZ"/>
        </w:rPr>
        <w:t xml:space="preserve"> </w:t>
      </w:r>
      <w:r w:rsidR="00D676BA" w:rsidRPr="00551A71">
        <w:rPr>
          <w:sz w:val="24"/>
          <w:szCs w:val="24"/>
          <w:lang w:val="cs-CZ"/>
        </w:rPr>
        <w:tab/>
      </w:r>
      <w:r w:rsidRPr="00551A71">
        <w:rPr>
          <w:sz w:val="24"/>
          <w:szCs w:val="24"/>
          <w:lang w:val="cs-CZ"/>
        </w:rPr>
        <w:t xml:space="preserve">Nařízení Komise (EU) 2023/334 ze dne 2. února 2023, kterým se mění přílohy II a V nařízení Evropského parlamentu a Rady (ES) č. 396/2005, pokud jde o maximální limity reziduí pro </w:t>
      </w:r>
      <w:proofErr w:type="spellStart"/>
      <w:r w:rsidRPr="00551A71">
        <w:rPr>
          <w:sz w:val="24"/>
          <w:szCs w:val="24"/>
          <w:lang w:val="cs-CZ"/>
        </w:rPr>
        <w:t>klothianidin</w:t>
      </w:r>
      <w:proofErr w:type="spellEnd"/>
      <w:r w:rsidRPr="00551A71">
        <w:rPr>
          <w:sz w:val="24"/>
          <w:szCs w:val="24"/>
          <w:lang w:val="cs-CZ"/>
        </w:rPr>
        <w:t xml:space="preserve"> a </w:t>
      </w:r>
      <w:proofErr w:type="spellStart"/>
      <w:r w:rsidRPr="00551A71">
        <w:rPr>
          <w:sz w:val="24"/>
          <w:szCs w:val="24"/>
          <w:lang w:val="cs-CZ"/>
        </w:rPr>
        <w:t>thiamethoxam</w:t>
      </w:r>
      <w:proofErr w:type="spellEnd"/>
      <w:r w:rsidRPr="00551A71">
        <w:rPr>
          <w:sz w:val="24"/>
          <w:szCs w:val="24"/>
          <w:lang w:val="cs-CZ"/>
        </w:rPr>
        <w:t xml:space="preserve"> v některých produktech a na jejich povrchu (</w:t>
      </w:r>
      <w:proofErr w:type="spellStart"/>
      <w:r w:rsidRPr="00551A71">
        <w:rPr>
          <w:sz w:val="24"/>
          <w:szCs w:val="24"/>
          <w:lang w:val="cs-CZ"/>
        </w:rPr>
        <w:t>Úř</w:t>
      </w:r>
      <w:proofErr w:type="spellEnd"/>
      <w:r w:rsidRPr="00551A71">
        <w:rPr>
          <w:sz w:val="24"/>
          <w:szCs w:val="24"/>
          <w:lang w:val="cs-CZ"/>
        </w:rPr>
        <w:t>. </w:t>
      </w:r>
      <w:proofErr w:type="spellStart"/>
      <w:r w:rsidRPr="00551A71">
        <w:rPr>
          <w:sz w:val="24"/>
          <w:szCs w:val="24"/>
          <w:lang w:val="cs-CZ"/>
        </w:rPr>
        <w:t>věst</w:t>
      </w:r>
      <w:proofErr w:type="spellEnd"/>
      <w:r w:rsidRPr="00551A71">
        <w:rPr>
          <w:sz w:val="24"/>
          <w:szCs w:val="24"/>
          <w:lang w:val="cs-CZ"/>
        </w:rPr>
        <w:t>. L 47, 15.2.2023, s. 29).</w:t>
      </w:r>
    </w:p>
  </w:footnote>
  <w:footnote w:id="17">
    <w:p w:rsidR="00B5402D" w:rsidRPr="00551A71" w:rsidRDefault="00B5402D" w:rsidP="00D676BA">
      <w:pPr>
        <w:pStyle w:val="FootnoteText"/>
        <w:ind w:left="567" w:hanging="567"/>
        <w:rPr>
          <w:sz w:val="24"/>
          <w:szCs w:val="24"/>
          <w:lang w:val="cs-CZ"/>
        </w:rPr>
      </w:pPr>
      <w:r w:rsidRPr="00551A71">
        <w:rPr>
          <w:rStyle w:val="FootnoteReference"/>
          <w:sz w:val="24"/>
          <w:szCs w:val="24"/>
          <w:lang w:val="cs-CZ"/>
        </w:rPr>
        <w:footnoteRef/>
      </w:r>
      <w:r w:rsidR="00D676BA" w:rsidRPr="00551A71">
        <w:rPr>
          <w:sz w:val="24"/>
          <w:szCs w:val="24"/>
          <w:lang w:val="cs-CZ"/>
        </w:rPr>
        <w:t xml:space="preserve"> </w:t>
      </w:r>
      <w:r w:rsidR="00D676BA" w:rsidRPr="00551A71">
        <w:rPr>
          <w:sz w:val="24"/>
          <w:szCs w:val="24"/>
          <w:lang w:val="cs-CZ"/>
        </w:rPr>
        <w:tab/>
      </w:r>
      <w:r w:rsidRPr="00551A71">
        <w:rPr>
          <w:sz w:val="24"/>
          <w:szCs w:val="24"/>
          <w:lang w:val="cs-CZ"/>
        </w:rPr>
        <w:t>Tamtéž.</w:t>
      </w:r>
    </w:p>
  </w:footnote>
  <w:footnote w:id="18">
    <w:p w:rsidR="00B5402D" w:rsidRPr="00551A71" w:rsidRDefault="00B5402D" w:rsidP="00D676BA">
      <w:pPr>
        <w:pStyle w:val="FootnoteText"/>
        <w:ind w:left="567" w:hanging="567"/>
        <w:rPr>
          <w:sz w:val="24"/>
          <w:szCs w:val="24"/>
          <w:lang w:val="cs-CZ"/>
        </w:rPr>
      </w:pPr>
      <w:r w:rsidRPr="00551A71">
        <w:rPr>
          <w:rStyle w:val="FootnoteReference"/>
          <w:sz w:val="24"/>
          <w:szCs w:val="24"/>
          <w:lang w:val="cs-CZ"/>
        </w:rPr>
        <w:footnoteRef/>
      </w:r>
      <w:r w:rsidR="00D676BA" w:rsidRPr="00551A71">
        <w:rPr>
          <w:sz w:val="24"/>
          <w:szCs w:val="24"/>
          <w:lang w:val="cs-CZ"/>
        </w:rPr>
        <w:t xml:space="preserve"> </w:t>
      </w:r>
      <w:r w:rsidR="00D676BA" w:rsidRPr="00551A71">
        <w:rPr>
          <w:sz w:val="24"/>
          <w:szCs w:val="24"/>
          <w:lang w:val="cs-CZ"/>
        </w:rPr>
        <w:tab/>
      </w:r>
      <w:r w:rsidRPr="00551A71">
        <w:rPr>
          <w:sz w:val="24"/>
          <w:szCs w:val="24"/>
          <w:lang w:val="cs-CZ"/>
        </w:rPr>
        <w:t xml:space="preserve">Souhrnná zpráva ze zasedání Stálého výboru pro rostliny, zvířata, potraviny a krmiva konaného ve dnech 10.–11. května 2023, </w:t>
      </w:r>
      <w:r w:rsidR="00551A71" w:rsidRPr="00551A71">
        <w:rPr>
          <w:sz w:val="24"/>
          <w:szCs w:val="24"/>
        </w:rPr>
        <w:fldChar w:fldCharType="begin"/>
      </w:r>
      <w:r w:rsidR="00551A71" w:rsidRPr="00551A71">
        <w:rPr>
          <w:sz w:val="24"/>
          <w:szCs w:val="24"/>
          <w:lang w:val="cs-CZ"/>
        </w:rPr>
        <w:instrText xml:space="preserve"> HYPERLINK "https://ec.europa.eu/transparency/comitology-register/screen/documents/090500/1/consult?lang=en" </w:instrText>
      </w:r>
      <w:r w:rsidR="00551A71" w:rsidRPr="00551A71">
        <w:rPr>
          <w:sz w:val="24"/>
          <w:szCs w:val="24"/>
        </w:rPr>
        <w:fldChar w:fldCharType="separate"/>
      </w:r>
      <w:r w:rsidRPr="00551A71">
        <w:rPr>
          <w:rStyle w:val="Hyperlink"/>
          <w:sz w:val="24"/>
          <w:szCs w:val="24"/>
          <w:lang w:val="cs-CZ"/>
        </w:rPr>
        <w:t>https://ec.europa.eu/transparency/comitology-register/screen/documents/090500/1/consult?lang=en</w:t>
      </w:r>
      <w:r w:rsidR="00551A71" w:rsidRPr="00551A71">
        <w:rPr>
          <w:rStyle w:val="Hyperlink"/>
          <w:sz w:val="24"/>
          <w:szCs w:val="24"/>
          <w:lang w:val="cs-CZ"/>
        </w:rPr>
        <w:fldChar w:fldCharType="end"/>
      </w:r>
      <w:r w:rsidRPr="00551A71">
        <w:rPr>
          <w:sz w:val="24"/>
          <w:szCs w:val="24"/>
          <w:lang w:val="cs-CZ"/>
        </w:rPr>
        <w:t>.</w:t>
      </w:r>
      <w:bookmarkStart w:id="6" w:name="_GoBack"/>
      <w:bookmarkEnd w:id="6"/>
    </w:p>
  </w:footnote>
  <w:footnote w:id="19">
    <w:p w:rsidR="00B5402D" w:rsidRPr="00551A71" w:rsidRDefault="00B5402D" w:rsidP="00D676BA">
      <w:pPr>
        <w:pStyle w:val="FootnoteText"/>
        <w:ind w:left="567" w:hanging="567"/>
        <w:rPr>
          <w:sz w:val="24"/>
          <w:szCs w:val="24"/>
          <w:lang w:val="cs-CZ"/>
        </w:rPr>
      </w:pPr>
      <w:r w:rsidRPr="00551A71">
        <w:rPr>
          <w:rStyle w:val="FootnoteReference"/>
          <w:sz w:val="24"/>
          <w:szCs w:val="24"/>
          <w:lang w:val="cs-CZ"/>
        </w:rPr>
        <w:footnoteRef/>
      </w:r>
      <w:r w:rsidR="00D676BA" w:rsidRPr="00551A71">
        <w:rPr>
          <w:sz w:val="24"/>
          <w:szCs w:val="24"/>
          <w:lang w:val="cs-CZ"/>
        </w:rPr>
        <w:t xml:space="preserve"> </w:t>
      </w:r>
      <w:r w:rsidR="00D676BA" w:rsidRPr="00551A71">
        <w:rPr>
          <w:sz w:val="24"/>
          <w:szCs w:val="24"/>
          <w:lang w:val="cs-CZ"/>
        </w:rPr>
        <w:tab/>
      </w:r>
      <w:proofErr w:type="spellStart"/>
      <w:r w:rsidRPr="00551A71">
        <w:rPr>
          <w:sz w:val="24"/>
          <w:szCs w:val="24"/>
          <w:lang w:val="cs-CZ"/>
        </w:rPr>
        <w:t>Ellis</w:t>
      </w:r>
      <w:proofErr w:type="spellEnd"/>
      <w:r w:rsidRPr="00551A71">
        <w:rPr>
          <w:sz w:val="24"/>
          <w:szCs w:val="24"/>
          <w:lang w:val="cs-CZ"/>
        </w:rPr>
        <w:t xml:space="preserve">, C., Park, K.J., </w:t>
      </w:r>
      <w:proofErr w:type="spellStart"/>
      <w:r w:rsidRPr="00551A71">
        <w:rPr>
          <w:sz w:val="24"/>
          <w:szCs w:val="24"/>
          <w:lang w:val="cs-CZ"/>
        </w:rPr>
        <w:t>Whitehorn</w:t>
      </w:r>
      <w:proofErr w:type="spellEnd"/>
      <w:r w:rsidRPr="00551A71">
        <w:rPr>
          <w:sz w:val="24"/>
          <w:szCs w:val="24"/>
          <w:lang w:val="cs-CZ"/>
        </w:rPr>
        <w:t xml:space="preserve">, P., David, A., </w:t>
      </w:r>
      <w:proofErr w:type="spellStart"/>
      <w:r w:rsidRPr="00551A71">
        <w:rPr>
          <w:sz w:val="24"/>
          <w:szCs w:val="24"/>
          <w:lang w:val="cs-CZ"/>
        </w:rPr>
        <w:t>Goulson</w:t>
      </w:r>
      <w:proofErr w:type="spellEnd"/>
      <w:r w:rsidRPr="00551A71">
        <w:rPr>
          <w:sz w:val="24"/>
          <w:szCs w:val="24"/>
          <w:lang w:val="cs-CZ"/>
        </w:rPr>
        <w:t>, D., „</w:t>
      </w:r>
      <w:proofErr w:type="spellStart"/>
      <w:r w:rsidRPr="00551A71">
        <w:rPr>
          <w:sz w:val="24"/>
          <w:szCs w:val="24"/>
          <w:lang w:val="cs-CZ"/>
        </w:rPr>
        <w:t>The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Neonicotinoid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Insecticide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Thiacloprid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Impacts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upon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Bumblebee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Colony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Development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under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Field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Conditions</w:t>
      </w:r>
      <w:proofErr w:type="spellEnd"/>
      <w:r w:rsidRPr="00551A71">
        <w:rPr>
          <w:sz w:val="24"/>
          <w:szCs w:val="24"/>
          <w:lang w:val="cs-CZ"/>
        </w:rPr>
        <w:t xml:space="preserve">“, </w:t>
      </w:r>
      <w:proofErr w:type="spellStart"/>
      <w:r w:rsidRPr="00551A71">
        <w:rPr>
          <w:sz w:val="24"/>
          <w:szCs w:val="24"/>
          <w:lang w:val="cs-CZ"/>
        </w:rPr>
        <w:t>Environmental</w:t>
      </w:r>
      <w:proofErr w:type="spellEnd"/>
      <w:r w:rsidRPr="00551A71">
        <w:rPr>
          <w:sz w:val="24"/>
          <w:szCs w:val="24"/>
          <w:lang w:val="cs-CZ"/>
        </w:rPr>
        <w:t xml:space="preserve"> Science &amp; Technology 2017, 51, 3, 1727–1732, </w:t>
      </w:r>
      <w:r w:rsidR="00551A71" w:rsidRPr="00551A71">
        <w:rPr>
          <w:sz w:val="24"/>
          <w:szCs w:val="24"/>
        </w:rPr>
        <w:fldChar w:fldCharType="begin"/>
      </w:r>
      <w:r w:rsidR="00551A71" w:rsidRPr="00551A71">
        <w:rPr>
          <w:sz w:val="24"/>
          <w:szCs w:val="24"/>
          <w:lang w:val="cs-CZ"/>
        </w:rPr>
        <w:instrText xml:space="preserve"> HYPERLINK "https://pubs.acs.org/doi/10.1021/acs.est.6b04791" </w:instrText>
      </w:r>
      <w:r w:rsidR="00551A71" w:rsidRPr="00551A71">
        <w:rPr>
          <w:sz w:val="24"/>
          <w:szCs w:val="24"/>
        </w:rPr>
        <w:fldChar w:fldCharType="separate"/>
      </w:r>
      <w:r w:rsidRPr="00551A71">
        <w:rPr>
          <w:rStyle w:val="Hyperlink"/>
          <w:sz w:val="24"/>
          <w:szCs w:val="24"/>
          <w:lang w:val="cs-CZ"/>
        </w:rPr>
        <w:t>https://pubs.acs.org/doi/10.1021/acs.est.6b04791</w:t>
      </w:r>
      <w:r w:rsidR="00551A71" w:rsidRPr="00551A71">
        <w:rPr>
          <w:rStyle w:val="Hyperlink"/>
          <w:sz w:val="24"/>
          <w:szCs w:val="24"/>
          <w:lang w:val="cs-CZ"/>
        </w:rPr>
        <w:fldChar w:fldCharType="end"/>
      </w:r>
      <w:r w:rsidRPr="00551A71">
        <w:rPr>
          <w:sz w:val="24"/>
          <w:szCs w:val="24"/>
          <w:lang w:val="cs-CZ"/>
        </w:rPr>
        <w:t>.</w:t>
      </w:r>
    </w:p>
  </w:footnote>
  <w:footnote w:id="20">
    <w:p w:rsidR="00B5402D" w:rsidRPr="00551A71" w:rsidRDefault="00B5402D" w:rsidP="00D676BA">
      <w:pPr>
        <w:pStyle w:val="FootnoteText"/>
        <w:ind w:left="567" w:hanging="567"/>
        <w:rPr>
          <w:sz w:val="24"/>
          <w:szCs w:val="24"/>
          <w:lang w:val="cs-CZ"/>
        </w:rPr>
      </w:pPr>
      <w:r w:rsidRPr="00551A71">
        <w:rPr>
          <w:rStyle w:val="FootnoteReference"/>
          <w:sz w:val="24"/>
          <w:szCs w:val="24"/>
          <w:lang w:val="cs-CZ"/>
        </w:rPr>
        <w:footnoteRef/>
      </w:r>
      <w:r w:rsidR="00D676BA" w:rsidRPr="00551A71">
        <w:rPr>
          <w:sz w:val="24"/>
          <w:szCs w:val="24"/>
          <w:lang w:val="cs-CZ"/>
        </w:rPr>
        <w:t xml:space="preserve"> </w:t>
      </w:r>
      <w:r w:rsidR="00D676BA" w:rsidRPr="00551A71">
        <w:rPr>
          <w:sz w:val="24"/>
          <w:szCs w:val="24"/>
          <w:lang w:val="cs-CZ"/>
        </w:rPr>
        <w:tab/>
      </w:r>
      <w:r w:rsidRPr="00551A71">
        <w:rPr>
          <w:sz w:val="24"/>
          <w:szCs w:val="24"/>
          <w:lang w:val="cs-CZ"/>
        </w:rPr>
        <w:t>Tamtéž.</w:t>
      </w:r>
    </w:p>
  </w:footnote>
  <w:footnote w:id="21">
    <w:p w:rsidR="00B5402D" w:rsidRPr="00551A71" w:rsidRDefault="00B5402D" w:rsidP="00D676BA">
      <w:pPr>
        <w:pStyle w:val="FootnoteText"/>
        <w:ind w:left="567" w:hanging="567"/>
        <w:rPr>
          <w:sz w:val="24"/>
          <w:szCs w:val="24"/>
          <w:lang w:val="cs-CZ"/>
        </w:rPr>
      </w:pPr>
      <w:r w:rsidRPr="00551A71">
        <w:rPr>
          <w:rStyle w:val="FootnoteReference"/>
          <w:sz w:val="24"/>
          <w:szCs w:val="24"/>
          <w:lang w:val="cs-CZ"/>
        </w:rPr>
        <w:footnoteRef/>
      </w:r>
      <w:r w:rsidR="00D676BA" w:rsidRPr="00551A71">
        <w:rPr>
          <w:sz w:val="24"/>
          <w:szCs w:val="24"/>
          <w:lang w:val="cs-CZ"/>
        </w:rPr>
        <w:t xml:space="preserve"> </w:t>
      </w:r>
      <w:r w:rsidR="00D676BA" w:rsidRPr="00551A71">
        <w:rPr>
          <w:sz w:val="24"/>
          <w:szCs w:val="24"/>
          <w:lang w:val="cs-CZ"/>
        </w:rPr>
        <w:tab/>
      </w:r>
      <w:proofErr w:type="spellStart"/>
      <w:r w:rsidRPr="00551A71">
        <w:rPr>
          <w:sz w:val="24"/>
          <w:szCs w:val="24"/>
          <w:lang w:val="cs-CZ"/>
        </w:rPr>
        <w:t>Brandt</w:t>
      </w:r>
      <w:proofErr w:type="spellEnd"/>
      <w:r w:rsidRPr="00551A71">
        <w:rPr>
          <w:sz w:val="24"/>
          <w:szCs w:val="24"/>
          <w:lang w:val="cs-CZ"/>
        </w:rPr>
        <w:t xml:space="preserve">, A., </w:t>
      </w:r>
      <w:proofErr w:type="spellStart"/>
      <w:r w:rsidRPr="00551A71">
        <w:rPr>
          <w:sz w:val="24"/>
          <w:szCs w:val="24"/>
          <w:lang w:val="cs-CZ"/>
        </w:rPr>
        <w:t>Gorenflo</w:t>
      </w:r>
      <w:proofErr w:type="spellEnd"/>
      <w:r w:rsidRPr="00551A71">
        <w:rPr>
          <w:sz w:val="24"/>
          <w:szCs w:val="24"/>
          <w:lang w:val="cs-CZ"/>
        </w:rPr>
        <w:t xml:space="preserve">, A., </w:t>
      </w:r>
      <w:proofErr w:type="spellStart"/>
      <w:r w:rsidRPr="00551A71">
        <w:rPr>
          <w:sz w:val="24"/>
          <w:szCs w:val="24"/>
          <w:lang w:val="cs-CZ"/>
        </w:rPr>
        <w:t>Siede</w:t>
      </w:r>
      <w:proofErr w:type="spellEnd"/>
      <w:r w:rsidRPr="00551A71">
        <w:rPr>
          <w:sz w:val="24"/>
          <w:szCs w:val="24"/>
          <w:lang w:val="cs-CZ"/>
        </w:rPr>
        <w:t xml:space="preserve">, R., Meixner, M., </w:t>
      </w:r>
      <w:proofErr w:type="spellStart"/>
      <w:r w:rsidRPr="00551A71">
        <w:rPr>
          <w:sz w:val="24"/>
          <w:szCs w:val="24"/>
          <w:lang w:val="cs-CZ"/>
        </w:rPr>
        <w:t>Büchler</w:t>
      </w:r>
      <w:proofErr w:type="spellEnd"/>
      <w:r w:rsidRPr="00551A71">
        <w:rPr>
          <w:sz w:val="24"/>
          <w:szCs w:val="24"/>
          <w:lang w:val="cs-CZ"/>
        </w:rPr>
        <w:t>, R., „</w:t>
      </w:r>
      <w:proofErr w:type="spellStart"/>
      <w:r w:rsidRPr="00551A71">
        <w:rPr>
          <w:sz w:val="24"/>
          <w:szCs w:val="24"/>
          <w:lang w:val="cs-CZ"/>
        </w:rPr>
        <w:t>The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neonicotinoids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thiacloprid</w:t>
      </w:r>
      <w:proofErr w:type="spellEnd"/>
      <w:r w:rsidRPr="00551A71">
        <w:rPr>
          <w:sz w:val="24"/>
          <w:szCs w:val="24"/>
          <w:lang w:val="cs-CZ"/>
        </w:rPr>
        <w:t xml:space="preserve">, </w:t>
      </w:r>
      <w:proofErr w:type="spellStart"/>
      <w:r w:rsidRPr="00551A71">
        <w:rPr>
          <w:sz w:val="24"/>
          <w:szCs w:val="24"/>
          <w:lang w:val="cs-CZ"/>
        </w:rPr>
        <w:t>imidacloprid</w:t>
      </w:r>
      <w:proofErr w:type="spellEnd"/>
      <w:r w:rsidRPr="00551A71">
        <w:rPr>
          <w:sz w:val="24"/>
          <w:szCs w:val="24"/>
          <w:lang w:val="cs-CZ"/>
        </w:rPr>
        <w:t xml:space="preserve">, and </w:t>
      </w:r>
      <w:proofErr w:type="spellStart"/>
      <w:r w:rsidRPr="00551A71">
        <w:rPr>
          <w:sz w:val="24"/>
          <w:szCs w:val="24"/>
          <w:lang w:val="cs-CZ"/>
        </w:rPr>
        <w:t>clothianidin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affect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the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immunocompetence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of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honey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bees</w:t>
      </w:r>
      <w:proofErr w:type="spellEnd"/>
      <w:r w:rsidRPr="00551A71">
        <w:rPr>
          <w:sz w:val="24"/>
          <w:szCs w:val="24"/>
          <w:lang w:val="cs-CZ"/>
        </w:rPr>
        <w:t xml:space="preserve"> (</w:t>
      </w:r>
      <w:proofErr w:type="spellStart"/>
      <w:r w:rsidRPr="00551A71">
        <w:rPr>
          <w:i/>
          <w:sz w:val="24"/>
          <w:szCs w:val="24"/>
          <w:lang w:val="cs-CZ"/>
        </w:rPr>
        <w:t>Apis</w:t>
      </w:r>
      <w:proofErr w:type="spellEnd"/>
      <w:r w:rsidRPr="00551A71">
        <w:rPr>
          <w:i/>
          <w:sz w:val="24"/>
          <w:szCs w:val="24"/>
          <w:lang w:val="cs-CZ"/>
        </w:rPr>
        <w:t xml:space="preserve"> </w:t>
      </w:r>
      <w:proofErr w:type="spellStart"/>
      <w:r w:rsidRPr="00551A71">
        <w:rPr>
          <w:i/>
          <w:sz w:val="24"/>
          <w:szCs w:val="24"/>
          <w:lang w:val="cs-CZ"/>
        </w:rPr>
        <w:t>mellifera</w:t>
      </w:r>
      <w:proofErr w:type="spellEnd"/>
      <w:r w:rsidRPr="00551A71">
        <w:rPr>
          <w:sz w:val="24"/>
          <w:szCs w:val="24"/>
          <w:lang w:val="cs-CZ"/>
        </w:rPr>
        <w:t xml:space="preserve"> L.)“, </w:t>
      </w:r>
      <w:proofErr w:type="spellStart"/>
      <w:r w:rsidRPr="00551A71">
        <w:rPr>
          <w:sz w:val="24"/>
          <w:szCs w:val="24"/>
          <w:lang w:val="cs-CZ"/>
        </w:rPr>
        <w:t>Journal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of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Insect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Physiology</w:t>
      </w:r>
      <w:proofErr w:type="spellEnd"/>
      <w:r w:rsidRPr="00551A71">
        <w:rPr>
          <w:sz w:val="24"/>
          <w:szCs w:val="24"/>
          <w:lang w:val="cs-CZ"/>
        </w:rPr>
        <w:t xml:space="preserve">, svazek 86, březen 2016, strany 40–47, </w:t>
      </w:r>
      <w:r w:rsidR="00551A71" w:rsidRPr="00551A71">
        <w:rPr>
          <w:sz w:val="24"/>
          <w:szCs w:val="24"/>
        </w:rPr>
        <w:fldChar w:fldCharType="begin"/>
      </w:r>
      <w:r w:rsidR="00551A71" w:rsidRPr="00551A71">
        <w:rPr>
          <w:sz w:val="24"/>
          <w:szCs w:val="24"/>
          <w:lang w:val="cs-CZ"/>
        </w:rPr>
        <w:instrText xml:space="preserve"> HYPERLINK "https://www.sciencedirect.com/science/article/pii/S0022</w:instrText>
      </w:r>
      <w:r w:rsidR="00551A71" w:rsidRPr="00551A71">
        <w:rPr>
          <w:sz w:val="24"/>
          <w:szCs w:val="24"/>
          <w:lang w:val="cs-CZ"/>
        </w:rPr>
        <w:instrText xml:space="preserve">191016300014" </w:instrText>
      </w:r>
      <w:r w:rsidR="00551A71" w:rsidRPr="00551A71">
        <w:rPr>
          <w:sz w:val="24"/>
          <w:szCs w:val="24"/>
        </w:rPr>
        <w:fldChar w:fldCharType="separate"/>
      </w:r>
      <w:r w:rsidRPr="00551A71">
        <w:rPr>
          <w:rStyle w:val="Hyperlink"/>
          <w:sz w:val="24"/>
          <w:szCs w:val="24"/>
          <w:lang w:val="cs-CZ"/>
        </w:rPr>
        <w:t>https://www.sciencedirect.com/science/article/pii/S0022191016300014</w:t>
      </w:r>
      <w:r w:rsidR="00551A71" w:rsidRPr="00551A71">
        <w:rPr>
          <w:rStyle w:val="Hyperlink"/>
          <w:sz w:val="24"/>
          <w:szCs w:val="24"/>
          <w:lang w:val="cs-CZ"/>
        </w:rPr>
        <w:fldChar w:fldCharType="end"/>
      </w:r>
      <w:r w:rsidRPr="00551A71">
        <w:rPr>
          <w:sz w:val="24"/>
          <w:szCs w:val="24"/>
          <w:lang w:val="cs-CZ"/>
        </w:rPr>
        <w:t>.</w:t>
      </w:r>
    </w:p>
  </w:footnote>
  <w:footnote w:id="22">
    <w:p w:rsidR="00B5402D" w:rsidRPr="00551A71" w:rsidRDefault="00B5402D" w:rsidP="00D676BA">
      <w:pPr>
        <w:pStyle w:val="FootnoteText"/>
        <w:keepNext/>
        <w:ind w:left="567" w:hanging="567"/>
        <w:rPr>
          <w:sz w:val="24"/>
          <w:szCs w:val="24"/>
          <w:lang w:val="cs-CZ"/>
        </w:rPr>
      </w:pPr>
      <w:r w:rsidRPr="00551A71">
        <w:rPr>
          <w:rStyle w:val="FootnoteReference"/>
          <w:sz w:val="24"/>
          <w:szCs w:val="24"/>
          <w:lang w:val="cs-CZ"/>
        </w:rPr>
        <w:footnoteRef/>
      </w:r>
      <w:r w:rsidR="00D676BA" w:rsidRPr="00551A71">
        <w:rPr>
          <w:sz w:val="24"/>
          <w:szCs w:val="24"/>
          <w:lang w:val="cs-CZ"/>
        </w:rPr>
        <w:t xml:space="preserve"> </w:t>
      </w:r>
      <w:r w:rsidR="00D676BA" w:rsidRPr="00551A71">
        <w:rPr>
          <w:sz w:val="24"/>
          <w:szCs w:val="24"/>
          <w:lang w:val="cs-CZ"/>
        </w:rPr>
        <w:tab/>
      </w:r>
      <w:proofErr w:type="spellStart"/>
      <w:r w:rsidRPr="00551A71">
        <w:rPr>
          <w:sz w:val="24"/>
          <w:szCs w:val="24"/>
          <w:lang w:val="cs-CZ"/>
        </w:rPr>
        <w:t>Tison</w:t>
      </w:r>
      <w:proofErr w:type="spellEnd"/>
      <w:r w:rsidRPr="00551A71">
        <w:rPr>
          <w:sz w:val="24"/>
          <w:szCs w:val="24"/>
          <w:lang w:val="cs-CZ"/>
        </w:rPr>
        <w:t xml:space="preserve">, L., Hahn, M.-L., </w:t>
      </w:r>
      <w:proofErr w:type="spellStart"/>
      <w:r w:rsidRPr="00551A71">
        <w:rPr>
          <w:sz w:val="24"/>
          <w:szCs w:val="24"/>
          <w:lang w:val="cs-CZ"/>
        </w:rPr>
        <w:t>Holtz</w:t>
      </w:r>
      <w:proofErr w:type="spellEnd"/>
      <w:r w:rsidRPr="00551A71">
        <w:rPr>
          <w:sz w:val="24"/>
          <w:szCs w:val="24"/>
          <w:lang w:val="cs-CZ"/>
        </w:rPr>
        <w:t xml:space="preserve">, S., </w:t>
      </w:r>
      <w:proofErr w:type="spellStart"/>
      <w:r w:rsidRPr="00551A71">
        <w:rPr>
          <w:sz w:val="24"/>
          <w:szCs w:val="24"/>
          <w:lang w:val="cs-CZ"/>
        </w:rPr>
        <w:t>Rößner</w:t>
      </w:r>
      <w:proofErr w:type="spellEnd"/>
      <w:r w:rsidRPr="00551A71">
        <w:rPr>
          <w:sz w:val="24"/>
          <w:szCs w:val="24"/>
          <w:lang w:val="cs-CZ"/>
        </w:rPr>
        <w:t xml:space="preserve"> A., </w:t>
      </w:r>
      <w:proofErr w:type="spellStart"/>
      <w:r w:rsidRPr="00551A71">
        <w:rPr>
          <w:sz w:val="24"/>
          <w:szCs w:val="24"/>
          <w:lang w:val="cs-CZ"/>
        </w:rPr>
        <w:t>Greggers</w:t>
      </w:r>
      <w:proofErr w:type="spellEnd"/>
      <w:r w:rsidRPr="00551A71">
        <w:rPr>
          <w:sz w:val="24"/>
          <w:szCs w:val="24"/>
          <w:lang w:val="cs-CZ"/>
        </w:rPr>
        <w:t xml:space="preserve">, U., </w:t>
      </w:r>
      <w:proofErr w:type="spellStart"/>
      <w:r w:rsidRPr="00551A71">
        <w:rPr>
          <w:sz w:val="24"/>
          <w:szCs w:val="24"/>
          <w:lang w:val="cs-CZ"/>
        </w:rPr>
        <w:t>Bischoff</w:t>
      </w:r>
      <w:proofErr w:type="spellEnd"/>
      <w:r w:rsidRPr="00551A71">
        <w:rPr>
          <w:sz w:val="24"/>
          <w:szCs w:val="24"/>
          <w:lang w:val="cs-CZ"/>
        </w:rPr>
        <w:t>, G., and Menzel, R., „</w:t>
      </w:r>
      <w:proofErr w:type="spellStart"/>
      <w:r w:rsidRPr="00551A71">
        <w:rPr>
          <w:sz w:val="24"/>
          <w:szCs w:val="24"/>
          <w:lang w:val="cs-CZ"/>
        </w:rPr>
        <w:t>Honey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Bees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Behavior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Is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Impaired</w:t>
      </w:r>
      <w:proofErr w:type="spellEnd"/>
      <w:r w:rsidRPr="00551A71">
        <w:rPr>
          <w:sz w:val="24"/>
          <w:szCs w:val="24"/>
          <w:lang w:val="cs-CZ"/>
        </w:rPr>
        <w:t xml:space="preserve"> by </w:t>
      </w:r>
      <w:proofErr w:type="spellStart"/>
      <w:r w:rsidRPr="00551A71">
        <w:rPr>
          <w:sz w:val="24"/>
          <w:szCs w:val="24"/>
          <w:lang w:val="cs-CZ"/>
        </w:rPr>
        <w:t>Chronic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Exposure</w:t>
      </w:r>
      <w:proofErr w:type="spellEnd"/>
      <w:r w:rsidRPr="00551A71">
        <w:rPr>
          <w:sz w:val="24"/>
          <w:szCs w:val="24"/>
          <w:lang w:val="cs-CZ"/>
        </w:rPr>
        <w:t xml:space="preserve"> to </w:t>
      </w:r>
      <w:proofErr w:type="spellStart"/>
      <w:r w:rsidRPr="00551A71">
        <w:rPr>
          <w:sz w:val="24"/>
          <w:szCs w:val="24"/>
          <w:lang w:val="cs-CZ"/>
        </w:rPr>
        <w:t>the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Neonicotinoid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Thiacloprid</w:t>
      </w:r>
      <w:proofErr w:type="spellEnd"/>
      <w:r w:rsidRPr="00551A71">
        <w:rPr>
          <w:sz w:val="24"/>
          <w:szCs w:val="24"/>
          <w:lang w:val="cs-CZ"/>
        </w:rPr>
        <w:t xml:space="preserve"> in </w:t>
      </w:r>
      <w:proofErr w:type="spellStart"/>
      <w:r w:rsidRPr="00551A71">
        <w:rPr>
          <w:sz w:val="24"/>
          <w:szCs w:val="24"/>
          <w:lang w:val="cs-CZ"/>
        </w:rPr>
        <w:t>the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Field</w:t>
      </w:r>
      <w:proofErr w:type="spellEnd"/>
      <w:r w:rsidRPr="00551A71">
        <w:rPr>
          <w:sz w:val="24"/>
          <w:szCs w:val="24"/>
          <w:lang w:val="cs-CZ"/>
        </w:rPr>
        <w:t xml:space="preserve">“, </w:t>
      </w:r>
      <w:proofErr w:type="spellStart"/>
      <w:r w:rsidRPr="00551A71">
        <w:rPr>
          <w:sz w:val="24"/>
          <w:szCs w:val="24"/>
          <w:lang w:val="cs-CZ"/>
        </w:rPr>
        <w:t>Environmental</w:t>
      </w:r>
      <w:proofErr w:type="spellEnd"/>
      <w:r w:rsidRPr="00551A71">
        <w:rPr>
          <w:sz w:val="24"/>
          <w:szCs w:val="24"/>
          <w:lang w:val="cs-CZ"/>
        </w:rPr>
        <w:t xml:space="preserve"> Science &amp; Technology 2016, 50, 13, 7218–7227, </w:t>
      </w:r>
      <w:r w:rsidR="00551A71" w:rsidRPr="00551A71">
        <w:rPr>
          <w:sz w:val="24"/>
          <w:szCs w:val="24"/>
        </w:rPr>
        <w:fldChar w:fldCharType="begin"/>
      </w:r>
      <w:r w:rsidR="00551A71" w:rsidRPr="00551A71">
        <w:rPr>
          <w:sz w:val="24"/>
          <w:szCs w:val="24"/>
          <w:lang w:val="en-GB"/>
        </w:rPr>
        <w:instrText xml:space="preserve"> HYPERLINK "https://pubs.acs.org/doi/full/10.1021/acs.est.6b02658" </w:instrText>
      </w:r>
      <w:r w:rsidR="00551A71" w:rsidRPr="00551A71">
        <w:rPr>
          <w:sz w:val="24"/>
          <w:szCs w:val="24"/>
        </w:rPr>
        <w:fldChar w:fldCharType="separate"/>
      </w:r>
      <w:r w:rsidRPr="00551A71">
        <w:rPr>
          <w:rStyle w:val="Hyperlink"/>
          <w:sz w:val="24"/>
          <w:szCs w:val="24"/>
          <w:lang w:val="cs-CZ"/>
        </w:rPr>
        <w:t>https://pubs.acs.org/doi/full/10.1021/acs.est.6b02658</w:t>
      </w:r>
      <w:r w:rsidR="00551A71" w:rsidRPr="00551A71">
        <w:rPr>
          <w:rStyle w:val="Hyperlink"/>
          <w:sz w:val="24"/>
          <w:szCs w:val="24"/>
          <w:lang w:val="cs-CZ"/>
        </w:rPr>
        <w:fldChar w:fldCharType="end"/>
      </w:r>
      <w:r w:rsidRPr="00551A71">
        <w:rPr>
          <w:sz w:val="24"/>
          <w:szCs w:val="24"/>
          <w:lang w:val="cs-CZ"/>
        </w:rPr>
        <w:t xml:space="preserve">. </w:t>
      </w:r>
    </w:p>
  </w:footnote>
  <w:footnote w:id="23">
    <w:p w:rsidR="00B5402D" w:rsidRPr="00551A71" w:rsidRDefault="00B5402D" w:rsidP="00D676BA">
      <w:pPr>
        <w:pStyle w:val="FootnoteText"/>
        <w:ind w:left="567" w:hanging="567"/>
        <w:rPr>
          <w:iCs/>
          <w:sz w:val="24"/>
          <w:szCs w:val="24"/>
          <w:lang w:val="cs-CZ"/>
        </w:rPr>
      </w:pPr>
      <w:r w:rsidRPr="00551A71">
        <w:rPr>
          <w:iCs/>
          <w:sz w:val="24"/>
          <w:szCs w:val="24"/>
          <w:vertAlign w:val="superscript"/>
          <w:lang w:val="cs-CZ"/>
        </w:rPr>
        <w:footnoteRef/>
      </w:r>
      <w:r w:rsidR="00D676BA" w:rsidRPr="00551A71">
        <w:rPr>
          <w:sz w:val="24"/>
          <w:szCs w:val="24"/>
          <w:lang w:val="cs-CZ"/>
        </w:rPr>
        <w:t xml:space="preserve"> </w:t>
      </w:r>
      <w:r w:rsidR="00D676BA" w:rsidRPr="00551A71">
        <w:rPr>
          <w:sz w:val="24"/>
          <w:szCs w:val="24"/>
          <w:lang w:val="cs-CZ"/>
        </w:rPr>
        <w:tab/>
      </w:r>
      <w:r w:rsidRPr="00551A71">
        <w:rPr>
          <w:sz w:val="24"/>
          <w:szCs w:val="24"/>
          <w:lang w:val="cs-CZ"/>
        </w:rPr>
        <w:t xml:space="preserve">Pisa, L., </w:t>
      </w:r>
      <w:proofErr w:type="spellStart"/>
      <w:r w:rsidRPr="00551A71">
        <w:rPr>
          <w:sz w:val="24"/>
          <w:szCs w:val="24"/>
          <w:lang w:val="cs-CZ"/>
        </w:rPr>
        <w:t>Goulson</w:t>
      </w:r>
      <w:proofErr w:type="spellEnd"/>
      <w:r w:rsidRPr="00551A71">
        <w:rPr>
          <w:sz w:val="24"/>
          <w:szCs w:val="24"/>
          <w:lang w:val="cs-CZ"/>
        </w:rPr>
        <w:t xml:space="preserve">, D., </w:t>
      </w:r>
      <w:proofErr w:type="spellStart"/>
      <w:r w:rsidRPr="00551A71">
        <w:rPr>
          <w:sz w:val="24"/>
          <w:szCs w:val="24"/>
          <w:lang w:val="cs-CZ"/>
        </w:rPr>
        <w:t>Yang</w:t>
      </w:r>
      <w:proofErr w:type="spellEnd"/>
      <w:r w:rsidRPr="00551A71">
        <w:rPr>
          <w:sz w:val="24"/>
          <w:szCs w:val="24"/>
          <w:lang w:val="cs-CZ"/>
        </w:rPr>
        <w:t>, E. C., et al., „</w:t>
      </w:r>
      <w:proofErr w:type="spellStart"/>
      <w:r w:rsidRPr="00551A71">
        <w:rPr>
          <w:sz w:val="24"/>
          <w:szCs w:val="24"/>
          <w:lang w:val="cs-CZ"/>
        </w:rPr>
        <w:t>An</w:t>
      </w:r>
      <w:proofErr w:type="spellEnd"/>
      <w:r w:rsidRPr="00551A71">
        <w:rPr>
          <w:sz w:val="24"/>
          <w:szCs w:val="24"/>
          <w:lang w:val="cs-CZ"/>
        </w:rPr>
        <w:t xml:space="preserve"> update </w:t>
      </w:r>
      <w:proofErr w:type="spellStart"/>
      <w:r w:rsidRPr="00551A71">
        <w:rPr>
          <w:sz w:val="24"/>
          <w:szCs w:val="24"/>
          <w:lang w:val="cs-CZ"/>
        </w:rPr>
        <w:t>of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the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Worldwide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Integrated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Assessment</w:t>
      </w:r>
      <w:proofErr w:type="spellEnd"/>
      <w:r w:rsidRPr="00551A71">
        <w:rPr>
          <w:sz w:val="24"/>
          <w:szCs w:val="24"/>
          <w:lang w:val="cs-CZ"/>
        </w:rPr>
        <w:t xml:space="preserve"> (WIA) on </w:t>
      </w:r>
      <w:proofErr w:type="spellStart"/>
      <w:r w:rsidRPr="00551A71">
        <w:rPr>
          <w:sz w:val="24"/>
          <w:szCs w:val="24"/>
          <w:lang w:val="cs-CZ"/>
        </w:rPr>
        <w:t>systemic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insecticides</w:t>
      </w:r>
      <w:proofErr w:type="spellEnd"/>
      <w:r w:rsidRPr="00551A71">
        <w:rPr>
          <w:sz w:val="24"/>
          <w:szCs w:val="24"/>
          <w:lang w:val="cs-CZ"/>
        </w:rPr>
        <w:t xml:space="preserve">. Part 2: </w:t>
      </w:r>
      <w:proofErr w:type="spellStart"/>
      <w:r w:rsidRPr="00551A71">
        <w:rPr>
          <w:sz w:val="24"/>
          <w:szCs w:val="24"/>
          <w:lang w:val="cs-CZ"/>
        </w:rPr>
        <w:t>impacts</w:t>
      </w:r>
      <w:proofErr w:type="spellEnd"/>
      <w:r w:rsidRPr="00551A71">
        <w:rPr>
          <w:sz w:val="24"/>
          <w:szCs w:val="24"/>
          <w:lang w:val="cs-CZ"/>
        </w:rPr>
        <w:t xml:space="preserve"> on </w:t>
      </w:r>
      <w:proofErr w:type="spellStart"/>
      <w:r w:rsidRPr="00551A71">
        <w:rPr>
          <w:sz w:val="24"/>
          <w:szCs w:val="24"/>
          <w:lang w:val="cs-CZ"/>
        </w:rPr>
        <w:t>organisms</w:t>
      </w:r>
      <w:proofErr w:type="spellEnd"/>
      <w:r w:rsidRPr="00551A71">
        <w:rPr>
          <w:sz w:val="24"/>
          <w:szCs w:val="24"/>
          <w:lang w:val="cs-CZ"/>
        </w:rPr>
        <w:t xml:space="preserve"> and </w:t>
      </w:r>
      <w:proofErr w:type="spellStart"/>
      <w:r w:rsidRPr="00551A71">
        <w:rPr>
          <w:sz w:val="24"/>
          <w:szCs w:val="24"/>
          <w:lang w:val="cs-CZ"/>
        </w:rPr>
        <w:t>ecosystems</w:t>
      </w:r>
      <w:proofErr w:type="spellEnd"/>
      <w:r w:rsidRPr="00551A71">
        <w:rPr>
          <w:sz w:val="24"/>
          <w:szCs w:val="24"/>
          <w:lang w:val="cs-CZ"/>
        </w:rPr>
        <w:t>“, </w:t>
      </w:r>
      <w:proofErr w:type="spellStart"/>
      <w:r w:rsidRPr="00551A71">
        <w:rPr>
          <w:sz w:val="24"/>
          <w:szCs w:val="24"/>
          <w:lang w:val="cs-CZ"/>
        </w:rPr>
        <w:t>Environmental</w:t>
      </w:r>
      <w:proofErr w:type="spellEnd"/>
      <w:r w:rsidRPr="00551A71">
        <w:rPr>
          <w:sz w:val="24"/>
          <w:szCs w:val="24"/>
          <w:lang w:val="cs-CZ"/>
        </w:rPr>
        <w:t xml:space="preserve"> Science and </w:t>
      </w:r>
      <w:proofErr w:type="spellStart"/>
      <w:r w:rsidRPr="00551A71">
        <w:rPr>
          <w:sz w:val="24"/>
          <w:szCs w:val="24"/>
          <w:lang w:val="cs-CZ"/>
        </w:rPr>
        <w:t>Pollution</w:t>
      </w:r>
      <w:proofErr w:type="spellEnd"/>
      <w:r w:rsidRPr="00551A71">
        <w:rPr>
          <w:sz w:val="24"/>
          <w:szCs w:val="24"/>
          <w:lang w:val="cs-CZ"/>
        </w:rPr>
        <w:t xml:space="preserve"> </w:t>
      </w:r>
      <w:proofErr w:type="spellStart"/>
      <w:r w:rsidRPr="00551A71">
        <w:rPr>
          <w:sz w:val="24"/>
          <w:szCs w:val="24"/>
          <w:lang w:val="cs-CZ"/>
        </w:rPr>
        <w:t>Research</w:t>
      </w:r>
      <w:proofErr w:type="spellEnd"/>
      <w:r w:rsidRPr="00551A71">
        <w:rPr>
          <w:sz w:val="24"/>
          <w:szCs w:val="24"/>
          <w:lang w:val="cs-CZ"/>
        </w:rPr>
        <w:t xml:space="preserve"> 28, 11749–11797 (2021), </w:t>
      </w:r>
      <w:hyperlink r:id="rId1" w:history="1">
        <w:r w:rsidRPr="00551A71">
          <w:rPr>
            <w:rStyle w:val="Hyperlink"/>
            <w:sz w:val="24"/>
            <w:szCs w:val="24"/>
            <w:lang w:val="cs-CZ"/>
          </w:rPr>
          <w:t>https://doi.org/10.1007/s11356-017-0341-3</w:t>
        </w:r>
      </w:hyperlink>
      <w:r w:rsidRPr="00551A71">
        <w:rPr>
          <w:sz w:val="24"/>
          <w:szCs w:val="24"/>
          <w:lang w:val="cs-CZ"/>
        </w:rPr>
        <w:t>.</w:t>
      </w:r>
    </w:p>
  </w:footnote>
  <w:footnote w:id="24">
    <w:p w:rsidR="00B5402D" w:rsidRPr="00551A71" w:rsidRDefault="00B5402D" w:rsidP="00D676BA">
      <w:pPr>
        <w:pStyle w:val="FootnoteText"/>
        <w:ind w:left="567" w:hanging="567"/>
        <w:rPr>
          <w:sz w:val="24"/>
          <w:szCs w:val="24"/>
          <w:lang w:val="cs-CZ"/>
        </w:rPr>
      </w:pPr>
      <w:r w:rsidRPr="00551A71">
        <w:rPr>
          <w:rStyle w:val="FootnoteReference"/>
          <w:sz w:val="24"/>
          <w:szCs w:val="24"/>
          <w:lang w:val="cs-CZ"/>
        </w:rPr>
        <w:footnoteRef/>
      </w:r>
      <w:r w:rsidR="00D676BA" w:rsidRPr="00551A71">
        <w:rPr>
          <w:sz w:val="24"/>
          <w:szCs w:val="24"/>
          <w:lang w:val="cs-CZ"/>
        </w:rPr>
        <w:t xml:space="preserve"> </w:t>
      </w:r>
      <w:r w:rsidR="00D676BA" w:rsidRPr="00551A71">
        <w:rPr>
          <w:sz w:val="24"/>
          <w:szCs w:val="24"/>
          <w:lang w:val="cs-CZ"/>
        </w:rPr>
        <w:tab/>
      </w:r>
      <w:r w:rsidR="00551A71" w:rsidRPr="00551A71">
        <w:rPr>
          <w:sz w:val="24"/>
          <w:szCs w:val="24"/>
        </w:rPr>
        <w:fldChar w:fldCharType="begin"/>
      </w:r>
      <w:r w:rsidR="00551A71" w:rsidRPr="00551A71">
        <w:rPr>
          <w:sz w:val="24"/>
          <w:szCs w:val="24"/>
          <w:lang w:val="cs-CZ"/>
        </w:rPr>
        <w:instrText xml:space="preserve"> HYPERLINK "https://ec.europa.eu/food/plant/pesticides/eu-pesticides-database/start/screen/active-substances/details/841" </w:instrText>
      </w:r>
      <w:r w:rsidR="00551A71" w:rsidRPr="00551A71">
        <w:rPr>
          <w:sz w:val="24"/>
          <w:szCs w:val="24"/>
        </w:rPr>
        <w:fldChar w:fldCharType="separate"/>
      </w:r>
      <w:r w:rsidRPr="00551A71">
        <w:rPr>
          <w:rStyle w:val="Hyperlink"/>
          <w:sz w:val="24"/>
          <w:szCs w:val="24"/>
          <w:lang w:val="cs-CZ"/>
        </w:rPr>
        <w:t>https://ec.europa.eu/food/plant/pesticides/eu-pesticides-database/start/screen/active-substances/details/841</w:t>
      </w:r>
      <w:r w:rsidR="00551A71" w:rsidRPr="00551A71">
        <w:rPr>
          <w:rStyle w:val="Hyperlink"/>
          <w:sz w:val="24"/>
          <w:szCs w:val="24"/>
          <w:lang w:val="cs-CZ"/>
        </w:rPr>
        <w:fldChar w:fldCharType="end"/>
      </w:r>
      <w:r w:rsidRPr="00551A71">
        <w:rPr>
          <w:sz w:val="24"/>
          <w:szCs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676B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676B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676B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57/2024"/>
    <w:docVar w:name="dvlangue" w:val="CS"/>
    <w:docVar w:name="dvnumam" w:val="0"/>
    <w:docVar w:name="dvpe" w:val="757.277"/>
    <w:docVar w:name="dvtitre" w:val="Usnesení Evropského parlamentu ze dne xx. ledna 2024 o návrhu nařízení Rady, kterým se mění příloha II nařízení Evropského parlamentu a Rady (ES) č. 396/2005, pokud jde o maximální limity reziduí pro thiakloprid v některých produktech a na jejich povrchu(COM(2023)0739 – 2023/3005(RPS))"/>
  </w:docVars>
  <w:rsids>
    <w:rsidRoot w:val="00C97D43"/>
    <w:rsid w:val="00002272"/>
    <w:rsid w:val="00031754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1A71"/>
    <w:rsid w:val="00560270"/>
    <w:rsid w:val="005C2568"/>
    <w:rsid w:val="006037C0"/>
    <w:rsid w:val="006631B6"/>
    <w:rsid w:val="00680577"/>
    <w:rsid w:val="006C6AB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2E0B"/>
    <w:rsid w:val="00A778C7"/>
    <w:rsid w:val="00AB441E"/>
    <w:rsid w:val="00AB6293"/>
    <w:rsid w:val="00AE0928"/>
    <w:rsid w:val="00AF3B82"/>
    <w:rsid w:val="00B12E95"/>
    <w:rsid w:val="00B22876"/>
    <w:rsid w:val="00B4289A"/>
    <w:rsid w:val="00B5402D"/>
    <w:rsid w:val="00B558F0"/>
    <w:rsid w:val="00BB3AC9"/>
    <w:rsid w:val="00BD48FE"/>
    <w:rsid w:val="00BD7BD8"/>
    <w:rsid w:val="00BE6ADC"/>
    <w:rsid w:val="00C05BFE"/>
    <w:rsid w:val="00C23CD4"/>
    <w:rsid w:val="00C61C0C"/>
    <w:rsid w:val="00C941CB"/>
    <w:rsid w:val="00C97D43"/>
    <w:rsid w:val="00CC2357"/>
    <w:rsid w:val="00CF071A"/>
    <w:rsid w:val="00D058B8"/>
    <w:rsid w:val="00D56C11"/>
    <w:rsid w:val="00D676BA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130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48B1B5-EC8C-4ACC-94BA-7C9F3CA95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5402D"/>
    <w:pPr>
      <w:spacing w:before="480" w:after="240"/>
    </w:pPr>
  </w:style>
  <w:style w:type="paragraph" w:customStyle="1" w:styleId="NormalHanging12a">
    <w:name w:val="NormalHanging12a"/>
    <w:basedOn w:val="Normal"/>
    <w:rsid w:val="00B5402D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B5402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BB3A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B3AC9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doi.org/10.1007/s11356-017-0341-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AAB6E-A3CD-4450-92CB-02DAB2905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2344</Words>
  <Characters>12999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2024-01-17T13:18:00Z</dcterms:created>
  <dcterms:modified xsi:type="dcterms:W3CDTF">2024-01-17T13:18:00Z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B9-0057/2024</vt:lpwstr>
  </property>
  <property fmtid="{D5CDD505-2E9C-101B-9397-08002B2CF9AE}" pid="4" name="&lt;Type&gt;">
    <vt:lpwstr>RR</vt:lpwstr>
  </property>
</Properties>
</file>