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E08CF" w:rsidTr="0010095E">
        <w:trPr>
          <w:trHeight w:hRule="exact" w:val="1418"/>
        </w:trPr>
        <w:tc>
          <w:tcPr>
            <w:tcW w:w="6804" w:type="dxa"/>
            <w:shd w:val="clear" w:color="auto" w:fill="auto"/>
            <w:vAlign w:val="center"/>
          </w:tcPr>
          <w:p w:rsidR="00751A4A" w:rsidRPr="001E08CF" w:rsidRDefault="0028130F" w:rsidP="0010095E">
            <w:pPr>
              <w:pStyle w:val="EPName"/>
            </w:pPr>
            <w:r w:rsidRPr="001E08CF">
              <w:t>Europa-Parlamentet</w:t>
            </w:r>
          </w:p>
          <w:p w:rsidR="00751A4A" w:rsidRPr="001E08CF" w:rsidRDefault="00817416" w:rsidP="00756632">
            <w:pPr>
              <w:pStyle w:val="EPTerm"/>
              <w:rPr>
                <w:rStyle w:val="HideTWBExt"/>
                <w:noProof w:val="0"/>
                <w:vanish w:val="0"/>
                <w:color w:val="auto"/>
              </w:rPr>
            </w:pPr>
            <w:r w:rsidRPr="001E08CF">
              <w:t>2019-2024</w:t>
            </w:r>
          </w:p>
        </w:tc>
        <w:tc>
          <w:tcPr>
            <w:tcW w:w="2268" w:type="dxa"/>
            <w:shd w:val="clear" w:color="auto" w:fill="auto"/>
          </w:tcPr>
          <w:p w:rsidR="00751A4A" w:rsidRPr="001E08CF" w:rsidRDefault="00187494" w:rsidP="0010095E">
            <w:pPr>
              <w:pStyle w:val="EPLogo"/>
            </w:pPr>
            <w:r w:rsidRPr="001E08C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E08CF" w:rsidRDefault="00D058B8" w:rsidP="004C5D52">
      <w:pPr>
        <w:pStyle w:val="LineTop"/>
      </w:pPr>
    </w:p>
    <w:p w:rsidR="00680577" w:rsidRPr="001E08CF" w:rsidRDefault="0028130F" w:rsidP="00680577">
      <w:pPr>
        <w:pStyle w:val="EPBodyTA1"/>
      </w:pPr>
      <w:r w:rsidRPr="001E08CF">
        <w:t>VEDTAGNE TEKSTER</w:t>
      </w:r>
    </w:p>
    <w:p w:rsidR="00D058B8" w:rsidRPr="001E08CF" w:rsidRDefault="00D058B8" w:rsidP="00D058B8">
      <w:pPr>
        <w:pStyle w:val="LineBottom"/>
      </w:pPr>
    </w:p>
    <w:p w:rsidR="0028130F" w:rsidRPr="00653904" w:rsidRDefault="0028130F" w:rsidP="0028130F">
      <w:pPr>
        <w:pStyle w:val="ATHeading1"/>
      </w:pPr>
      <w:bookmarkStart w:id="0" w:name="TANumber"/>
      <w:r w:rsidRPr="00653904">
        <w:t>P9_TA(2024)00</w:t>
      </w:r>
      <w:r w:rsidR="00992C56">
        <w:t>16</w:t>
      </w:r>
      <w:bookmarkEnd w:id="0"/>
    </w:p>
    <w:p w:rsidR="0028130F" w:rsidRPr="00653904" w:rsidRDefault="005C680D" w:rsidP="00653904">
      <w:pPr>
        <w:pStyle w:val="ATHeading2"/>
      </w:pPr>
      <w:bookmarkStart w:id="1" w:name="title"/>
      <w:r w:rsidRPr="00653904">
        <w:t xml:space="preserve">Indsigelse mod en delegeret retsakt: </w:t>
      </w:r>
      <w:r w:rsidR="0028130F" w:rsidRPr="00653904">
        <w:t>Maksimalgrænseværdierne for res</w:t>
      </w:r>
      <w:r w:rsidR="00ED188D" w:rsidRPr="00653904">
        <w:t xml:space="preserve">tkoncentrationer af </w:t>
      </w:r>
      <w:proofErr w:type="spellStart"/>
      <w:r w:rsidR="00ED188D" w:rsidRPr="00653904">
        <w:t>thiacloprid</w:t>
      </w:r>
      <w:bookmarkEnd w:id="1"/>
      <w:proofErr w:type="spellEnd"/>
    </w:p>
    <w:p w:rsidR="0028130F" w:rsidRPr="001E08CF" w:rsidRDefault="0028130F" w:rsidP="0028130F">
      <w:pPr>
        <w:rPr>
          <w:i/>
          <w:vanish/>
        </w:rPr>
      </w:pPr>
      <w:r w:rsidRPr="001E08CF">
        <w:rPr>
          <w:i/>
        </w:rPr>
        <w:fldChar w:fldCharType="begin"/>
      </w:r>
      <w:r w:rsidRPr="001E08CF">
        <w:rPr>
          <w:i/>
        </w:rPr>
        <w:instrText xml:space="preserve"> TC"(</w:instrText>
      </w:r>
      <w:bookmarkStart w:id="2" w:name="DocNumber"/>
      <w:r w:rsidRPr="001E08CF">
        <w:rPr>
          <w:i/>
        </w:rPr>
        <w:instrText>B9-0057/2024</w:instrText>
      </w:r>
      <w:bookmarkEnd w:id="2"/>
      <w:r w:rsidRPr="001E08CF">
        <w:rPr>
          <w:i/>
        </w:rPr>
        <w:instrText xml:space="preserve">)"\l3 \n&gt; \* MERGEFORMAT </w:instrText>
      </w:r>
      <w:r w:rsidRPr="001E08CF">
        <w:rPr>
          <w:i/>
        </w:rPr>
        <w:fldChar w:fldCharType="end"/>
      </w:r>
    </w:p>
    <w:p w:rsidR="0028130F" w:rsidRPr="00653904" w:rsidRDefault="0028130F" w:rsidP="0028130F">
      <w:pPr>
        <w:rPr>
          <w:vanish/>
        </w:rPr>
      </w:pPr>
      <w:bookmarkStart w:id="3" w:name="PE"/>
      <w:r w:rsidRPr="00050830">
        <w:rPr>
          <w:vanish/>
        </w:rPr>
        <w:t>PE757.277</w:t>
      </w:r>
      <w:bookmarkEnd w:id="3"/>
    </w:p>
    <w:p w:rsidR="0028130F" w:rsidRPr="00653904" w:rsidRDefault="0028130F" w:rsidP="0028130F">
      <w:pPr>
        <w:pStyle w:val="ATHeading3"/>
      </w:pPr>
      <w:bookmarkStart w:id="4" w:name="Sujet"/>
      <w:r w:rsidRPr="00653904">
        <w:t xml:space="preserve">Europa-Parlamentets beslutning af </w:t>
      </w:r>
      <w:r w:rsidR="00CD4F3F" w:rsidRPr="00653904">
        <w:t>17</w:t>
      </w:r>
      <w:r w:rsidRPr="00653904">
        <w:t xml:space="preserve">. januar 2024 om forslag til Rådets forordning om ændring af bilag II til Europa-Parlamentets og Rådets forordning (EF) nr. 396/2005 for så vidt angår maksimalgrænseværdierne for restkoncentrationer af </w:t>
      </w:r>
      <w:proofErr w:type="spellStart"/>
      <w:r w:rsidRPr="00653904">
        <w:t>thiacloprid</w:t>
      </w:r>
      <w:proofErr w:type="spellEnd"/>
      <w:r w:rsidRPr="00653904">
        <w:t xml:space="preserve"> i eller på visse produkter</w:t>
      </w:r>
      <w:bookmarkEnd w:id="4"/>
      <w:r w:rsidRPr="00653904">
        <w:t xml:space="preserve"> </w:t>
      </w:r>
      <w:bookmarkStart w:id="5" w:name="References"/>
      <w:r w:rsidRPr="00653904">
        <w:t>(</w:t>
      </w:r>
      <w:proofErr w:type="gramStart"/>
      <w:r w:rsidRPr="00653904">
        <w:t>COM(</w:t>
      </w:r>
      <w:proofErr w:type="gramEnd"/>
      <w:r w:rsidRPr="00653904">
        <w:t>2023)0739 – 2023/3005(RPS))</w:t>
      </w:r>
      <w:bookmarkEnd w:id="5"/>
    </w:p>
    <w:p w:rsidR="005F5714" w:rsidRPr="00050830" w:rsidRDefault="005F5714" w:rsidP="005F5714">
      <w:pPr>
        <w:pStyle w:val="EPComma"/>
      </w:pPr>
      <w:bookmarkStart w:id="6" w:name="TextBodyBegin"/>
      <w:bookmarkEnd w:id="6"/>
      <w:r w:rsidRPr="001E08CF">
        <w:rPr>
          <w:i/>
        </w:rPr>
        <w:t>Europa-Parlamentet,</w:t>
      </w:r>
    </w:p>
    <w:p w:rsidR="005F5714" w:rsidRPr="00653904" w:rsidRDefault="005F5714" w:rsidP="00B03710">
      <w:pPr>
        <w:pStyle w:val="NormalHanging12a"/>
      </w:pPr>
      <w:r w:rsidRPr="00653904">
        <w:t>–</w:t>
      </w:r>
      <w:r w:rsidRPr="00653904">
        <w:tab/>
        <w:t xml:space="preserve">der henviser til forslag til Rådets forordning om ændring af bilag II til Europa-Parlamentets og Rådets forordning (EF) nr. 396/2005 for så vidt angår maksimalgrænseværdierne for </w:t>
      </w:r>
      <w:proofErr w:type="spellStart"/>
      <w:r w:rsidRPr="00653904">
        <w:t>thiacloprid</w:t>
      </w:r>
      <w:proofErr w:type="spellEnd"/>
      <w:r w:rsidRPr="00653904">
        <w:t xml:space="preserve"> i eller på visse produkter (</w:t>
      </w:r>
      <w:proofErr w:type="gramStart"/>
      <w:r w:rsidRPr="00653904">
        <w:t>COM(</w:t>
      </w:r>
      <w:proofErr w:type="gramEnd"/>
      <w:r w:rsidRPr="00653904">
        <w:t>2023)0739),</w:t>
      </w:r>
    </w:p>
    <w:p w:rsidR="005F5714" w:rsidRPr="00050830" w:rsidRDefault="005F5714" w:rsidP="00B03710">
      <w:pPr>
        <w:pStyle w:val="NormalHanging12a"/>
        <w:rPr>
          <w:szCs w:val="24"/>
        </w:rPr>
      </w:pPr>
      <w:r w:rsidRPr="00653904">
        <w:t>–</w:t>
      </w:r>
      <w:r w:rsidRPr="00653904">
        <w:tab/>
        <w:t>der henviser til Europa-Parlamentets og Rådets forordning (EF) nr. 396/2005 af 23. februar 2005 om maksimalgrænseværdier for pesticidrester i eller på vegetabilske og animalske fødevarer og foderstoffer og om ændring af Rådets direktiv 91/414/EØF</w:t>
      </w:r>
      <w:r w:rsidRPr="001E08CF">
        <w:rPr>
          <w:rStyle w:val="FootnoteReference"/>
        </w:rPr>
        <w:footnoteReference w:id="1"/>
      </w:r>
      <w:r w:rsidRPr="001E08CF">
        <w:t xml:space="preserve">, navnlig artikel 14, stk. 1, litra a), og artikel 49, stk. 2, </w:t>
      </w:r>
    </w:p>
    <w:p w:rsidR="005F5714" w:rsidRPr="00050830" w:rsidRDefault="005F5714" w:rsidP="00B03710">
      <w:pPr>
        <w:pStyle w:val="NormalHanging12a"/>
        <w:rPr>
          <w:szCs w:val="24"/>
        </w:rPr>
      </w:pPr>
      <w:r w:rsidRPr="00653904">
        <w:t>–</w:t>
      </w:r>
      <w:r w:rsidRPr="00653904">
        <w:tab/>
        <w:t>der henviser til Europa-Parlamentets og Rådets forordning (EF) nr. 1107/2009 af 21. oktober 2009 om markedsføring af plantebeskyttelsesmidler og om ophævelse af Rådets direktiv 79/117/EØF og 91/414/EØF</w:t>
      </w:r>
      <w:r w:rsidRPr="001E08CF">
        <w:rPr>
          <w:rStyle w:val="FootnoteReference"/>
          <w:szCs w:val="24"/>
        </w:rPr>
        <w:footnoteReference w:id="2"/>
      </w:r>
      <w:r w:rsidRPr="001E08CF">
        <w:t>, navnlig artikel 4, stk. 1 og artikel 4, stk. 2, litra a), samt afsnit 3.6.4 i bilag II,</w:t>
      </w:r>
    </w:p>
    <w:p w:rsidR="005F5714" w:rsidRPr="00050830" w:rsidRDefault="005F5714" w:rsidP="00B03710">
      <w:pPr>
        <w:pStyle w:val="NormalHanging12a"/>
        <w:rPr>
          <w:szCs w:val="24"/>
        </w:rPr>
      </w:pPr>
      <w:r w:rsidRPr="00653904">
        <w:t>–</w:t>
      </w:r>
      <w:r w:rsidRPr="00653904">
        <w:tab/>
        <w:t>der henviser til Europa-Parlamentets og Rådets forordning (EF) nr. 178/2002 af 28. januar 2002 om generelle principper og krav i fødevarelovgivningen, om oprettelse af Den Europæiske Fødevaresikkerhedsautoritet og om procedurer vedrørende fødevaresikkerhed</w:t>
      </w:r>
      <w:r w:rsidRPr="001E08CF">
        <w:rPr>
          <w:rStyle w:val="FootnoteReference"/>
          <w:szCs w:val="24"/>
        </w:rPr>
        <w:footnoteReference w:id="3"/>
      </w:r>
      <w:r w:rsidRPr="001E08CF">
        <w:t>, navnlig artikel 5, stk. 1,</w:t>
      </w:r>
    </w:p>
    <w:p w:rsidR="005F5714" w:rsidRPr="00653904" w:rsidRDefault="005F5714" w:rsidP="00B03710">
      <w:pPr>
        <w:pStyle w:val="NormalHanging12a"/>
        <w:rPr>
          <w:szCs w:val="24"/>
        </w:rPr>
      </w:pPr>
      <w:r w:rsidRPr="00653904">
        <w:t>–</w:t>
      </w:r>
      <w:r w:rsidRPr="00653904">
        <w:tab/>
        <w:t>der henviser til artikel 11, 13, 168 og 191 i traktaten om Den Europæiske Unions funktionsmåde,</w:t>
      </w:r>
    </w:p>
    <w:p w:rsidR="005F5714" w:rsidRPr="001E08CF" w:rsidRDefault="005F5714" w:rsidP="00B03710">
      <w:pPr>
        <w:pStyle w:val="NormalHanging12a"/>
      </w:pPr>
      <w:r w:rsidRPr="00653904">
        <w:t>–</w:t>
      </w:r>
      <w:r w:rsidRPr="00653904">
        <w:tab/>
        <w:t xml:space="preserve">der henviser til den begrundede udtalelse, der blev vedtaget af Den Europæiske Fødevaresikkerhedsautoritet (EFSA) den 9. februar 2023 og offentliggjort den </w:t>
      </w:r>
      <w:r w:rsidRPr="00653904">
        <w:lastRenderedPageBreak/>
        <w:t>15. marts 2023</w:t>
      </w:r>
      <w:r w:rsidRPr="001E08CF">
        <w:rPr>
          <w:rStyle w:val="FootnoteReference"/>
        </w:rPr>
        <w:footnoteReference w:id="4"/>
      </w:r>
      <w:r w:rsidRPr="001E08CF">
        <w:t>,</w:t>
      </w:r>
    </w:p>
    <w:p w:rsidR="005F5714" w:rsidRPr="001E08CF" w:rsidRDefault="005F5714" w:rsidP="00B03710">
      <w:pPr>
        <w:pStyle w:val="NormalHanging12a"/>
        <w:rPr>
          <w:szCs w:val="24"/>
        </w:rPr>
      </w:pPr>
      <w:r w:rsidRPr="00653904">
        <w:t>–</w:t>
      </w:r>
      <w:r w:rsidRPr="00653904">
        <w:tab/>
        <w:t>der henviser til den konklusion om pesticider, der blev fagfællebedømt af EFSA den 17. januar 2019 og offentliggjort den 14. marts 2019</w:t>
      </w:r>
      <w:r w:rsidRPr="001E08CF">
        <w:rPr>
          <w:rStyle w:val="FootnoteReference"/>
          <w:szCs w:val="24"/>
        </w:rPr>
        <w:footnoteReference w:id="5"/>
      </w:r>
      <w:r w:rsidRPr="001E08CF">
        <w:t>,</w:t>
      </w:r>
    </w:p>
    <w:p w:rsidR="005F5714" w:rsidRPr="001E08CF" w:rsidRDefault="005F5714" w:rsidP="00B03710">
      <w:pPr>
        <w:pStyle w:val="NormalHanging12a"/>
        <w:rPr>
          <w:szCs w:val="24"/>
        </w:rPr>
      </w:pPr>
      <w:r w:rsidRPr="00653904">
        <w:t>–</w:t>
      </w:r>
      <w:r w:rsidRPr="00653904">
        <w:tab/>
        <w:t>der henviser til udtalelse vedtaget af Udvalget for Risikovurdering (RAC) under Det Europæiske Kemikalieagentur (ECHA) den 12. marts 2015</w:t>
      </w:r>
      <w:r w:rsidRPr="001E08CF">
        <w:rPr>
          <w:rStyle w:val="FootnoteReference"/>
          <w:szCs w:val="24"/>
        </w:rPr>
        <w:footnoteReference w:id="6"/>
      </w:r>
      <w:r w:rsidRPr="001E08CF">
        <w:t>,</w:t>
      </w:r>
    </w:p>
    <w:p w:rsidR="005F5714" w:rsidRPr="001E08CF" w:rsidRDefault="005F5714" w:rsidP="00B03710">
      <w:pPr>
        <w:pStyle w:val="NormalHanging12a"/>
        <w:rPr>
          <w:szCs w:val="24"/>
        </w:rPr>
      </w:pPr>
      <w:r w:rsidRPr="00653904">
        <w:t>–</w:t>
      </w:r>
      <w:r w:rsidRPr="00653904">
        <w:tab/>
        <w:t>der henviser til artikel 5a, stk. 4, litra e), og artikel 5a, stk. 5 i Rådets afgørelse 1999/468/EF af 28. juni 1999 om fastsættelse af de nærmere vilkår for udøvelsen af de gennemførelsesbeføjelser, der tillægges Kommissionen</w:t>
      </w:r>
      <w:r w:rsidRPr="001E08CF">
        <w:rPr>
          <w:rStyle w:val="FootnoteReference"/>
          <w:szCs w:val="24"/>
        </w:rPr>
        <w:footnoteReference w:id="7"/>
      </w:r>
      <w:r w:rsidRPr="001E08CF">
        <w:t>,</w:t>
      </w:r>
    </w:p>
    <w:p w:rsidR="005F5714" w:rsidRPr="00653904" w:rsidRDefault="005F5714" w:rsidP="00B03710">
      <w:pPr>
        <w:pStyle w:val="NormalHanging12a"/>
      </w:pPr>
      <w:r w:rsidRPr="00653904">
        <w:t>–</w:t>
      </w:r>
      <w:r w:rsidRPr="00653904">
        <w:tab/>
        <w:t>der henviser til forretningsordenens artikel 112, stk. 2 og 3, og stk. 4, litra c),</w:t>
      </w:r>
    </w:p>
    <w:p w:rsidR="005F5714" w:rsidRPr="00653904" w:rsidRDefault="005F5714" w:rsidP="00B03710">
      <w:pPr>
        <w:pStyle w:val="NormalHanging12a"/>
      </w:pPr>
      <w:r w:rsidRPr="00653904">
        <w:t>–</w:t>
      </w:r>
      <w:r w:rsidRPr="00653904">
        <w:tab/>
        <w:t>der henviser til forslag til beslutning fra Udvalget om Miljø, Folkesundhed og Fødevaresikkerhed,</w:t>
      </w:r>
    </w:p>
    <w:p w:rsidR="005F5714" w:rsidRPr="00653904" w:rsidRDefault="005F5714" w:rsidP="00B03710">
      <w:pPr>
        <w:pStyle w:val="NormalHanging12a"/>
      </w:pPr>
      <w:r w:rsidRPr="00653904">
        <w:t>A.</w:t>
      </w:r>
      <w:r w:rsidRPr="00653904">
        <w:tab/>
        <w:t xml:space="preserve">der henviser til, at </w:t>
      </w:r>
      <w:proofErr w:type="spellStart"/>
      <w:r w:rsidRPr="00653904">
        <w:t>thiacloprid</w:t>
      </w:r>
      <w:proofErr w:type="spellEnd"/>
      <w:r w:rsidRPr="00653904">
        <w:t xml:space="preserve"> er et aktivt stof i insekticider, der hovedsagelig anvendes på bomuld, kernefrugt, grøntsager og kartofler;</w:t>
      </w:r>
    </w:p>
    <w:p w:rsidR="005F5714" w:rsidRPr="00653904" w:rsidRDefault="005F5714" w:rsidP="00B03710">
      <w:pPr>
        <w:pStyle w:val="NormalHanging12a"/>
      </w:pPr>
      <w:r w:rsidRPr="00653904">
        <w:t>B.</w:t>
      </w:r>
      <w:r w:rsidRPr="00653904">
        <w:tab/>
        <w:t xml:space="preserve">der henviser til, at godkendelsen af aktivstoffet </w:t>
      </w:r>
      <w:proofErr w:type="spellStart"/>
      <w:r w:rsidRPr="00653904">
        <w:t>thiacloprid</w:t>
      </w:r>
      <w:proofErr w:type="spellEnd"/>
      <w:r w:rsidRPr="00653904">
        <w:t xml:space="preserve"> udløb den 3. februar 2020 og ikke blev fornyet i henhold til Kommissionens gennemførelsesforordning (EU) 2020/23</w:t>
      </w:r>
      <w:r w:rsidRPr="001E08CF">
        <w:rPr>
          <w:rStyle w:val="FootnoteReference"/>
        </w:rPr>
        <w:footnoteReference w:id="8"/>
      </w:r>
      <w:r w:rsidRPr="001E08CF">
        <w:t xml:space="preserve">; der henviser til, at afviklingsperioden for plantebeskyttelsesmidler, der indeholder </w:t>
      </w:r>
      <w:proofErr w:type="spellStart"/>
      <w:r w:rsidRPr="001E08CF">
        <w:t>thiacloprid</w:t>
      </w:r>
      <w:proofErr w:type="spellEnd"/>
      <w:r w:rsidRPr="001E08CF">
        <w:t>, udløb den 3. februar 2021;</w:t>
      </w:r>
    </w:p>
    <w:p w:rsidR="005F5714" w:rsidRPr="00050830" w:rsidRDefault="005F5714" w:rsidP="00B03710">
      <w:pPr>
        <w:pStyle w:val="NormalHanging12a"/>
      </w:pPr>
      <w:r w:rsidRPr="00653904">
        <w:t>C.</w:t>
      </w:r>
      <w:r w:rsidRPr="00653904">
        <w:tab/>
        <w:t xml:space="preserve">der henviser til, at godkendelsen af aktivstoffet </w:t>
      </w:r>
      <w:proofErr w:type="spellStart"/>
      <w:r w:rsidRPr="00653904">
        <w:t>thiacloprid</w:t>
      </w:r>
      <w:proofErr w:type="spellEnd"/>
      <w:r w:rsidRPr="00653904">
        <w:t xml:space="preserve"> ikke blev fornyet, da det med hensyn til et eller flere repræsentative anvendelsesformål for mindst ét plantebeskyttelsesmiddel ikke kunne fastslås, at godkendelseskriterierne i artikel 4 i forordning (EF) nr. 1107/2009 var opfyldt; der henviser til, at EFSA navnlig identificerede to kritiske områder, der giver anledning til bekymring; der henviser til, at det første kritiske område, der giver anledning til bekymring, vedrørte indikationen af </w:t>
      </w:r>
      <w:r w:rsidRPr="00653904">
        <w:lastRenderedPageBreak/>
        <w:t xml:space="preserve">forurening af grundvandet med flere relevante </w:t>
      </w:r>
      <w:proofErr w:type="spellStart"/>
      <w:r w:rsidRPr="00653904">
        <w:t>metabolitter</w:t>
      </w:r>
      <w:proofErr w:type="spellEnd"/>
      <w:r w:rsidRPr="00653904">
        <w:t xml:space="preserve"> af </w:t>
      </w:r>
      <w:proofErr w:type="spellStart"/>
      <w:r w:rsidRPr="00653904">
        <w:t>thiacloprid</w:t>
      </w:r>
      <w:proofErr w:type="spellEnd"/>
      <w:r w:rsidRPr="00653904">
        <w:t>, hvis kræftfremkaldende potentiale ikke kunne udelukkes (M30, M34 og M46) over parametergrænsen for drikkevand på 0,1 µg/l for alle repræsentative anvendelser</w:t>
      </w:r>
      <w:r w:rsidRPr="001E08CF">
        <w:rPr>
          <w:rStyle w:val="FootnoteReference"/>
        </w:rPr>
        <w:footnoteReference w:id="9"/>
      </w:r>
      <w:r w:rsidRPr="001E08CF">
        <w:t xml:space="preserve">; der henviser til, at det andet kritiske område, der giver anledning til bekymring, vedrørte </w:t>
      </w:r>
      <w:proofErr w:type="spellStart"/>
      <w:r w:rsidRPr="001E08CF">
        <w:t>ECHA's</w:t>
      </w:r>
      <w:proofErr w:type="spellEnd"/>
      <w:r w:rsidRPr="001E08CF">
        <w:t xml:space="preserve"> harmoniserede klassificering af </w:t>
      </w:r>
      <w:proofErr w:type="spellStart"/>
      <w:r w:rsidRPr="001E08CF">
        <w:t>thiacloprid</w:t>
      </w:r>
      <w:proofErr w:type="spellEnd"/>
      <w:r w:rsidRPr="001E08CF">
        <w:t xml:space="preserve"> som formodet at kunne skade forplantningsevnen eller det ufødte ba</w:t>
      </w:r>
      <w:r w:rsidRPr="00050830">
        <w:t>rn (reproduktionstoksicitet farekategori 1B) i overensstemmelse med Europa-Parlamentets og Rådets forordning (EF) nr. 1272/2008</w:t>
      </w:r>
      <w:r w:rsidRPr="001E08CF">
        <w:rPr>
          <w:rStyle w:val="FootnoteReference"/>
        </w:rPr>
        <w:footnoteReference w:id="10"/>
      </w:r>
      <w:r w:rsidRPr="001E08CF">
        <w:t xml:space="preserve"> om at gøre </w:t>
      </w:r>
      <w:proofErr w:type="spellStart"/>
      <w:r w:rsidRPr="001E08CF">
        <w:t>thiacloprid</w:t>
      </w:r>
      <w:proofErr w:type="spellEnd"/>
      <w:r w:rsidRPr="001E08CF">
        <w:t xml:space="preserve"> til et "afskæringsstof", jf. artikel 4, stk. 1, i forordning (EF) nr. 1107/2009; </w:t>
      </w:r>
    </w:p>
    <w:p w:rsidR="005F5714" w:rsidRPr="00653904" w:rsidRDefault="005F5714" w:rsidP="00B03710">
      <w:pPr>
        <w:pStyle w:val="NormalHanging12a"/>
      </w:pPr>
      <w:r w:rsidRPr="00653904">
        <w:t>D.</w:t>
      </w:r>
      <w:r w:rsidRPr="00653904">
        <w:tab/>
        <w:t>der henviser til, at EFSA også konkluderede, at vurderingen af risiciene for bier og landplanter, der ikke er målarter, ikke kunne afsluttes;</w:t>
      </w:r>
    </w:p>
    <w:p w:rsidR="005F5714" w:rsidRPr="00653904" w:rsidRDefault="005F5714" w:rsidP="00B03710">
      <w:pPr>
        <w:pStyle w:val="NormalHanging12a"/>
      </w:pPr>
      <w:r w:rsidRPr="00653904">
        <w:t>E.</w:t>
      </w:r>
      <w:r w:rsidRPr="00653904">
        <w:tab/>
        <w:t xml:space="preserve">der henviser til, at </w:t>
      </w:r>
      <w:proofErr w:type="spellStart"/>
      <w:r w:rsidRPr="00653904">
        <w:t>thiacloprid</w:t>
      </w:r>
      <w:proofErr w:type="spellEnd"/>
      <w:r w:rsidRPr="00653904">
        <w:t xml:space="preserve"> i overensstemmelse med forordning (EF) nr. 1272/2008 også er klassificeret som at være mistænkt for at fremkalde kræft (kræftfremkaldende i kategori 2), meget giftig for vandlevende organismer (Vandmiljø akut 1) og meget giftig for vandlevende organismer med langvarig virkning (Vandmiljø kronisk 1);</w:t>
      </w:r>
    </w:p>
    <w:p w:rsidR="005F5714" w:rsidRPr="00050830" w:rsidRDefault="005F5714" w:rsidP="00B03710">
      <w:pPr>
        <w:pStyle w:val="NormalHanging12a"/>
      </w:pPr>
      <w:r w:rsidRPr="00653904">
        <w:t>F.</w:t>
      </w:r>
      <w:r w:rsidRPr="00653904">
        <w:tab/>
        <w:t>der henviser til, at Den Stående Komité for Planter, Dyr, Fødevarer og Foder ikke har afgivet udtalelse om forslaget til Rådets forordning; der henviser til, at der på mødet i Den Stående Komité for Planter, Dyr, Fødevarer og Foder den 18.-19. september 2023 var "[o]</w:t>
      </w:r>
      <w:proofErr w:type="spellStart"/>
      <w:r w:rsidRPr="00653904">
        <w:t>tte</w:t>
      </w:r>
      <w:proofErr w:type="spellEnd"/>
      <w:r w:rsidRPr="00653904">
        <w:t xml:space="preserve"> medlemsstater, der ikke støttede udkastet til forordning. Seks af dem nævnte først og fremmest deres betænkeligheder med hensyn til at opretholde </w:t>
      </w:r>
      <w:proofErr w:type="spellStart"/>
      <w:r w:rsidRPr="00653904">
        <w:t>Codex</w:t>
      </w:r>
      <w:proofErr w:type="spellEnd"/>
      <w:r w:rsidRPr="00653904">
        <w:t>-maksimalgrænseværdier (CXL'er) og importtolerancer for et ikke-godkendt stof, som opfylder afskæringskriterierne i forordning (EF) nr. 1107/2009 (reproduktionstoksicitet). Desuden havde én medlemsstat, der ikke støttede udkastet til forordning, betænkeligheder med hensyn til, at EFSA havde angivet overskridelser af den akutte referencedosis for visse produkter under visse atypiske omstændigheder, og en anden nævnte forskelsbehandling af EU's landbrugere, som ikke længere anvender plantebeskyttelsesmidler, der indeholder dette aktivstof, mens landbrugere i tredjelande stadig kan anvende det, hvilket fører til illoyal konkurrence"</w:t>
      </w:r>
      <w:r w:rsidRPr="001E08CF">
        <w:rPr>
          <w:rStyle w:val="FootnoteReference"/>
        </w:rPr>
        <w:footnoteReference w:id="11"/>
      </w:r>
      <w:r w:rsidRPr="001E08CF">
        <w:t>;</w:t>
      </w:r>
    </w:p>
    <w:p w:rsidR="005F5714" w:rsidRPr="00050830" w:rsidRDefault="005F5714" w:rsidP="00B03710">
      <w:pPr>
        <w:pStyle w:val="NormalHanging12a"/>
      </w:pPr>
      <w:r w:rsidRPr="00653904">
        <w:t>G.</w:t>
      </w:r>
      <w:r w:rsidRPr="00653904">
        <w:tab/>
        <w:t>der henviser til, at Tyskland anmodede om, at følgende erklæring medtages i den sammenfattende rapport fra mødet i Den Stående Komité for Planter, Dyr, Fødevarer og Foder, der blev afholdt den 18.-19. september 2023: "</w:t>
      </w:r>
      <w:proofErr w:type="spellStart"/>
      <w:r w:rsidRPr="00653904">
        <w:t>Thiacloprid</w:t>
      </w:r>
      <w:proofErr w:type="spellEnd"/>
      <w:r w:rsidRPr="00653904">
        <w:t xml:space="preserve"> er et afskæringsaktivstof i henhold til forordning (EF) nr. 1107/2009. Under proceduren for fornyet godkendelse af aktivstoffet blev det fastslået, at det opfylder afskæringskriterierne, da det er klassificeret som reproduktionstoksicitet 1B. Aktivstoffet blev derfor ikke godkendt på ny. Tyskland støtter generelt ikke fastsættelsen af [maksimalgrænseværdier for restkoncentrationer] for aktivstoffer, der ikke er godkendt i EU på grund af sundhedsmæssige betænkeligheder. Det afgørende er her, at afskæringskriterierne er blevet fastsat inden for rammerne af (gen-</w:t>
      </w:r>
      <w:r w:rsidRPr="00653904">
        <w:lastRenderedPageBreak/>
        <w:t>)godkendelsesproceduren for et aktivstof i henhold til forordning (EF) nr. 1107/2009."</w:t>
      </w:r>
      <w:r w:rsidRPr="001E08CF">
        <w:rPr>
          <w:rStyle w:val="FootnoteReference"/>
        </w:rPr>
        <w:footnoteReference w:id="12"/>
      </w:r>
      <w:r w:rsidRPr="001E08CF">
        <w:t>;</w:t>
      </w:r>
    </w:p>
    <w:p w:rsidR="005F5714" w:rsidRPr="00653904" w:rsidRDefault="005F5714" w:rsidP="00B03710">
      <w:pPr>
        <w:pStyle w:val="NormalHanging12a"/>
      </w:pPr>
      <w:r w:rsidRPr="00653904">
        <w:t>H.</w:t>
      </w:r>
      <w:r w:rsidRPr="00653904">
        <w:tab/>
      </w:r>
      <w:r w:rsidR="00730E74" w:rsidRPr="00730E74">
        <w:t xml:space="preserve">De gældende maksimalgrænseværdier for restkoncentrationer, der er fastsat for </w:t>
      </w:r>
      <w:proofErr w:type="spellStart"/>
      <w:r w:rsidR="00730E74" w:rsidRPr="00730E74">
        <w:t>thiacloprid</w:t>
      </w:r>
      <w:proofErr w:type="spellEnd"/>
      <w:r w:rsidR="00730E74" w:rsidRPr="00730E74">
        <w:t xml:space="preserve"> i bilag II til forordning (EF) nr. 396/2005, jf. samme forordnings artikel 17 sammenholdt med artikel 14, stk. 1, litra a), bør derfor udgå;</w:t>
      </w:r>
      <w:bookmarkStart w:id="7" w:name="_GoBack"/>
      <w:bookmarkEnd w:id="7"/>
    </w:p>
    <w:p w:rsidR="005F5714" w:rsidRPr="00050830" w:rsidRDefault="005F5714" w:rsidP="00B03710">
      <w:pPr>
        <w:pStyle w:val="NormalHanging12a"/>
      </w:pPr>
      <w:r w:rsidRPr="00653904">
        <w:t>I.</w:t>
      </w:r>
      <w:r w:rsidRPr="00653904">
        <w:tab/>
        <w:t xml:space="preserve">der henviser til, at Kommissionen i forslaget til Rådets forordning imidlertid foreslår at opretholde maksimalgrænseværdier for restkoncentrationer for </w:t>
      </w:r>
      <w:proofErr w:type="spellStart"/>
      <w:r w:rsidRPr="00653904">
        <w:t>thiacloprid</w:t>
      </w:r>
      <w:proofErr w:type="spellEnd"/>
      <w:r w:rsidRPr="00653904">
        <w:t xml:space="preserve"> over bestemmelsesgrænsen for mere end 30 produkter til importformål på grundlag af </w:t>
      </w:r>
      <w:proofErr w:type="spellStart"/>
      <w:r w:rsidRPr="00653904">
        <w:t>EFSA's</w:t>
      </w:r>
      <w:proofErr w:type="spellEnd"/>
      <w:r w:rsidRPr="00653904">
        <w:t xml:space="preserve"> begrundede udtalelse</w:t>
      </w:r>
      <w:r w:rsidRPr="001E08CF">
        <w:rPr>
          <w:rStyle w:val="FootnoteReference"/>
        </w:rPr>
        <w:footnoteReference w:id="13"/>
      </w:r>
      <w:r w:rsidRPr="001E08CF">
        <w:t>;</w:t>
      </w:r>
    </w:p>
    <w:p w:rsidR="005F5714" w:rsidRPr="00653904" w:rsidRDefault="005F5714" w:rsidP="00B03710">
      <w:pPr>
        <w:pStyle w:val="NormalHanging12a"/>
      </w:pPr>
      <w:r w:rsidRPr="00653904">
        <w:t>J.</w:t>
      </w:r>
      <w:r w:rsidRPr="00653904">
        <w:tab/>
        <w:t xml:space="preserve">der henviser til, at de anvendelser, hvor maksimalgrænseværdier for restkoncentrationer over maksimalgrænseværdierne betragtes som værende sikre, omfatter brugen af </w:t>
      </w:r>
      <w:proofErr w:type="spellStart"/>
      <w:r w:rsidRPr="00653904">
        <w:t>thiacloprid</w:t>
      </w:r>
      <w:proofErr w:type="spellEnd"/>
      <w:r w:rsidRPr="00653904">
        <w:t xml:space="preserve"> på papajaer, te, trænødder, kvæder, mispel, japanmispel/</w:t>
      </w:r>
      <w:proofErr w:type="spellStart"/>
      <w:r w:rsidRPr="00653904">
        <w:t>loquat</w:t>
      </w:r>
      <w:proofErr w:type="spellEnd"/>
      <w:r w:rsidRPr="00653904">
        <w:t>, abrikoser, kirsebær (søde), blommer, jordbær, brombær, korbær, andre små frugter og bær, kiwier, kartofler, tomater, auberginer/</w:t>
      </w:r>
      <w:proofErr w:type="spellStart"/>
      <w:r w:rsidRPr="00653904">
        <w:t>ægplanter</w:t>
      </w:r>
      <w:proofErr w:type="spellEnd"/>
      <w:r w:rsidRPr="00653904">
        <w:t>, meloner, vandmeloner, ris, hvede, animalske (svin, kvæg, får, heste, fjerkræ og andre husdyr) produkter af væv (muskel, lever, nyre og spiselige slagtebiprodukter), mælk og æg, hindbær, agurker, courgetter, rapsfrø, sennepsfrø og bomuldsfrø; der henviser til, at de maksimalgrænseværdier for restkoncentrationer, der foreslås for disse anvendelser, varierer fra to gange bestemmelsesgrænsen til tusind gange bestemmelsesgrænsen (for anvendelse på te);</w:t>
      </w:r>
    </w:p>
    <w:p w:rsidR="005F5714" w:rsidRPr="00653904" w:rsidRDefault="005F5714" w:rsidP="00B03710">
      <w:pPr>
        <w:pStyle w:val="NormalHanging12a"/>
      </w:pPr>
      <w:r w:rsidRPr="00653904">
        <w:t>K.</w:t>
      </w:r>
      <w:r w:rsidRPr="00653904">
        <w:tab/>
        <w:t xml:space="preserve">der henviser til, at anmodningen om importtolerancer derimod kun blev afvist for to anvendelser (på ferskner og peberfrugter), eftersom en overskridelse af den akutte referencedosis ikke kan udelukkes, og at Kommissionen derfor foreslog at sænke maksimalgrænseværdier for restkoncentrationer for </w:t>
      </w:r>
      <w:proofErr w:type="spellStart"/>
      <w:r w:rsidRPr="00653904">
        <w:t>thiacloprid</w:t>
      </w:r>
      <w:proofErr w:type="spellEnd"/>
      <w:r w:rsidRPr="00653904">
        <w:t xml:space="preserve"> til bestemmelsesgrænsen for disse anvendelser; </w:t>
      </w:r>
    </w:p>
    <w:p w:rsidR="005F5714" w:rsidRPr="00653904" w:rsidRDefault="005F5714" w:rsidP="00B03710">
      <w:pPr>
        <w:pStyle w:val="NormalHanging12a"/>
      </w:pPr>
      <w:r w:rsidRPr="00653904">
        <w:t>L.</w:t>
      </w:r>
      <w:r w:rsidRPr="00653904">
        <w:tab/>
        <w:t xml:space="preserve">der henviser til, at forordning (EF) nr. 396/2005 fastsætter, at restkoncentrationer ikke bør forekomme i mængder, der udgør en uacceptabel risiko for mennesker og, hvor det er relevant, for dyr; </w:t>
      </w:r>
    </w:p>
    <w:p w:rsidR="005F5714" w:rsidRPr="00653904" w:rsidRDefault="005F5714" w:rsidP="00B03710">
      <w:pPr>
        <w:pStyle w:val="NormalHanging12a"/>
      </w:pPr>
      <w:r w:rsidRPr="00653904">
        <w:t>M.</w:t>
      </w:r>
      <w:r w:rsidRPr="00653904">
        <w:tab/>
        <w:t xml:space="preserve">der henviser til, at artikel 4, stk. 2, litra a), i forordning (EF) nr. 1107/2009 fastsætter, at restkoncentrationer af plantebeskyttelsesmidler ikke må have skadelige virkninger på menneskers sundhed, herunder sårbare gruppers, eller på dyrs sundhed, idet kendte kumulative og </w:t>
      </w:r>
      <w:proofErr w:type="spellStart"/>
      <w:r w:rsidRPr="00653904">
        <w:t>synergistiske</w:t>
      </w:r>
      <w:proofErr w:type="spellEnd"/>
      <w:r w:rsidRPr="00653904">
        <w:t xml:space="preserve"> virkninger tages i betragtning; der henviser til, at det i punkt 3.6.4 i bilag II til nævnte forordning fastsættes, at et aktivstof, der i overensstemmelse med forordning (EF) nr. 1272/2008 er klassificeret som reproduktionstoksicitet kategori 1A eller 1B, ikke godkendes, medmindre "restkoncentrationerne af det pågældende aktivstof i fødevarer og foder ikke overstiger den standardværdi, der er fastsat i henhold til artikel 18, stk. 1, litra b), i forordning (EF) nr. 396/2005"; der henviser til, at artikel 18, stk. 1, litra b), i forordning (EF) nr. 396/2005 fastsætter en standardværdi på 0,01 mg/kg;</w:t>
      </w:r>
    </w:p>
    <w:p w:rsidR="005F5714" w:rsidRPr="00653904" w:rsidRDefault="005F5714" w:rsidP="00B03710">
      <w:pPr>
        <w:pStyle w:val="NormalHanging12a"/>
      </w:pPr>
      <w:r w:rsidRPr="00653904">
        <w:t>N.</w:t>
      </w:r>
      <w:r w:rsidRPr="00653904">
        <w:tab/>
        <w:t xml:space="preserve">der henviser til, at det i artikel 3, stk. 2, litra g), i forordning (EF) nr. 396/2005 er fastsat, at importtolerancen er en maksimalgrænseværdi for restkoncentration, der er fastsat for importerede produkter, når "anvendelsen af aktivstoffet i et plantebeskyttelsesmiddel på et givet produkt ikke er tilladt i Fællesskabet af andre </w:t>
      </w:r>
      <w:r w:rsidRPr="00653904">
        <w:lastRenderedPageBreak/>
        <w:t xml:space="preserve">årsager end folkesundhedsmæssige hensyn til det specifikke produkt og den specifikke anvendelse"; der henviser til, at </w:t>
      </w:r>
      <w:proofErr w:type="spellStart"/>
      <w:r w:rsidRPr="00653904">
        <w:t>thiacloprid</w:t>
      </w:r>
      <w:proofErr w:type="spellEnd"/>
      <w:r w:rsidRPr="00653904">
        <w:t xml:space="preserve"> ikke opfylder disse kriterier, da det er blevet forbudt af sundhedsmæssige årsager, fordi det er klassificeret som reproduktionstoksicitet kategori 1B;</w:t>
      </w:r>
    </w:p>
    <w:p w:rsidR="005F5714" w:rsidRPr="00653904" w:rsidRDefault="005F5714" w:rsidP="00B03710">
      <w:pPr>
        <w:pStyle w:val="NormalHanging12a"/>
      </w:pPr>
      <w:r w:rsidRPr="00653904">
        <w:t>O.</w:t>
      </w:r>
      <w:r w:rsidRPr="00653904">
        <w:tab/>
        <w:t>der henviser til, at fødevarelovgivningen i henhold til artikel 5, stk. 1, i forordning (EF) nr. 178/2002 skal forfølge en eller flere af de generelle målsætninger om et højt niveau for beskyttelse af menneskers liv og sundhed og beskyttelse af forbrugernes interesser, herunder redelig praksis i handelen med fødevarer, om nødvendigt under hensyntagen til beskyttelsen af dyrs sundhed og velfærd, planters sundhed og miljøet;</w:t>
      </w:r>
    </w:p>
    <w:p w:rsidR="005F5714" w:rsidRPr="001E08CF" w:rsidRDefault="005F5714" w:rsidP="00B03710">
      <w:pPr>
        <w:pStyle w:val="NormalHanging12a"/>
      </w:pPr>
      <w:r w:rsidRPr="00653904">
        <w:t>P.</w:t>
      </w:r>
      <w:r w:rsidRPr="00653904">
        <w:tab/>
        <w:t xml:space="preserve">der henviser til, at den nuværende </w:t>
      </w:r>
      <w:proofErr w:type="spellStart"/>
      <w:r w:rsidRPr="00653904">
        <w:t>bestøverkrise</w:t>
      </w:r>
      <w:proofErr w:type="spellEnd"/>
      <w:r w:rsidRPr="00653904">
        <w:t xml:space="preserve"> er en af de største trusler mod biodiversiteten og den globale og lokale fødevaresikkerhed; der henviser til, at denne krise kan forværre problemerne med skjult sult, udhule økosystemernes modstandsdygtighed og destabilisere økosystemer, der udgør vores livsstøttesystem</w:t>
      </w:r>
      <w:r w:rsidRPr="001E08CF">
        <w:rPr>
          <w:rStyle w:val="FootnoteReference"/>
        </w:rPr>
        <w:footnoteReference w:id="14"/>
      </w:r>
      <w:r w:rsidRPr="001E08CF">
        <w:t>;</w:t>
      </w:r>
    </w:p>
    <w:p w:rsidR="005F5714" w:rsidRPr="00653904" w:rsidRDefault="005F5714" w:rsidP="00B03710">
      <w:pPr>
        <w:pStyle w:val="NormalHanging12a"/>
      </w:pPr>
      <w:r w:rsidRPr="00653904">
        <w:t>Q.</w:t>
      </w:r>
      <w:r w:rsidRPr="00653904">
        <w:tab/>
        <w:t>der henviser til, at Kommissionen i sin meddelelse af 20. maj 2020 om "En jord til bord-strategi for et fair, sundt og miljøvenligt fødevaresystem"</w:t>
      </w:r>
      <w:r w:rsidRPr="001E08CF">
        <w:rPr>
          <w:rStyle w:val="FootnoteReference"/>
        </w:rPr>
        <w:footnoteReference w:id="15"/>
      </w:r>
      <w:r w:rsidRPr="001E08CF">
        <w:t xml:space="preserve"> bebudede, at "EU vil støtte en global omstilling til bæredygtige landbrugsfødevaresystemer i overensstemmelse med målene i denne strategi og med verdensmålene for bæredygtig udvikling", og at "EU kan spille en nøglerolle i arbejdet med at fastsætte globale standarder med denne strategi"; der henviser til, at Kommissionen i strategien udtrykkeligt anførte, at "[e]n af forudsætninger</w:t>
      </w:r>
      <w:r w:rsidRPr="00653904">
        <w:t>ne for et mere bæredygtigt EU-fødevaresystem er, at vore handelspartneres praksis også bliver stadig mere bæredygtig. For at befordre en gradvis overgang til brug af sikrere plantebeskyttelsesmidler vil EU — i overensstemmelse med WTO-reglerne og på grundlag af en risikovurdering — overveje at revurdere importtolerancerne for stoffer, der opfylder "afskæringskriterierne" og udgør en høj risiko for menneskers sundhed.";</w:t>
      </w:r>
    </w:p>
    <w:p w:rsidR="005F5714" w:rsidRPr="00653904" w:rsidRDefault="005F5714" w:rsidP="00B03710">
      <w:pPr>
        <w:pStyle w:val="NormalHanging12a"/>
      </w:pPr>
      <w:r w:rsidRPr="00653904">
        <w:t>R.</w:t>
      </w:r>
      <w:r w:rsidRPr="00653904">
        <w:tab/>
        <w:t>der henviser til, at Kommissionen i 2022 sænkede</w:t>
      </w:r>
      <w:r w:rsidRPr="001E08CF">
        <w:rPr>
          <w:rStyle w:val="FootnoteReference"/>
        </w:rPr>
        <w:footnoteReference w:id="16"/>
      </w:r>
      <w:r w:rsidRPr="001E08CF">
        <w:t xml:space="preserve"> maksimalgrænseværdierne for restkonc</w:t>
      </w:r>
      <w:r w:rsidRPr="00653904">
        <w:t>entrationer for to </w:t>
      </w:r>
      <w:proofErr w:type="spellStart"/>
      <w:r w:rsidRPr="00653904">
        <w:t>neonicotinoider</w:t>
      </w:r>
      <w:proofErr w:type="spellEnd"/>
      <w:r w:rsidRPr="00653904">
        <w:t xml:space="preserve">, der udgør en høj risiko for </w:t>
      </w:r>
      <w:proofErr w:type="spellStart"/>
      <w:r w:rsidRPr="00653904">
        <w:t>bestøvere</w:t>
      </w:r>
      <w:proofErr w:type="spellEnd"/>
      <w:r w:rsidRPr="00653904">
        <w:t xml:space="preserve">, til det laveste niveau, der kan måles med de nyeste teknologier, hvorved importerede produkter ikke længere kan indeholde restkoncentrationer af </w:t>
      </w:r>
      <w:proofErr w:type="spellStart"/>
      <w:r w:rsidRPr="00653904">
        <w:t>clothianidin</w:t>
      </w:r>
      <w:proofErr w:type="spellEnd"/>
      <w:r w:rsidRPr="00653904">
        <w:t xml:space="preserve"> og </w:t>
      </w:r>
      <w:proofErr w:type="spellStart"/>
      <w:r w:rsidRPr="00653904">
        <w:t>thiamethoxam</w:t>
      </w:r>
      <w:proofErr w:type="spellEnd"/>
      <w:r w:rsidRPr="00653904">
        <w:t xml:space="preserve">; </w:t>
      </w:r>
    </w:p>
    <w:p w:rsidR="005F5714" w:rsidRPr="00050830" w:rsidRDefault="005F5714" w:rsidP="00B03710">
      <w:pPr>
        <w:pStyle w:val="NormalHanging12a"/>
      </w:pPr>
      <w:r w:rsidRPr="00653904">
        <w:t>S.</w:t>
      </w:r>
      <w:r w:rsidRPr="00653904">
        <w:tab/>
        <w:t>der henviser til, at Kommissionen i den forbindelse fremførte, at "[u]</w:t>
      </w:r>
      <w:proofErr w:type="spellStart"/>
      <w:r w:rsidRPr="00653904">
        <w:t>nder</w:t>
      </w:r>
      <w:proofErr w:type="spellEnd"/>
      <w:r w:rsidRPr="00653904">
        <w:t xml:space="preserve"> hensyntagen til alle faktorer af relevans for den omhandlede sag, i overensstemmelse med artikel 14, stk. 2, sammenholdt med artikel 11 i traktaten om Den Europæiske Unions funktionsmåde, som foreskriver, at "[m]</w:t>
      </w:r>
      <w:proofErr w:type="spellStart"/>
      <w:r w:rsidRPr="00653904">
        <w:t>iljøbeskyttelseskrav</w:t>
      </w:r>
      <w:proofErr w:type="spellEnd"/>
      <w:r w:rsidRPr="00653904">
        <w:t xml:space="preserve"> skal integreres i udformningen og gennemførelsen af Unionens politikker og aktioner, især med henblik på at fremme en bæredygtig udvikling", bør alle nuværende maksimalgrænseværdier for </w:t>
      </w:r>
      <w:r w:rsidRPr="00653904">
        <w:lastRenderedPageBreak/>
        <w:t xml:space="preserve">restkoncentrationer for </w:t>
      </w:r>
      <w:proofErr w:type="spellStart"/>
      <w:r w:rsidRPr="00653904">
        <w:t>clothianidin</w:t>
      </w:r>
      <w:proofErr w:type="spellEnd"/>
      <w:r w:rsidRPr="00653904">
        <w:t xml:space="preserve"> og/eller </w:t>
      </w:r>
      <w:proofErr w:type="spellStart"/>
      <w:r w:rsidRPr="00653904">
        <w:t>thiamethoxam</w:t>
      </w:r>
      <w:proofErr w:type="spellEnd"/>
      <w:r w:rsidRPr="00653904">
        <w:t xml:space="preserve">, jf. forordning (EF) nr. 396/2005, sænkes til bestemmelsesgrænsen (Limit of </w:t>
      </w:r>
      <w:proofErr w:type="spellStart"/>
      <w:r w:rsidRPr="00653904">
        <w:t>Quantification</w:t>
      </w:r>
      <w:proofErr w:type="spellEnd"/>
      <w:r w:rsidRPr="00653904">
        <w:t>, LOQ)"</w:t>
      </w:r>
      <w:r w:rsidRPr="001E08CF">
        <w:rPr>
          <w:rStyle w:val="FootnoteReference"/>
        </w:rPr>
        <w:footnoteReference w:id="17"/>
      </w:r>
      <w:r w:rsidRPr="001E08CF">
        <w:t>;</w:t>
      </w:r>
    </w:p>
    <w:p w:rsidR="005F5714" w:rsidRPr="00050830" w:rsidRDefault="005F5714" w:rsidP="00B03710">
      <w:pPr>
        <w:pStyle w:val="NormalHanging12a"/>
      </w:pPr>
      <w:r w:rsidRPr="00653904">
        <w:t>T.</w:t>
      </w:r>
      <w:r w:rsidRPr="00653904">
        <w:tab/>
        <w:t xml:space="preserve">der henviser til, at Kommissionen på det møde i Den Stående Komité for Planter, Dyr, Fødevarer og Foder, der blev afholdt den 10.-11. maj 2023, "mindede om, at </w:t>
      </w:r>
      <w:proofErr w:type="spellStart"/>
      <w:r w:rsidRPr="00653904">
        <w:t>thiacloprid</w:t>
      </w:r>
      <w:proofErr w:type="spellEnd"/>
      <w:r w:rsidRPr="00653904">
        <w:t xml:space="preserve"> tilhører gruppen af </w:t>
      </w:r>
      <w:proofErr w:type="spellStart"/>
      <w:r w:rsidRPr="00653904">
        <w:t>neonicotinoider</w:t>
      </w:r>
      <w:proofErr w:type="spellEnd"/>
      <w:r w:rsidRPr="00653904">
        <w:t xml:space="preserve"> og aktive stoffer i gruppen af </w:t>
      </w:r>
      <w:proofErr w:type="spellStart"/>
      <w:r w:rsidRPr="00653904">
        <w:t>neonicotinoider</w:t>
      </w:r>
      <w:proofErr w:type="spellEnd"/>
      <w:r w:rsidRPr="00653904">
        <w:t xml:space="preserve">, [men at] eftersom </w:t>
      </w:r>
      <w:proofErr w:type="spellStart"/>
      <w:r w:rsidRPr="00653904">
        <w:t>thiacloprid</w:t>
      </w:r>
      <w:proofErr w:type="spellEnd"/>
      <w:r w:rsidRPr="00653904">
        <w:t xml:space="preserve"> har andre egenskaber end </w:t>
      </w:r>
      <w:proofErr w:type="spellStart"/>
      <w:r w:rsidRPr="00653904">
        <w:t>clothianidin</w:t>
      </w:r>
      <w:proofErr w:type="spellEnd"/>
      <w:r w:rsidRPr="00653904">
        <w:t xml:space="preserve"> og </w:t>
      </w:r>
      <w:proofErr w:type="spellStart"/>
      <w:r w:rsidRPr="00653904">
        <w:t>thiamethoxam</w:t>
      </w:r>
      <w:proofErr w:type="spellEnd"/>
      <w:r w:rsidRPr="00653904">
        <w:t xml:space="preserve">, er det på nuværende tidspunkt ikke planlagt at følge samme tilgang som for </w:t>
      </w:r>
      <w:proofErr w:type="spellStart"/>
      <w:r w:rsidRPr="00653904">
        <w:t>clothianidin</w:t>
      </w:r>
      <w:proofErr w:type="spellEnd"/>
      <w:r w:rsidRPr="00653904">
        <w:t xml:space="preserve"> og </w:t>
      </w:r>
      <w:proofErr w:type="spellStart"/>
      <w:r w:rsidRPr="00653904">
        <w:t>thiamethoxam</w:t>
      </w:r>
      <w:proofErr w:type="spellEnd"/>
      <w:r w:rsidRPr="00653904">
        <w:t>, der gennemfører jord til bord-strategien ved at sænke alle maksimalgrænseværdier for restkoncentrationer til LOQ"</w:t>
      </w:r>
      <w:r w:rsidRPr="001E08CF">
        <w:rPr>
          <w:rStyle w:val="FootnoteReference"/>
        </w:rPr>
        <w:footnoteReference w:id="18"/>
      </w:r>
      <w:r w:rsidRPr="001E08CF">
        <w:t>;</w:t>
      </w:r>
    </w:p>
    <w:p w:rsidR="005F5714" w:rsidRPr="00050830" w:rsidRDefault="005F5714" w:rsidP="00B03710">
      <w:pPr>
        <w:pStyle w:val="NormalHanging12a"/>
      </w:pPr>
      <w:r w:rsidRPr="00653904">
        <w:t>U.</w:t>
      </w:r>
      <w:r w:rsidRPr="00653904">
        <w:tab/>
        <w:t xml:space="preserve">der henviser til, at det er omtvistet i den videnskabelige litteratur, at </w:t>
      </w:r>
      <w:proofErr w:type="spellStart"/>
      <w:r w:rsidRPr="00653904">
        <w:t>thiacloprid</w:t>
      </w:r>
      <w:proofErr w:type="spellEnd"/>
      <w:r w:rsidRPr="00653904">
        <w:t xml:space="preserve"> vil have andre egenskaber end andre </w:t>
      </w:r>
      <w:proofErr w:type="spellStart"/>
      <w:r w:rsidRPr="00653904">
        <w:t>neonicotinoider</w:t>
      </w:r>
      <w:proofErr w:type="spellEnd"/>
      <w:r w:rsidRPr="00653904">
        <w:t xml:space="preserve">, og at resultaterne viser, at "der nu bør sættes spørgsmålstegn ved </w:t>
      </w:r>
      <w:proofErr w:type="spellStart"/>
      <w:r w:rsidRPr="00653904">
        <w:t>thiacloprids</w:t>
      </w:r>
      <w:proofErr w:type="spellEnd"/>
      <w:r w:rsidRPr="00653904">
        <w:t xml:space="preserve"> image som et relativt gunstigt </w:t>
      </w:r>
      <w:proofErr w:type="spellStart"/>
      <w:r w:rsidRPr="00653904">
        <w:t>neonicotinoid</w:t>
      </w:r>
      <w:proofErr w:type="spellEnd"/>
      <w:r w:rsidRPr="00653904">
        <w:t>"</w:t>
      </w:r>
      <w:r w:rsidRPr="001E08CF">
        <w:rPr>
          <w:rStyle w:val="FootnoteReference"/>
        </w:rPr>
        <w:footnoteReference w:id="19"/>
      </w:r>
      <w:r w:rsidRPr="001E08CF">
        <w:t>;</w:t>
      </w:r>
    </w:p>
    <w:p w:rsidR="005F5714" w:rsidRPr="00050830" w:rsidRDefault="005F5714" w:rsidP="00B03710">
      <w:pPr>
        <w:pStyle w:val="NormalHanging12a"/>
      </w:pPr>
      <w:r w:rsidRPr="00653904">
        <w:t>V.</w:t>
      </w:r>
      <w:r w:rsidRPr="00653904">
        <w:tab/>
        <w:t xml:space="preserve">der henviser til, at navnlig kolonier af humlebier, der er eksponeret for </w:t>
      </w:r>
      <w:proofErr w:type="spellStart"/>
      <w:r w:rsidRPr="00653904">
        <w:t>thiacloprid</w:t>
      </w:r>
      <w:proofErr w:type="spellEnd"/>
      <w:r w:rsidRPr="00653904">
        <w:t>, har vist sig at være mere tilbøjelige til at dø for tidligt, og at dem, der overlevede, har vist sig at være mere tilbøjelige til at lide af subletale virkninger</w:t>
      </w:r>
      <w:r w:rsidRPr="001E08CF">
        <w:rPr>
          <w:rStyle w:val="FootnoteReference"/>
        </w:rPr>
        <w:footnoteReference w:id="20"/>
      </w:r>
      <w:r w:rsidRPr="001E08CF">
        <w:t xml:space="preserve">; der henviser til, at </w:t>
      </w:r>
      <w:proofErr w:type="spellStart"/>
      <w:r w:rsidRPr="001E08CF">
        <w:t>thiacloprid</w:t>
      </w:r>
      <w:proofErr w:type="spellEnd"/>
      <w:r w:rsidRPr="001E08CF">
        <w:t xml:space="preserve"> også har vist sig a</w:t>
      </w:r>
      <w:r w:rsidRPr="00050830">
        <w:t xml:space="preserve">t påvirke honningbiers adfærd og immunsystem i lighed med </w:t>
      </w:r>
      <w:proofErr w:type="spellStart"/>
      <w:r w:rsidRPr="00050830">
        <w:t>imidacloprid</w:t>
      </w:r>
      <w:proofErr w:type="spellEnd"/>
      <w:r w:rsidRPr="00050830">
        <w:t xml:space="preserve">, </w:t>
      </w:r>
      <w:proofErr w:type="spellStart"/>
      <w:r w:rsidRPr="00050830">
        <w:t>clothianidin</w:t>
      </w:r>
      <w:proofErr w:type="spellEnd"/>
      <w:r w:rsidRPr="00050830">
        <w:t xml:space="preserve"> og </w:t>
      </w:r>
      <w:proofErr w:type="spellStart"/>
      <w:r w:rsidRPr="00050830">
        <w:t>thiamethoxam</w:t>
      </w:r>
      <w:proofErr w:type="spellEnd"/>
      <w:r w:rsidRPr="001E08CF">
        <w:rPr>
          <w:rStyle w:val="FootnoteReference"/>
        </w:rPr>
        <w:footnoteReference w:id="21"/>
      </w:r>
      <w:r w:rsidRPr="001E08CF">
        <w:rPr>
          <w:vertAlign w:val="superscript"/>
        </w:rPr>
        <w:t>,</w:t>
      </w:r>
      <w:r w:rsidRPr="001E08CF">
        <w:rPr>
          <w:rStyle w:val="FootnoteReference"/>
        </w:rPr>
        <w:footnoteReference w:id="22"/>
      </w:r>
      <w:r w:rsidRPr="001E08CF">
        <w:t>;</w:t>
      </w:r>
    </w:p>
    <w:p w:rsidR="005F5714" w:rsidRPr="00050830" w:rsidRDefault="005F5714" w:rsidP="00B03710">
      <w:pPr>
        <w:pStyle w:val="NormalHanging12a"/>
      </w:pPr>
      <w:r w:rsidRPr="00653904">
        <w:t>W.</w:t>
      </w:r>
      <w:r w:rsidRPr="00653904">
        <w:tab/>
        <w:t xml:space="preserve">der henviser til, at der er stadig mere dokumentation for, at anvendelsen af </w:t>
      </w:r>
      <w:proofErr w:type="spellStart"/>
      <w:r w:rsidRPr="00653904">
        <w:t>thiacloprid</w:t>
      </w:r>
      <w:proofErr w:type="spellEnd"/>
      <w:r w:rsidRPr="00653904">
        <w:t xml:space="preserve"> har en ødelæggende indvirkning på biodiversiteten og navnlig på bier og andre </w:t>
      </w:r>
      <w:proofErr w:type="spellStart"/>
      <w:r w:rsidRPr="00653904">
        <w:lastRenderedPageBreak/>
        <w:t>bestøvere</w:t>
      </w:r>
      <w:proofErr w:type="spellEnd"/>
      <w:r w:rsidRPr="001E08CF">
        <w:rPr>
          <w:rStyle w:val="FootnoteReference"/>
          <w:szCs w:val="24"/>
        </w:rPr>
        <w:footnoteReference w:id="23"/>
      </w:r>
      <w:r w:rsidRPr="001E08CF">
        <w:t>;</w:t>
      </w:r>
    </w:p>
    <w:p w:rsidR="005F5714" w:rsidRPr="00653904" w:rsidRDefault="005F5714" w:rsidP="00B03710">
      <w:pPr>
        <w:pStyle w:val="NormalHanging12a"/>
      </w:pPr>
      <w:r w:rsidRPr="00653904">
        <w:t>X.</w:t>
      </w:r>
      <w:r w:rsidRPr="00653904">
        <w:tab/>
        <w:t>der henviser til, at EFSA i sin rapport om ikke-fornyelse af 22. oktober 2019</w:t>
      </w:r>
      <w:r w:rsidRPr="001E08CF">
        <w:rPr>
          <w:rStyle w:val="FootnoteReference"/>
        </w:rPr>
        <w:footnoteReference w:id="24"/>
      </w:r>
      <w:r w:rsidRPr="001E08CF">
        <w:t xml:space="preserve"> konkluderede, at "de foreliggende oplysninger ikke er tilstrækkelige til at opfylde kravene i artikel 4, stk. 1-3, i forordning (EF) nr. 1107/2</w:t>
      </w:r>
      <w:r w:rsidRPr="00050830">
        <w:t>009", og navnlig at "risikovurderingen for bier ikke kunne færdiggøres";</w:t>
      </w:r>
    </w:p>
    <w:p w:rsidR="005F5714" w:rsidRPr="00653904" w:rsidRDefault="005F5714" w:rsidP="00B03710">
      <w:pPr>
        <w:pStyle w:val="NormalHanging12a"/>
      </w:pPr>
      <w:r w:rsidRPr="00653904">
        <w:t>Y.</w:t>
      </w:r>
      <w:r w:rsidRPr="00653904">
        <w:tab/>
        <w:t xml:space="preserve">der henviser til, at </w:t>
      </w:r>
      <w:proofErr w:type="spellStart"/>
      <w:r w:rsidRPr="00653904">
        <w:t>thiacloprid</w:t>
      </w:r>
      <w:proofErr w:type="spellEnd"/>
      <w:r w:rsidRPr="00653904">
        <w:t xml:space="preserve"> derfor bør være underlagt den samme begrundelse og de samme regler, som var gældende for </w:t>
      </w:r>
      <w:proofErr w:type="spellStart"/>
      <w:r w:rsidRPr="00653904">
        <w:t>clothianidin</w:t>
      </w:r>
      <w:proofErr w:type="spellEnd"/>
      <w:r w:rsidRPr="00653904">
        <w:t xml:space="preserve"> og </w:t>
      </w:r>
      <w:proofErr w:type="spellStart"/>
      <w:r w:rsidRPr="00653904">
        <w:t>thiamethoxam</w:t>
      </w:r>
      <w:proofErr w:type="spellEnd"/>
      <w:r w:rsidRPr="00653904">
        <w:t>;</w:t>
      </w:r>
    </w:p>
    <w:p w:rsidR="005F5714" w:rsidRPr="00653904" w:rsidRDefault="005F5714" w:rsidP="00B03710">
      <w:pPr>
        <w:pStyle w:val="NormalHanging12a"/>
      </w:pPr>
      <w:r w:rsidRPr="00653904">
        <w:t>Z.</w:t>
      </w:r>
      <w:r w:rsidRPr="00653904">
        <w:tab/>
        <w:t>der henviser til, at Kommissionen skal beskytte miljøet og de europæiske borgere på grundlag af de foreliggende videnskabelige oplysninger under anvendelse af de forpligtelser og retlige muligheder, som forordning (EF) nr. 396/2005 og forordning (EF) nr. 178/2002 giver for at sikre et højt beskyttelsesniveau for menneskers og dyrs sundhed og miljøet;</w:t>
      </w:r>
    </w:p>
    <w:p w:rsidR="005F5714" w:rsidRPr="00653904" w:rsidRDefault="005F5714" w:rsidP="00B03710">
      <w:pPr>
        <w:pStyle w:val="NormalHanging12a"/>
      </w:pPr>
      <w:r w:rsidRPr="00653904">
        <w:t>AA.</w:t>
      </w:r>
      <w:r w:rsidRPr="00653904">
        <w:tab/>
        <w:t xml:space="preserve">der henviser til, at de foreslåede maksimalgrænseværdier for restkoncentrationer ikke beskytter EU-borgernes sundhed og ikke sikrer et højt beskyttelsesniveau for bier og andre </w:t>
      </w:r>
      <w:proofErr w:type="spellStart"/>
      <w:r w:rsidRPr="00653904">
        <w:t>bestøvere</w:t>
      </w:r>
      <w:proofErr w:type="spellEnd"/>
      <w:r w:rsidRPr="00653904">
        <w:t>, og at de derfor er i strid med forordning (EF) nr. 396/2005 og (EF) nr. 178/2002;</w:t>
      </w:r>
    </w:p>
    <w:p w:rsidR="005F5714" w:rsidRPr="00653904" w:rsidRDefault="005F5714" w:rsidP="00B03710">
      <w:pPr>
        <w:pStyle w:val="NormalHanging12a"/>
      </w:pPr>
      <w:r w:rsidRPr="00653904">
        <w:t>AB.</w:t>
      </w:r>
      <w:r w:rsidRPr="00653904">
        <w:tab/>
        <w:t xml:space="preserve">der henviser til, at der ikke bør fastsættes maksimalgrænseværdier for restkoncentrationer for aktivstoffer, der ikke er godkendt i Unionen på grund af sundhedsmæssige betænkeligheder; der henviser til, at der derfor ikke bør fastsættes importtolerancer for </w:t>
      </w:r>
      <w:proofErr w:type="spellStart"/>
      <w:r w:rsidRPr="00653904">
        <w:t>thiacloprid</w:t>
      </w:r>
      <w:proofErr w:type="spellEnd"/>
      <w:r w:rsidRPr="00653904">
        <w:t xml:space="preserve">, da det er klassificeret som reproduktionstoksicitet kategori 1B; der henviser til, at klassificeringen af </w:t>
      </w:r>
      <w:proofErr w:type="spellStart"/>
      <w:r w:rsidRPr="00653904">
        <w:t>thiacloprid</w:t>
      </w:r>
      <w:proofErr w:type="spellEnd"/>
      <w:r w:rsidRPr="00653904">
        <w:t xml:space="preserve"> som reproduktionstoksicitet kategori 1B endvidere burde have været tilstrækkelig grund til, at Kommissionen kunne afvise anmodningerne om importtolerancer under henvisning til sundhedsrisiciene for borgere i tredjelande; </w:t>
      </w:r>
    </w:p>
    <w:p w:rsidR="005F5714" w:rsidRPr="00653904" w:rsidRDefault="005F5714" w:rsidP="00B03710">
      <w:pPr>
        <w:pStyle w:val="NormalHanging12a"/>
      </w:pPr>
      <w:r w:rsidRPr="00653904">
        <w:t>1.</w:t>
      </w:r>
      <w:r w:rsidRPr="00653904">
        <w:tab/>
        <w:t>modsætter sig forslaget til Rådets forordning;</w:t>
      </w:r>
    </w:p>
    <w:p w:rsidR="005F5714" w:rsidRPr="00653904" w:rsidRDefault="005F5714" w:rsidP="00B03710">
      <w:pPr>
        <w:pStyle w:val="NormalHanging12a"/>
      </w:pPr>
      <w:r w:rsidRPr="00653904">
        <w:t>2.</w:t>
      </w:r>
      <w:r w:rsidRPr="00653904">
        <w:tab/>
        <w:t xml:space="preserve">mener, at forslaget til Rådets forordning hverken er i overensstemmelse med formålet og indholdet i forordning (EF) nr. 396/2005 og forordning (EF) nr. 178/2002 </w:t>
      </w:r>
      <w:r w:rsidR="00F9464D">
        <w:t>eller med forordning (EF) nr. 11</w:t>
      </w:r>
      <w:r w:rsidRPr="00653904">
        <w:t>07/2009, herunder afsnit 3.6.4 i bilag II hertil;</w:t>
      </w:r>
    </w:p>
    <w:p w:rsidR="005F5714" w:rsidRPr="00653904" w:rsidRDefault="005F5714" w:rsidP="00B03710">
      <w:pPr>
        <w:pStyle w:val="NormalHanging12a"/>
      </w:pPr>
      <w:r w:rsidRPr="00653904">
        <w:t>3.</w:t>
      </w:r>
      <w:r w:rsidRPr="00653904">
        <w:tab/>
        <w:t>opfordrer Kommissionen til at trække udkastet til forordning tilbage;</w:t>
      </w:r>
    </w:p>
    <w:p w:rsidR="005F5714" w:rsidRPr="00653904" w:rsidRDefault="005F5714" w:rsidP="00B03710">
      <w:pPr>
        <w:pStyle w:val="NormalHanging12a"/>
      </w:pPr>
      <w:r w:rsidRPr="00653904">
        <w:t>4.</w:t>
      </w:r>
      <w:r w:rsidRPr="00653904">
        <w:tab/>
        <w:t xml:space="preserve">opfordrer Kommissionen til at forelægge udvalget et nyt udkast, der sænker alle maksimalgrænseværdier for restkoncentrationer af </w:t>
      </w:r>
      <w:proofErr w:type="spellStart"/>
      <w:r w:rsidRPr="00653904">
        <w:t>thiacloprid</w:t>
      </w:r>
      <w:proofErr w:type="spellEnd"/>
      <w:r w:rsidRPr="00653904">
        <w:t xml:space="preserve"> til bestemmelsesgrænsen for alle anvendelser, og til at afvise enhver anmodning om importtolerancer;</w:t>
      </w:r>
    </w:p>
    <w:p w:rsidR="005F5714" w:rsidRPr="00653904" w:rsidRDefault="005F5714" w:rsidP="00B03710">
      <w:pPr>
        <w:ind w:left="567" w:hanging="567"/>
      </w:pPr>
      <w:r w:rsidRPr="00653904">
        <w:t>5.</w:t>
      </w:r>
      <w:r w:rsidRPr="00653904">
        <w:tab/>
        <w:t xml:space="preserve">pålægger sin formand at sende denne beslutning til Rådet og Kommissionen samt til </w:t>
      </w:r>
      <w:r w:rsidRPr="00653904">
        <w:lastRenderedPageBreak/>
        <w:t>medlemsstaternes regeringer og parlamenter.</w:t>
      </w:r>
    </w:p>
    <w:p w:rsidR="00E365E1" w:rsidRPr="00653904" w:rsidRDefault="00E365E1" w:rsidP="0028130F">
      <w:bookmarkStart w:id="8" w:name="TextBodyEnd"/>
      <w:bookmarkEnd w:id="8"/>
    </w:p>
    <w:sectPr w:rsidR="00E365E1" w:rsidRPr="00653904" w:rsidSect="00C7300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130F" w:rsidRPr="00C73002" w:rsidRDefault="0028130F">
      <w:r w:rsidRPr="00C73002">
        <w:separator/>
      </w:r>
    </w:p>
  </w:endnote>
  <w:endnote w:type="continuationSeparator" w:id="0">
    <w:p w:rsidR="0028130F" w:rsidRPr="00C73002" w:rsidRDefault="0028130F">
      <w:r w:rsidRPr="00C7300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300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300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300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130F" w:rsidRPr="00C73002" w:rsidRDefault="0028130F">
      <w:r w:rsidRPr="00C73002">
        <w:separator/>
      </w:r>
    </w:p>
  </w:footnote>
  <w:footnote w:type="continuationSeparator" w:id="0">
    <w:p w:rsidR="0028130F" w:rsidRPr="00C73002" w:rsidRDefault="0028130F">
      <w:r w:rsidRPr="00C73002">
        <w:continuationSeparator/>
      </w:r>
    </w:p>
  </w:footnote>
  <w:footnote w:id="1">
    <w:p w:rsidR="005F5714" w:rsidRPr="00C73002" w:rsidRDefault="005F5714" w:rsidP="00C73002">
      <w:pPr>
        <w:pStyle w:val="FootnoteText"/>
        <w:ind w:left="567" w:hanging="567"/>
        <w:rPr>
          <w:sz w:val="24"/>
          <w:szCs w:val="22"/>
          <w:lang w:val="da-DK"/>
        </w:rPr>
      </w:pPr>
      <w:r w:rsidRPr="00C73002">
        <w:rPr>
          <w:rStyle w:val="FootnoteReference"/>
          <w:sz w:val="24"/>
          <w:szCs w:val="22"/>
          <w:lang w:val="da-DK"/>
        </w:rPr>
        <w:footnoteRef/>
      </w:r>
      <w:r w:rsidR="00C73002" w:rsidRPr="00C73002">
        <w:rPr>
          <w:sz w:val="24"/>
          <w:lang w:val="da-DK"/>
        </w:rPr>
        <w:t xml:space="preserve"> </w:t>
      </w:r>
      <w:r w:rsidR="00C73002" w:rsidRPr="00C73002">
        <w:rPr>
          <w:sz w:val="24"/>
          <w:lang w:val="da-DK"/>
        </w:rPr>
        <w:tab/>
      </w:r>
      <w:r w:rsidRPr="00C73002">
        <w:rPr>
          <w:sz w:val="24"/>
          <w:lang w:val="da-DK"/>
        </w:rPr>
        <w:t>EUT L 70 af 16.3.2005, s. 1.</w:t>
      </w:r>
    </w:p>
  </w:footnote>
  <w:footnote w:id="2">
    <w:p w:rsidR="005F5714" w:rsidRPr="00C73002" w:rsidRDefault="005F5714" w:rsidP="00C73002">
      <w:pPr>
        <w:pStyle w:val="FootnoteText"/>
        <w:ind w:left="567" w:hanging="567"/>
        <w:rPr>
          <w:sz w:val="24"/>
          <w:szCs w:val="22"/>
          <w:lang w:val="da-DK"/>
        </w:rPr>
      </w:pPr>
      <w:r w:rsidRPr="00C73002">
        <w:rPr>
          <w:rStyle w:val="FootnoteReference"/>
          <w:sz w:val="24"/>
          <w:szCs w:val="22"/>
          <w:lang w:val="da-DK"/>
        </w:rPr>
        <w:footnoteRef/>
      </w:r>
      <w:r w:rsidR="00C73002" w:rsidRPr="00C73002">
        <w:rPr>
          <w:sz w:val="24"/>
          <w:lang w:val="da-DK"/>
        </w:rPr>
        <w:t xml:space="preserve"> </w:t>
      </w:r>
      <w:r w:rsidR="00C73002" w:rsidRPr="00C73002">
        <w:rPr>
          <w:sz w:val="24"/>
          <w:lang w:val="da-DK"/>
        </w:rPr>
        <w:tab/>
      </w:r>
      <w:r w:rsidRPr="00C73002">
        <w:rPr>
          <w:sz w:val="24"/>
          <w:lang w:val="da-DK"/>
        </w:rPr>
        <w:t>EUT L 309 af 24.11.2009, s. 1.</w:t>
      </w:r>
    </w:p>
  </w:footnote>
  <w:footnote w:id="3">
    <w:p w:rsidR="005F5714" w:rsidRPr="00C73002" w:rsidRDefault="005F5714" w:rsidP="00C73002">
      <w:pPr>
        <w:pStyle w:val="FootnoteText"/>
        <w:ind w:left="567" w:hanging="567"/>
        <w:rPr>
          <w:sz w:val="24"/>
          <w:szCs w:val="22"/>
          <w:lang w:val="da-DK"/>
        </w:rPr>
      </w:pPr>
      <w:r w:rsidRPr="00C73002">
        <w:rPr>
          <w:rStyle w:val="FootnoteReference"/>
          <w:sz w:val="24"/>
          <w:szCs w:val="22"/>
          <w:lang w:val="da-DK"/>
        </w:rPr>
        <w:footnoteRef/>
      </w:r>
      <w:r w:rsidR="00C73002" w:rsidRPr="00C73002">
        <w:rPr>
          <w:sz w:val="24"/>
          <w:lang w:val="da-DK"/>
        </w:rPr>
        <w:t xml:space="preserve"> </w:t>
      </w:r>
      <w:r w:rsidR="00C73002" w:rsidRPr="00C73002">
        <w:rPr>
          <w:sz w:val="24"/>
          <w:lang w:val="da-DK"/>
        </w:rPr>
        <w:tab/>
      </w:r>
      <w:r w:rsidRPr="00C73002">
        <w:rPr>
          <w:sz w:val="24"/>
          <w:lang w:val="da-DK"/>
        </w:rPr>
        <w:t>EUT L 31 af 1.2.2002, s. 1.</w:t>
      </w:r>
    </w:p>
  </w:footnote>
  <w:footnote w:id="4">
    <w:p w:rsidR="005F5714" w:rsidRPr="00C73002" w:rsidRDefault="005F5714" w:rsidP="00C73002">
      <w:pPr>
        <w:pStyle w:val="FootnoteText"/>
        <w:ind w:left="567" w:hanging="567"/>
        <w:rPr>
          <w:sz w:val="24"/>
          <w:szCs w:val="22"/>
          <w:lang w:val="da-DK"/>
        </w:rPr>
      </w:pPr>
      <w:r w:rsidRPr="00C73002">
        <w:rPr>
          <w:rStyle w:val="FootnoteReference"/>
          <w:sz w:val="24"/>
          <w:szCs w:val="22"/>
          <w:lang w:val="da-DK"/>
        </w:rPr>
        <w:footnoteRef/>
      </w:r>
      <w:r w:rsidR="00C73002" w:rsidRPr="00C73002">
        <w:rPr>
          <w:sz w:val="24"/>
          <w:lang w:val="da-DK"/>
        </w:rPr>
        <w:t xml:space="preserve"> </w:t>
      </w:r>
      <w:r w:rsidR="00C73002" w:rsidRPr="00C73002">
        <w:rPr>
          <w:sz w:val="24"/>
          <w:lang w:val="da-DK"/>
        </w:rPr>
        <w:tab/>
      </w:r>
      <w:r w:rsidRPr="00C73002">
        <w:rPr>
          <w:sz w:val="24"/>
          <w:lang w:val="da-DK"/>
        </w:rPr>
        <w:t>EFSA: "Statement on the short-term (</w:t>
      </w:r>
      <w:proofErr w:type="spellStart"/>
      <w:r w:rsidRPr="00C73002">
        <w:rPr>
          <w:sz w:val="24"/>
          <w:lang w:val="da-DK"/>
        </w:rPr>
        <w:t>acute</w:t>
      </w:r>
      <w:proofErr w:type="spellEnd"/>
      <w:r w:rsidRPr="00C73002">
        <w:rPr>
          <w:sz w:val="24"/>
          <w:lang w:val="da-DK"/>
        </w:rPr>
        <w:t xml:space="preserve">) </w:t>
      </w:r>
      <w:proofErr w:type="spellStart"/>
      <w:r w:rsidRPr="00C73002">
        <w:rPr>
          <w:sz w:val="24"/>
          <w:lang w:val="da-DK"/>
        </w:rPr>
        <w:t>dietary</w:t>
      </w:r>
      <w:proofErr w:type="spellEnd"/>
      <w:r w:rsidRPr="00C73002">
        <w:rPr>
          <w:sz w:val="24"/>
          <w:lang w:val="da-DK"/>
        </w:rPr>
        <w:t xml:space="preserve"> </w:t>
      </w:r>
      <w:proofErr w:type="spellStart"/>
      <w:r w:rsidRPr="00C73002">
        <w:rPr>
          <w:sz w:val="24"/>
          <w:lang w:val="da-DK"/>
        </w:rPr>
        <w:t>risk</w:t>
      </w:r>
      <w:proofErr w:type="spellEnd"/>
      <w:r w:rsidRPr="00C73002">
        <w:rPr>
          <w:sz w:val="24"/>
          <w:lang w:val="da-DK"/>
        </w:rPr>
        <w:t xml:space="preserve"> </w:t>
      </w:r>
      <w:proofErr w:type="spellStart"/>
      <w:r w:rsidRPr="00C73002">
        <w:rPr>
          <w:sz w:val="24"/>
          <w:lang w:val="da-DK"/>
        </w:rPr>
        <w:t>assessment</w:t>
      </w:r>
      <w:proofErr w:type="spellEnd"/>
      <w:r w:rsidRPr="00C73002">
        <w:rPr>
          <w:sz w:val="24"/>
          <w:lang w:val="da-DK"/>
        </w:rPr>
        <w:t xml:space="preserve"> and </w:t>
      </w:r>
      <w:proofErr w:type="spellStart"/>
      <w:r w:rsidRPr="00C73002">
        <w:rPr>
          <w:sz w:val="24"/>
          <w:lang w:val="da-DK"/>
        </w:rPr>
        <w:t>evaluation</w:t>
      </w:r>
      <w:proofErr w:type="spellEnd"/>
      <w:r w:rsidRPr="00C73002">
        <w:rPr>
          <w:sz w:val="24"/>
          <w:lang w:val="da-DK"/>
        </w:rPr>
        <w:t xml:space="preserve"> of </w:t>
      </w:r>
      <w:proofErr w:type="spellStart"/>
      <w:r w:rsidRPr="00C73002">
        <w:rPr>
          <w:sz w:val="24"/>
          <w:lang w:val="da-DK"/>
        </w:rPr>
        <w:t>confirmatory</w:t>
      </w:r>
      <w:proofErr w:type="spellEnd"/>
      <w:r w:rsidRPr="00C73002">
        <w:rPr>
          <w:sz w:val="24"/>
          <w:lang w:val="da-DK"/>
        </w:rPr>
        <w:t xml:space="preserve"> data for </w:t>
      </w:r>
      <w:proofErr w:type="spellStart"/>
      <w:r w:rsidRPr="00C73002">
        <w:rPr>
          <w:sz w:val="24"/>
          <w:lang w:val="da-DK"/>
        </w:rPr>
        <w:t>certain</w:t>
      </w:r>
      <w:proofErr w:type="spellEnd"/>
      <w:r w:rsidRPr="00C73002">
        <w:rPr>
          <w:sz w:val="24"/>
          <w:lang w:val="da-DK"/>
        </w:rPr>
        <w:t xml:space="preserve"> </w:t>
      </w:r>
      <w:proofErr w:type="spellStart"/>
      <w:r w:rsidRPr="00C73002">
        <w:rPr>
          <w:sz w:val="24"/>
          <w:lang w:val="da-DK"/>
        </w:rPr>
        <w:t>maximum</w:t>
      </w:r>
      <w:proofErr w:type="spellEnd"/>
      <w:r w:rsidRPr="00C73002">
        <w:rPr>
          <w:sz w:val="24"/>
          <w:lang w:val="da-DK"/>
        </w:rPr>
        <w:t xml:space="preserve"> </w:t>
      </w:r>
      <w:proofErr w:type="spellStart"/>
      <w:r w:rsidRPr="00C73002">
        <w:rPr>
          <w:sz w:val="24"/>
          <w:lang w:val="da-DK"/>
        </w:rPr>
        <w:t>residue</w:t>
      </w:r>
      <w:proofErr w:type="spellEnd"/>
      <w:r w:rsidRPr="00C73002">
        <w:rPr>
          <w:sz w:val="24"/>
          <w:lang w:val="da-DK"/>
        </w:rPr>
        <w:t xml:space="preserve"> </w:t>
      </w:r>
      <w:proofErr w:type="spellStart"/>
      <w:r w:rsidRPr="00C73002">
        <w:rPr>
          <w:sz w:val="24"/>
          <w:lang w:val="da-DK"/>
        </w:rPr>
        <w:t>levels</w:t>
      </w:r>
      <w:proofErr w:type="spellEnd"/>
      <w:r w:rsidRPr="00C73002">
        <w:rPr>
          <w:sz w:val="24"/>
          <w:lang w:val="da-DK"/>
        </w:rPr>
        <w:t xml:space="preserve"> (</w:t>
      </w:r>
      <w:proofErr w:type="spellStart"/>
      <w:r w:rsidRPr="00C73002">
        <w:rPr>
          <w:sz w:val="24"/>
          <w:lang w:val="da-DK"/>
        </w:rPr>
        <w:t>MRLs</w:t>
      </w:r>
      <w:proofErr w:type="spellEnd"/>
      <w:r w:rsidRPr="00C73002">
        <w:rPr>
          <w:sz w:val="24"/>
          <w:lang w:val="da-DK"/>
        </w:rPr>
        <w:t xml:space="preserve">) for </w:t>
      </w:r>
      <w:proofErr w:type="spellStart"/>
      <w:r w:rsidRPr="00C73002">
        <w:rPr>
          <w:sz w:val="24"/>
          <w:lang w:val="da-DK"/>
        </w:rPr>
        <w:t>thiacloprid</w:t>
      </w:r>
      <w:proofErr w:type="spellEnd"/>
      <w:r w:rsidRPr="00C73002">
        <w:rPr>
          <w:sz w:val="24"/>
          <w:lang w:val="da-DK"/>
        </w:rPr>
        <w:t xml:space="preserve">" (Den Europæiske Fødevaresikkerhedsautoritet: Erklæring om vurdering af den kortsigtede (akutte) risiko ved indtagelse og evaluering af bekræftede data for visse maksimalgrænseværdier for </w:t>
      </w:r>
      <w:proofErr w:type="spellStart"/>
      <w:r w:rsidRPr="00C73002">
        <w:rPr>
          <w:sz w:val="24"/>
          <w:lang w:val="da-DK"/>
        </w:rPr>
        <w:t>thiacloprid</w:t>
      </w:r>
      <w:proofErr w:type="spellEnd"/>
      <w:r w:rsidRPr="00C73002">
        <w:rPr>
          <w:sz w:val="24"/>
          <w:lang w:val="da-DK"/>
        </w:rPr>
        <w:t xml:space="preserve">), EFSA Journal 2023;21(3):7888, </w:t>
      </w:r>
      <w:hyperlink r:id="rId1" w:history="1">
        <w:r w:rsidRPr="00C73002">
          <w:rPr>
            <w:rStyle w:val="Hyperlink"/>
            <w:sz w:val="24"/>
            <w:lang w:val="da-DK"/>
          </w:rPr>
          <w:t>https://doi.org/10.2903/j.efsa.2023.7888</w:t>
        </w:r>
      </w:hyperlink>
      <w:r w:rsidRPr="00C73002">
        <w:rPr>
          <w:sz w:val="24"/>
          <w:lang w:val="da-DK"/>
        </w:rPr>
        <w:t>.</w:t>
      </w:r>
    </w:p>
  </w:footnote>
  <w:footnote w:id="5">
    <w:p w:rsidR="005F5714" w:rsidRPr="00C73002" w:rsidRDefault="005F5714" w:rsidP="00C73002">
      <w:pPr>
        <w:pStyle w:val="FootnoteText"/>
        <w:ind w:left="567" w:hanging="567"/>
        <w:rPr>
          <w:sz w:val="24"/>
          <w:szCs w:val="22"/>
          <w:lang w:val="da-DK"/>
        </w:rPr>
      </w:pPr>
      <w:r w:rsidRPr="00C73002">
        <w:rPr>
          <w:rStyle w:val="FootnoteReference"/>
          <w:sz w:val="24"/>
          <w:szCs w:val="22"/>
          <w:lang w:val="da-DK"/>
        </w:rPr>
        <w:footnoteRef/>
      </w:r>
      <w:r w:rsidR="00C73002" w:rsidRPr="00C73002">
        <w:rPr>
          <w:sz w:val="24"/>
          <w:lang w:val="da-DK"/>
        </w:rPr>
        <w:t xml:space="preserve"> </w:t>
      </w:r>
      <w:r w:rsidR="00C73002" w:rsidRPr="00C73002">
        <w:rPr>
          <w:sz w:val="24"/>
          <w:lang w:val="da-DK"/>
        </w:rPr>
        <w:tab/>
      </w:r>
      <w:r w:rsidRPr="00C73002">
        <w:rPr>
          <w:sz w:val="24"/>
          <w:lang w:val="da-DK"/>
        </w:rPr>
        <w:t>EFSA: "</w:t>
      </w:r>
      <w:proofErr w:type="spellStart"/>
      <w:r w:rsidRPr="00C73002">
        <w:rPr>
          <w:sz w:val="24"/>
          <w:lang w:val="da-DK"/>
        </w:rPr>
        <w:t>Conclusion</w:t>
      </w:r>
      <w:proofErr w:type="spellEnd"/>
      <w:r w:rsidRPr="00C73002">
        <w:rPr>
          <w:sz w:val="24"/>
          <w:lang w:val="da-DK"/>
        </w:rPr>
        <w:t xml:space="preserve"> on the peer </w:t>
      </w:r>
      <w:proofErr w:type="spellStart"/>
      <w:r w:rsidRPr="00C73002">
        <w:rPr>
          <w:sz w:val="24"/>
          <w:lang w:val="da-DK"/>
        </w:rPr>
        <w:t>review</w:t>
      </w:r>
      <w:proofErr w:type="spellEnd"/>
      <w:r w:rsidRPr="00C73002">
        <w:rPr>
          <w:sz w:val="24"/>
          <w:lang w:val="da-DK"/>
        </w:rPr>
        <w:t xml:space="preserve"> of the </w:t>
      </w:r>
      <w:proofErr w:type="spellStart"/>
      <w:r w:rsidRPr="00C73002">
        <w:rPr>
          <w:sz w:val="24"/>
          <w:lang w:val="da-DK"/>
        </w:rPr>
        <w:t>pesticide</w:t>
      </w:r>
      <w:proofErr w:type="spellEnd"/>
      <w:r w:rsidRPr="00C73002">
        <w:rPr>
          <w:sz w:val="24"/>
          <w:lang w:val="da-DK"/>
        </w:rPr>
        <w:t xml:space="preserve"> </w:t>
      </w:r>
      <w:proofErr w:type="spellStart"/>
      <w:r w:rsidRPr="00C73002">
        <w:rPr>
          <w:sz w:val="24"/>
          <w:lang w:val="da-DK"/>
        </w:rPr>
        <w:t>risk</w:t>
      </w:r>
      <w:proofErr w:type="spellEnd"/>
      <w:r w:rsidRPr="00C73002">
        <w:rPr>
          <w:sz w:val="24"/>
          <w:lang w:val="da-DK"/>
        </w:rPr>
        <w:t xml:space="preserve"> </w:t>
      </w:r>
      <w:proofErr w:type="spellStart"/>
      <w:r w:rsidRPr="00C73002">
        <w:rPr>
          <w:sz w:val="24"/>
          <w:lang w:val="da-DK"/>
        </w:rPr>
        <w:t>assessment</w:t>
      </w:r>
      <w:proofErr w:type="spellEnd"/>
      <w:r w:rsidRPr="00C73002">
        <w:rPr>
          <w:sz w:val="24"/>
          <w:lang w:val="da-DK"/>
        </w:rPr>
        <w:t xml:space="preserve"> of the </w:t>
      </w:r>
      <w:proofErr w:type="spellStart"/>
      <w:r w:rsidRPr="00C73002">
        <w:rPr>
          <w:sz w:val="24"/>
          <w:lang w:val="da-DK"/>
        </w:rPr>
        <w:t>active</w:t>
      </w:r>
      <w:proofErr w:type="spellEnd"/>
      <w:r w:rsidRPr="00C73002">
        <w:rPr>
          <w:sz w:val="24"/>
          <w:lang w:val="da-DK"/>
        </w:rPr>
        <w:t xml:space="preserve"> </w:t>
      </w:r>
      <w:proofErr w:type="spellStart"/>
      <w:r w:rsidRPr="00C73002">
        <w:rPr>
          <w:sz w:val="24"/>
          <w:lang w:val="da-DK"/>
        </w:rPr>
        <w:t>substance</w:t>
      </w:r>
      <w:proofErr w:type="spellEnd"/>
      <w:r w:rsidRPr="00C73002">
        <w:rPr>
          <w:sz w:val="24"/>
          <w:lang w:val="da-DK"/>
        </w:rPr>
        <w:t xml:space="preserve"> </w:t>
      </w:r>
      <w:proofErr w:type="spellStart"/>
      <w:r w:rsidRPr="00C73002">
        <w:rPr>
          <w:sz w:val="24"/>
          <w:lang w:val="da-DK"/>
        </w:rPr>
        <w:t>thiacloprid</w:t>
      </w:r>
      <w:proofErr w:type="spellEnd"/>
      <w:r w:rsidRPr="00C73002">
        <w:rPr>
          <w:sz w:val="24"/>
          <w:lang w:val="da-DK"/>
        </w:rPr>
        <w:t xml:space="preserve">" (EFSA: Konklusioner vedrørende fagfællebedømmelsen af pesticidrisikovurderingen for aktivstoffet </w:t>
      </w:r>
      <w:proofErr w:type="spellStart"/>
      <w:r w:rsidRPr="00C73002">
        <w:rPr>
          <w:sz w:val="24"/>
          <w:lang w:val="da-DK"/>
        </w:rPr>
        <w:t>thiacloprid</w:t>
      </w:r>
      <w:proofErr w:type="spellEnd"/>
      <w:r w:rsidRPr="00C73002">
        <w:rPr>
          <w:sz w:val="24"/>
          <w:lang w:val="da-DK"/>
        </w:rPr>
        <w:t xml:space="preserve">), EFSA Journal 2019;17(3):5595, </w:t>
      </w:r>
      <w:hyperlink r:id="rId2" w:history="1">
        <w:r w:rsidRPr="00C73002">
          <w:rPr>
            <w:rStyle w:val="Hyperlink"/>
            <w:sz w:val="24"/>
            <w:lang w:val="da-DK"/>
          </w:rPr>
          <w:t>https://doi.org/10.2903/j.efsa.2019.5595</w:t>
        </w:r>
      </w:hyperlink>
      <w:r w:rsidRPr="00C73002">
        <w:rPr>
          <w:sz w:val="24"/>
          <w:lang w:val="da-DK"/>
        </w:rPr>
        <w:t>.</w:t>
      </w:r>
    </w:p>
  </w:footnote>
  <w:footnote w:id="6">
    <w:p w:rsidR="005F5714" w:rsidRPr="00C73002" w:rsidRDefault="005F5714" w:rsidP="00C73002">
      <w:pPr>
        <w:pStyle w:val="FootnoteText"/>
        <w:ind w:left="567" w:hanging="567"/>
        <w:rPr>
          <w:sz w:val="24"/>
          <w:szCs w:val="22"/>
          <w:lang w:val="da-DK"/>
        </w:rPr>
      </w:pPr>
      <w:r w:rsidRPr="00C73002">
        <w:rPr>
          <w:rStyle w:val="FootnoteReference"/>
          <w:sz w:val="24"/>
          <w:szCs w:val="22"/>
          <w:lang w:val="da-DK"/>
        </w:rPr>
        <w:footnoteRef/>
      </w:r>
      <w:r w:rsidR="00C73002" w:rsidRPr="00C73002">
        <w:rPr>
          <w:sz w:val="24"/>
          <w:lang w:val="da-DK"/>
        </w:rPr>
        <w:t xml:space="preserve"> </w:t>
      </w:r>
      <w:r w:rsidR="00C73002" w:rsidRPr="00C73002">
        <w:rPr>
          <w:sz w:val="24"/>
          <w:lang w:val="da-DK"/>
        </w:rPr>
        <w:tab/>
      </w:r>
      <w:r w:rsidRPr="00C73002">
        <w:rPr>
          <w:sz w:val="24"/>
          <w:lang w:val="da-DK"/>
        </w:rPr>
        <w:t>RAC-udtalelse om forslag til harmoniseret klassificering og mærkning på EU-plan af "</w:t>
      </w:r>
      <w:proofErr w:type="spellStart"/>
      <w:r w:rsidRPr="00C73002">
        <w:rPr>
          <w:sz w:val="24"/>
          <w:lang w:val="da-DK"/>
        </w:rPr>
        <w:t>Thiacloprid</w:t>
      </w:r>
      <w:proofErr w:type="spellEnd"/>
      <w:r w:rsidRPr="00C73002">
        <w:rPr>
          <w:sz w:val="24"/>
          <w:lang w:val="da-DK"/>
        </w:rPr>
        <w:t xml:space="preserve"> (ISO); {(2Z)-3-[(6-chloropyridin-3-yl)</w:t>
      </w:r>
      <w:proofErr w:type="spellStart"/>
      <w:r w:rsidRPr="00C73002">
        <w:rPr>
          <w:sz w:val="24"/>
          <w:lang w:val="da-DK"/>
        </w:rPr>
        <w:t>methyl</w:t>
      </w:r>
      <w:proofErr w:type="spellEnd"/>
      <w:r w:rsidRPr="00C73002">
        <w:rPr>
          <w:sz w:val="24"/>
          <w:lang w:val="da-DK"/>
        </w:rPr>
        <w:t>]-1,3-thiaz olidin-2-ylidene}</w:t>
      </w:r>
      <w:proofErr w:type="spellStart"/>
      <w:r w:rsidRPr="00C73002">
        <w:rPr>
          <w:sz w:val="24"/>
          <w:lang w:val="da-DK"/>
        </w:rPr>
        <w:t>cyanamide</w:t>
      </w:r>
      <w:proofErr w:type="spellEnd"/>
      <w:r w:rsidRPr="00C73002">
        <w:rPr>
          <w:sz w:val="24"/>
          <w:lang w:val="da-DK"/>
        </w:rPr>
        <w:t xml:space="preserve">", </w:t>
      </w:r>
      <w:hyperlink r:id="rId3" w:history="1">
        <w:r w:rsidRPr="00C73002">
          <w:rPr>
            <w:rStyle w:val="Hyperlink"/>
            <w:sz w:val="24"/>
            <w:lang w:val="da-DK"/>
          </w:rPr>
          <w:t>https://echa.europa.eu/registry-of-clh-intentions-until-outcome/-/dislist/details/0b0236e180638ff8</w:t>
        </w:r>
      </w:hyperlink>
      <w:r w:rsidRPr="00C73002">
        <w:rPr>
          <w:sz w:val="24"/>
          <w:lang w:val="da-DK"/>
        </w:rPr>
        <w:t>.</w:t>
      </w:r>
    </w:p>
  </w:footnote>
  <w:footnote w:id="7">
    <w:p w:rsidR="005F5714" w:rsidRPr="00C73002" w:rsidRDefault="005F5714" w:rsidP="00C73002">
      <w:pPr>
        <w:pStyle w:val="FootnoteText"/>
        <w:ind w:left="567" w:hanging="567"/>
        <w:rPr>
          <w:sz w:val="24"/>
          <w:szCs w:val="22"/>
          <w:lang w:val="da-DK"/>
        </w:rPr>
      </w:pPr>
      <w:r w:rsidRPr="00C73002">
        <w:rPr>
          <w:rStyle w:val="FootnoteReference"/>
          <w:sz w:val="24"/>
          <w:szCs w:val="22"/>
          <w:lang w:val="da-DK"/>
        </w:rPr>
        <w:footnoteRef/>
      </w:r>
      <w:r w:rsidR="00C73002" w:rsidRPr="00C73002">
        <w:rPr>
          <w:sz w:val="24"/>
          <w:lang w:val="da-DK"/>
        </w:rPr>
        <w:t xml:space="preserve"> </w:t>
      </w:r>
      <w:r w:rsidR="00C73002" w:rsidRPr="00C73002">
        <w:rPr>
          <w:sz w:val="24"/>
          <w:lang w:val="da-DK"/>
        </w:rPr>
        <w:tab/>
      </w:r>
      <w:r w:rsidRPr="00C73002">
        <w:rPr>
          <w:sz w:val="24"/>
          <w:lang w:val="da-DK"/>
        </w:rPr>
        <w:t>EUT L 184 af 17.7.1999, s. 23.</w:t>
      </w:r>
    </w:p>
  </w:footnote>
  <w:footnote w:id="8">
    <w:p w:rsidR="005F5714" w:rsidRPr="00C73002" w:rsidRDefault="005F5714" w:rsidP="00C73002">
      <w:pPr>
        <w:pStyle w:val="FootnoteText"/>
        <w:ind w:left="567" w:hanging="567"/>
        <w:rPr>
          <w:sz w:val="24"/>
          <w:szCs w:val="22"/>
          <w:lang w:val="da-DK"/>
        </w:rPr>
      </w:pPr>
      <w:r w:rsidRPr="00C73002">
        <w:rPr>
          <w:rStyle w:val="FootnoteReference"/>
          <w:sz w:val="24"/>
          <w:szCs w:val="22"/>
          <w:lang w:val="da-DK"/>
        </w:rPr>
        <w:footnoteRef/>
      </w:r>
      <w:r w:rsidR="00C73002" w:rsidRPr="00C73002">
        <w:rPr>
          <w:sz w:val="24"/>
          <w:lang w:val="da-DK"/>
        </w:rPr>
        <w:t xml:space="preserve"> </w:t>
      </w:r>
      <w:r w:rsidR="00C73002" w:rsidRPr="00C73002">
        <w:rPr>
          <w:sz w:val="24"/>
          <w:lang w:val="da-DK"/>
        </w:rPr>
        <w:tab/>
      </w:r>
      <w:r w:rsidRPr="00C73002">
        <w:rPr>
          <w:sz w:val="24"/>
          <w:lang w:val="da-DK"/>
        </w:rPr>
        <w:t xml:space="preserve">Kommissionens gennemførelsesforordning (EU) 2020/23 af 13. januar 2020 om ikke at forny godkendelsen af aktivstoffet </w:t>
      </w:r>
      <w:proofErr w:type="spellStart"/>
      <w:r w:rsidRPr="00C73002">
        <w:rPr>
          <w:sz w:val="24"/>
          <w:lang w:val="da-DK"/>
        </w:rPr>
        <w:t>thiacloprid</w:t>
      </w:r>
      <w:proofErr w:type="spellEnd"/>
      <w:r w:rsidRPr="00C73002">
        <w:rPr>
          <w:sz w:val="24"/>
          <w:lang w:val="da-DK"/>
        </w:rPr>
        <w:t>, jf. Europa-Parlamentets og Rådets forordning (EF) nr. 1107/2009 om markedsføring af plantebeskyttelsesmidler, og om ændring af bilaget til Kommissionens gennemførelsesforordning (EU) nr. 540/2011 (EUT L 8 af 14.1.2020, s. 8).</w:t>
      </w:r>
    </w:p>
  </w:footnote>
  <w:footnote w:id="9">
    <w:p w:rsidR="005F5714" w:rsidRPr="00C73002" w:rsidRDefault="005F5714" w:rsidP="00C73002">
      <w:pPr>
        <w:pStyle w:val="FootnoteText"/>
        <w:ind w:left="567" w:hanging="567"/>
        <w:rPr>
          <w:sz w:val="24"/>
          <w:szCs w:val="22"/>
          <w:lang w:val="da-DK"/>
        </w:rPr>
      </w:pPr>
      <w:r w:rsidRPr="00C73002">
        <w:rPr>
          <w:rStyle w:val="FootnoteReference"/>
          <w:sz w:val="24"/>
          <w:szCs w:val="22"/>
          <w:lang w:val="da-DK"/>
        </w:rPr>
        <w:footnoteRef/>
      </w:r>
      <w:r w:rsidR="00C73002" w:rsidRPr="00C73002">
        <w:rPr>
          <w:sz w:val="24"/>
          <w:lang w:val="da-DK"/>
        </w:rPr>
        <w:t xml:space="preserve"> </w:t>
      </w:r>
      <w:r w:rsidR="00C73002" w:rsidRPr="00C73002">
        <w:rPr>
          <w:sz w:val="24"/>
          <w:lang w:val="da-DK"/>
        </w:rPr>
        <w:tab/>
      </w:r>
      <w:proofErr w:type="spellStart"/>
      <w:r w:rsidRPr="00C73002">
        <w:rPr>
          <w:sz w:val="24"/>
          <w:lang w:val="da-DK"/>
        </w:rPr>
        <w:t>EFSA's</w:t>
      </w:r>
      <w:proofErr w:type="spellEnd"/>
      <w:r w:rsidRPr="00C73002">
        <w:rPr>
          <w:sz w:val="24"/>
          <w:lang w:val="da-DK"/>
        </w:rPr>
        <w:t xml:space="preserve"> konklusioner af 17. januar 2019.</w:t>
      </w:r>
    </w:p>
  </w:footnote>
  <w:footnote w:id="10">
    <w:p w:rsidR="005F5714" w:rsidRPr="00C73002" w:rsidRDefault="005F5714" w:rsidP="00C73002">
      <w:pPr>
        <w:pStyle w:val="FootnoteText"/>
        <w:ind w:left="567" w:hanging="567"/>
        <w:rPr>
          <w:sz w:val="24"/>
          <w:szCs w:val="22"/>
          <w:lang w:val="da-DK"/>
        </w:rPr>
      </w:pPr>
      <w:r w:rsidRPr="00C73002">
        <w:rPr>
          <w:rStyle w:val="FootnoteReference"/>
          <w:sz w:val="24"/>
          <w:szCs w:val="22"/>
          <w:lang w:val="da-DK"/>
        </w:rPr>
        <w:footnoteRef/>
      </w:r>
      <w:r w:rsidR="00C73002" w:rsidRPr="00C73002">
        <w:rPr>
          <w:sz w:val="24"/>
          <w:lang w:val="da-DK"/>
        </w:rPr>
        <w:t xml:space="preserve"> </w:t>
      </w:r>
      <w:r w:rsidR="00C73002" w:rsidRPr="00C73002">
        <w:rPr>
          <w:sz w:val="24"/>
          <w:lang w:val="da-DK"/>
        </w:rPr>
        <w:tab/>
      </w:r>
      <w:r w:rsidRPr="00C73002">
        <w:rPr>
          <w:sz w:val="24"/>
          <w:lang w:val="da-DK"/>
        </w:rPr>
        <w:t>Europa-Parlamentets og Rådets forordning (EF) nr. 1272/2008 af 16. december 2008 om klassificering, mærkning og emballering af stoffer og blandinger og om ændring og ophævelse af direktiv 67/548/EØF og 1999/45/EF og om ændring af forordning (EF) nr. 1907/2006, EUT L 353 af 31.12.2008, s. 1.</w:t>
      </w:r>
    </w:p>
  </w:footnote>
  <w:footnote w:id="11">
    <w:p w:rsidR="005F5714" w:rsidRPr="00C73002" w:rsidRDefault="005F5714" w:rsidP="00C73002">
      <w:pPr>
        <w:pStyle w:val="FootnoteText"/>
        <w:ind w:left="567" w:hanging="567"/>
        <w:rPr>
          <w:sz w:val="24"/>
          <w:szCs w:val="22"/>
          <w:lang w:val="da-DK"/>
        </w:rPr>
      </w:pPr>
      <w:r w:rsidRPr="00C73002">
        <w:rPr>
          <w:rStyle w:val="FootnoteReference"/>
          <w:sz w:val="24"/>
          <w:szCs w:val="22"/>
          <w:lang w:val="da-DK"/>
        </w:rPr>
        <w:footnoteRef/>
      </w:r>
      <w:r w:rsidR="00C73002" w:rsidRPr="00C73002">
        <w:rPr>
          <w:sz w:val="24"/>
          <w:lang w:val="da-DK"/>
        </w:rPr>
        <w:t xml:space="preserve"> </w:t>
      </w:r>
      <w:r w:rsidR="00C73002" w:rsidRPr="00C73002">
        <w:rPr>
          <w:sz w:val="24"/>
          <w:lang w:val="da-DK"/>
        </w:rPr>
        <w:tab/>
      </w:r>
      <w:r w:rsidRPr="00C73002">
        <w:rPr>
          <w:sz w:val="24"/>
          <w:lang w:val="da-DK"/>
        </w:rPr>
        <w:t xml:space="preserve">Sammenfattende rapport fra mødet i Den Stående Komité for Planter, Dyr, Fødevarer og Foder den 18.-19. september 2023, </w:t>
      </w:r>
      <w:hyperlink r:id="rId4" w:history="1">
        <w:r w:rsidRPr="00C73002">
          <w:rPr>
            <w:rStyle w:val="Hyperlink"/>
            <w:sz w:val="24"/>
            <w:lang w:val="da-DK"/>
          </w:rPr>
          <w:t>https://ec.europa.eu/transparency/comitology-register/screen/documents/092486/1/consult?lang=da</w:t>
        </w:r>
      </w:hyperlink>
      <w:r w:rsidRPr="00C73002">
        <w:rPr>
          <w:sz w:val="24"/>
          <w:lang w:val="da-DK"/>
        </w:rPr>
        <w:t>.</w:t>
      </w:r>
    </w:p>
  </w:footnote>
  <w:footnote w:id="12">
    <w:p w:rsidR="005F5714" w:rsidRPr="00C73002" w:rsidRDefault="005F5714" w:rsidP="00C73002">
      <w:pPr>
        <w:pStyle w:val="FootnoteText"/>
        <w:ind w:left="567" w:hanging="567"/>
        <w:rPr>
          <w:sz w:val="24"/>
          <w:szCs w:val="22"/>
          <w:lang w:val="da-DK"/>
        </w:rPr>
      </w:pPr>
      <w:r w:rsidRPr="00C73002">
        <w:rPr>
          <w:rStyle w:val="FootnoteReference"/>
          <w:sz w:val="24"/>
          <w:szCs w:val="22"/>
          <w:lang w:val="da-DK"/>
        </w:rPr>
        <w:footnoteRef/>
      </w:r>
      <w:r w:rsidR="00C73002" w:rsidRPr="00C73002">
        <w:rPr>
          <w:sz w:val="24"/>
          <w:lang w:val="da-DK"/>
        </w:rPr>
        <w:t xml:space="preserve"> </w:t>
      </w:r>
      <w:r w:rsidR="00C73002" w:rsidRPr="00C73002">
        <w:rPr>
          <w:sz w:val="24"/>
          <w:lang w:val="da-DK"/>
        </w:rPr>
        <w:tab/>
      </w:r>
      <w:r w:rsidRPr="00C73002">
        <w:rPr>
          <w:sz w:val="24"/>
          <w:lang w:val="da-DK"/>
        </w:rPr>
        <w:t>Ibid.</w:t>
      </w:r>
    </w:p>
  </w:footnote>
  <w:footnote w:id="13">
    <w:p w:rsidR="005F5714" w:rsidRPr="00C73002" w:rsidRDefault="005F5714" w:rsidP="00C73002">
      <w:pPr>
        <w:pStyle w:val="FootnoteText"/>
        <w:ind w:left="567" w:hanging="567"/>
        <w:rPr>
          <w:sz w:val="24"/>
          <w:szCs w:val="22"/>
          <w:lang w:val="da-DK"/>
        </w:rPr>
      </w:pPr>
      <w:r w:rsidRPr="00C73002">
        <w:rPr>
          <w:rStyle w:val="FootnoteReference"/>
          <w:sz w:val="24"/>
          <w:szCs w:val="22"/>
          <w:lang w:val="da-DK"/>
        </w:rPr>
        <w:footnoteRef/>
      </w:r>
      <w:r w:rsidR="00C73002" w:rsidRPr="00C73002">
        <w:rPr>
          <w:sz w:val="24"/>
          <w:lang w:val="da-DK"/>
        </w:rPr>
        <w:t xml:space="preserve"> </w:t>
      </w:r>
      <w:r w:rsidR="00C73002" w:rsidRPr="00C73002">
        <w:rPr>
          <w:sz w:val="24"/>
          <w:lang w:val="da-DK"/>
        </w:rPr>
        <w:tab/>
      </w:r>
      <w:proofErr w:type="spellStart"/>
      <w:r w:rsidRPr="00C73002">
        <w:rPr>
          <w:sz w:val="24"/>
          <w:lang w:val="da-DK"/>
        </w:rPr>
        <w:t>EFSA's</w:t>
      </w:r>
      <w:proofErr w:type="spellEnd"/>
      <w:r w:rsidRPr="00C73002">
        <w:rPr>
          <w:sz w:val="24"/>
          <w:lang w:val="da-DK"/>
        </w:rPr>
        <w:t xml:space="preserve"> begrundede udtalelse af 9. februar 2023.</w:t>
      </w:r>
    </w:p>
  </w:footnote>
  <w:footnote w:id="14">
    <w:p w:rsidR="005F5714" w:rsidRPr="00C73002" w:rsidRDefault="005F5714" w:rsidP="00C73002">
      <w:pPr>
        <w:pStyle w:val="FootnoteText"/>
        <w:ind w:left="567" w:hanging="567"/>
        <w:rPr>
          <w:sz w:val="24"/>
          <w:szCs w:val="22"/>
          <w:lang w:val="da-DK"/>
        </w:rPr>
      </w:pPr>
      <w:r w:rsidRPr="00C73002">
        <w:rPr>
          <w:rStyle w:val="FootnoteReference"/>
          <w:sz w:val="24"/>
          <w:szCs w:val="22"/>
          <w:lang w:val="da-DK"/>
        </w:rPr>
        <w:footnoteRef/>
      </w:r>
      <w:r w:rsidR="00C73002" w:rsidRPr="00C73002">
        <w:rPr>
          <w:sz w:val="24"/>
          <w:lang w:val="da-DK"/>
        </w:rPr>
        <w:t xml:space="preserve"> </w:t>
      </w:r>
      <w:r w:rsidR="00C73002" w:rsidRPr="00C73002">
        <w:rPr>
          <w:sz w:val="24"/>
          <w:lang w:val="da-DK"/>
        </w:rPr>
        <w:tab/>
      </w:r>
      <w:r w:rsidRPr="00C73002">
        <w:rPr>
          <w:sz w:val="24"/>
          <w:lang w:val="da-DK"/>
        </w:rPr>
        <w:t>J.P. van der </w:t>
      </w:r>
      <w:proofErr w:type="spellStart"/>
      <w:r w:rsidRPr="00C73002">
        <w:rPr>
          <w:sz w:val="24"/>
          <w:lang w:val="da-DK"/>
        </w:rPr>
        <w:t>Sluijs</w:t>
      </w:r>
      <w:proofErr w:type="spellEnd"/>
      <w:r w:rsidRPr="00C73002">
        <w:rPr>
          <w:sz w:val="24"/>
          <w:lang w:val="da-DK"/>
        </w:rPr>
        <w:t xml:space="preserve"> og N.S. Vaage: "</w:t>
      </w:r>
      <w:proofErr w:type="spellStart"/>
      <w:r w:rsidRPr="00C73002">
        <w:rPr>
          <w:sz w:val="24"/>
          <w:lang w:val="da-DK"/>
        </w:rPr>
        <w:t>Pollinators</w:t>
      </w:r>
      <w:proofErr w:type="spellEnd"/>
      <w:r w:rsidRPr="00C73002">
        <w:rPr>
          <w:sz w:val="24"/>
          <w:lang w:val="da-DK"/>
        </w:rPr>
        <w:t xml:space="preserve"> and Global Food Security: the </w:t>
      </w:r>
      <w:proofErr w:type="spellStart"/>
      <w:r w:rsidRPr="00C73002">
        <w:rPr>
          <w:sz w:val="24"/>
          <w:lang w:val="da-DK"/>
        </w:rPr>
        <w:t>Need</w:t>
      </w:r>
      <w:proofErr w:type="spellEnd"/>
      <w:r w:rsidRPr="00C73002">
        <w:rPr>
          <w:sz w:val="24"/>
          <w:lang w:val="da-DK"/>
        </w:rPr>
        <w:t xml:space="preserve"> for </w:t>
      </w:r>
      <w:proofErr w:type="spellStart"/>
      <w:r w:rsidRPr="00C73002">
        <w:rPr>
          <w:sz w:val="24"/>
          <w:lang w:val="da-DK"/>
        </w:rPr>
        <w:t>Holistic</w:t>
      </w:r>
      <w:proofErr w:type="spellEnd"/>
      <w:r w:rsidRPr="00C73002">
        <w:rPr>
          <w:sz w:val="24"/>
          <w:lang w:val="da-DK"/>
        </w:rPr>
        <w:t xml:space="preserve"> Global </w:t>
      </w:r>
      <w:proofErr w:type="spellStart"/>
      <w:r w:rsidRPr="00C73002">
        <w:rPr>
          <w:sz w:val="24"/>
          <w:lang w:val="da-DK"/>
        </w:rPr>
        <w:t>Stewardship</w:t>
      </w:r>
      <w:proofErr w:type="spellEnd"/>
      <w:r w:rsidRPr="00C73002">
        <w:rPr>
          <w:sz w:val="24"/>
          <w:lang w:val="da-DK"/>
        </w:rPr>
        <w:t>" (</w:t>
      </w:r>
      <w:proofErr w:type="spellStart"/>
      <w:r w:rsidRPr="00C73002">
        <w:rPr>
          <w:sz w:val="24"/>
          <w:lang w:val="da-DK"/>
        </w:rPr>
        <w:t>Bestøvere</w:t>
      </w:r>
      <w:proofErr w:type="spellEnd"/>
      <w:r w:rsidRPr="00C73002">
        <w:rPr>
          <w:sz w:val="24"/>
          <w:lang w:val="da-DK"/>
        </w:rPr>
        <w:t xml:space="preserve"> og global fødevaresikkerhed: Behovet for holistisk global forvaltning), Food </w:t>
      </w:r>
      <w:proofErr w:type="spellStart"/>
      <w:r w:rsidRPr="00C73002">
        <w:rPr>
          <w:sz w:val="24"/>
          <w:lang w:val="da-DK"/>
        </w:rPr>
        <w:t>ethics</w:t>
      </w:r>
      <w:proofErr w:type="spellEnd"/>
      <w:r w:rsidRPr="00C73002">
        <w:rPr>
          <w:sz w:val="24"/>
          <w:lang w:val="da-DK"/>
        </w:rPr>
        <w:t xml:space="preserve"> 1, s. 75-91 (2016), </w:t>
      </w:r>
      <w:hyperlink r:id="rId5" w:history="1">
        <w:r w:rsidRPr="00C73002">
          <w:rPr>
            <w:rStyle w:val="Hyperlink"/>
            <w:sz w:val="24"/>
            <w:lang w:val="da-DK"/>
          </w:rPr>
          <w:t>https://doi.org/10.1007/s41055-016-0003-z</w:t>
        </w:r>
      </w:hyperlink>
      <w:r w:rsidRPr="00C73002">
        <w:rPr>
          <w:sz w:val="24"/>
          <w:lang w:val="da-DK"/>
        </w:rPr>
        <w:t>.</w:t>
      </w:r>
    </w:p>
  </w:footnote>
  <w:footnote w:id="15">
    <w:p w:rsidR="005F5714" w:rsidRPr="00C73002" w:rsidRDefault="005F5714" w:rsidP="00C73002">
      <w:pPr>
        <w:pStyle w:val="FootnoteText"/>
        <w:ind w:left="567" w:hanging="567"/>
        <w:rPr>
          <w:iCs/>
          <w:sz w:val="24"/>
          <w:szCs w:val="22"/>
          <w:lang w:val="da-DK"/>
        </w:rPr>
      </w:pPr>
      <w:r w:rsidRPr="00C73002">
        <w:rPr>
          <w:iCs/>
          <w:sz w:val="24"/>
          <w:szCs w:val="22"/>
          <w:vertAlign w:val="superscript"/>
          <w:lang w:val="da-DK"/>
        </w:rPr>
        <w:footnoteRef/>
      </w:r>
      <w:r w:rsidR="00C73002" w:rsidRPr="00C73002">
        <w:rPr>
          <w:sz w:val="24"/>
          <w:lang w:val="da-DK"/>
        </w:rPr>
        <w:t xml:space="preserve"> </w:t>
      </w:r>
      <w:r w:rsidR="00C73002" w:rsidRPr="00C73002">
        <w:rPr>
          <w:sz w:val="24"/>
          <w:lang w:val="da-DK"/>
        </w:rPr>
        <w:tab/>
      </w:r>
      <w:proofErr w:type="gramStart"/>
      <w:r w:rsidRPr="00C73002">
        <w:rPr>
          <w:sz w:val="24"/>
          <w:lang w:val="da-DK"/>
        </w:rPr>
        <w:t>COM(</w:t>
      </w:r>
      <w:proofErr w:type="gramEnd"/>
      <w:r w:rsidRPr="00C73002">
        <w:rPr>
          <w:sz w:val="24"/>
          <w:lang w:val="da-DK"/>
        </w:rPr>
        <w:t>2020)0381.</w:t>
      </w:r>
    </w:p>
  </w:footnote>
  <w:footnote w:id="16">
    <w:p w:rsidR="005F5714" w:rsidRPr="00C73002" w:rsidRDefault="005F5714" w:rsidP="00C73002">
      <w:pPr>
        <w:pStyle w:val="FootnoteText"/>
        <w:ind w:left="567" w:hanging="567"/>
        <w:rPr>
          <w:sz w:val="24"/>
          <w:szCs w:val="22"/>
          <w:lang w:val="da-DK"/>
        </w:rPr>
      </w:pPr>
      <w:r w:rsidRPr="00C73002">
        <w:rPr>
          <w:rStyle w:val="FootnoteReference"/>
          <w:sz w:val="24"/>
          <w:szCs w:val="22"/>
          <w:lang w:val="da-DK"/>
        </w:rPr>
        <w:footnoteRef/>
      </w:r>
      <w:r w:rsidR="00C73002" w:rsidRPr="00C73002">
        <w:rPr>
          <w:sz w:val="24"/>
          <w:lang w:val="da-DK"/>
        </w:rPr>
        <w:t xml:space="preserve"> </w:t>
      </w:r>
      <w:r w:rsidR="00C73002" w:rsidRPr="00C73002">
        <w:rPr>
          <w:sz w:val="24"/>
          <w:lang w:val="da-DK"/>
        </w:rPr>
        <w:tab/>
      </w:r>
      <w:r w:rsidRPr="00C73002">
        <w:rPr>
          <w:sz w:val="24"/>
          <w:lang w:val="da-DK"/>
        </w:rPr>
        <w:t xml:space="preserve">Kommissionens forordning (EU) 2023/334 af 2. februar 2023 om ændring af bilag II og V til Europa-Parlamentets og Rådets forordning (EF) nr. 396/2005 for så vidt angår maksimalgrænseværdierne for restkoncentrationer af </w:t>
      </w:r>
      <w:proofErr w:type="spellStart"/>
      <w:r w:rsidRPr="00C73002">
        <w:rPr>
          <w:sz w:val="24"/>
          <w:lang w:val="da-DK"/>
        </w:rPr>
        <w:t>clothianidin</w:t>
      </w:r>
      <w:proofErr w:type="spellEnd"/>
      <w:r w:rsidRPr="00C73002">
        <w:rPr>
          <w:sz w:val="24"/>
          <w:lang w:val="da-DK"/>
        </w:rPr>
        <w:t xml:space="preserve"> og </w:t>
      </w:r>
      <w:proofErr w:type="spellStart"/>
      <w:r w:rsidRPr="00C73002">
        <w:rPr>
          <w:sz w:val="24"/>
          <w:lang w:val="da-DK"/>
        </w:rPr>
        <w:t>thiamethoxam</w:t>
      </w:r>
      <w:proofErr w:type="spellEnd"/>
      <w:r w:rsidRPr="00C73002">
        <w:rPr>
          <w:sz w:val="24"/>
          <w:lang w:val="da-DK"/>
        </w:rPr>
        <w:t xml:space="preserve"> i eller på visse produkter (EUT L 47 af 15.2.2023, s. 29).</w:t>
      </w:r>
    </w:p>
  </w:footnote>
  <w:footnote w:id="17">
    <w:p w:rsidR="005F5714" w:rsidRPr="00C73002" w:rsidRDefault="005F5714" w:rsidP="00C73002">
      <w:pPr>
        <w:pStyle w:val="FootnoteText"/>
        <w:ind w:left="567" w:hanging="567"/>
        <w:rPr>
          <w:sz w:val="24"/>
          <w:szCs w:val="22"/>
          <w:lang w:val="da-DK"/>
        </w:rPr>
      </w:pPr>
      <w:r w:rsidRPr="00C73002">
        <w:rPr>
          <w:rStyle w:val="FootnoteReference"/>
          <w:sz w:val="24"/>
          <w:szCs w:val="22"/>
          <w:lang w:val="da-DK"/>
        </w:rPr>
        <w:footnoteRef/>
      </w:r>
      <w:r w:rsidR="00C73002" w:rsidRPr="00C73002">
        <w:rPr>
          <w:sz w:val="24"/>
          <w:lang w:val="da-DK"/>
        </w:rPr>
        <w:t xml:space="preserve"> </w:t>
      </w:r>
      <w:r w:rsidR="00C73002" w:rsidRPr="00C73002">
        <w:rPr>
          <w:sz w:val="24"/>
          <w:lang w:val="da-DK"/>
        </w:rPr>
        <w:tab/>
      </w:r>
      <w:r w:rsidRPr="00C73002">
        <w:rPr>
          <w:sz w:val="24"/>
          <w:lang w:val="da-DK"/>
        </w:rPr>
        <w:t>Ibid.</w:t>
      </w:r>
    </w:p>
  </w:footnote>
  <w:footnote w:id="18">
    <w:p w:rsidR="005F5714" w:rsidRPr="00C73002" w:rsidRDefault="005F5714" w:rsidP="00C73002">
      <w:pPr>
        <w:pStyle w:val="FootnoteText"/>
        <w:ind w:left="567" w:hanging="567"/>
        <w:rPr>
          <w:sz w:val="24"/>
          <w:szCs w:val="22"/>
          <w:lang w:val="da-DK"/>
        </w:rPr>
      </w:pPr>
      <w:r w:rsidRPr="00C73002">
        <w:rPr>
          <w:rStyle w:val="FootnoteReference"/>
          <w:sz w:val="24"/>
          <w:szCs w:val="22"/>
          <w:lang w:val="da-DK"/>
        </w:rPr>
        <w:footnoteRef/>
      </w:r>
      <w:r w:rsidR="00C73002" w:rsidRPr="00C73002">
        <w:rPr>
          <w:sz w:val="24"/>
          <w:lang w:val="da-DK"/>
        </w:rPr>
        <w:t xml:space="preserve"> </w:t>
      </w:r>
      <w:r w:rsidR="00C73002" w:rsidRPr="00C73002">
        <w:rPr>
          <w:sz w:val="24"/>
          <w:lang w:val="da-DK"/>
        </w:rPr>
        <w:tab/>
      </w:r>
      <w:r w:rsidRPr="00C73002">
        <w:rPr>
          <w:sz w:val="24"/>
          <w:lang w:val="da-DK"/>
        </w:rPr>
        <w:t xml:space="preserve">Sammenfattende rapport fra mødet i Den Stående Komité for Planter, Dyr, Fødevarer og Foder den 10.-11. maj 2023, </w:t>
      </w:r>
      <w:hyperlink r:id="rId6" w:history="1">
        <w:r w:rsidRPr="00C73002">
          <w:rPr>
            <w:rStyle w:val="Hyperlink"/>
            <w:sz w:val="24"/>
            <w:lang w:val="da-DK"/>
          </w:rPr>
          <w:t>https://ec.europa.eu/transparency/comitology-register/screen/documents/090500/1/consult?lang=da</w:t>
        </w:r>
      </w:hyperlink>
      <w:r w:rsidRPr="00C73002">
        <w:rPr>
          <w:sz w:val="24"/>
          <w:lang w:val="da-DK"/>
        </w:rPr>
        <w:t>.</w:t>
      </w:r>
    </w:p>
  </w:footnote>
  <w:footnote w:id="19">
    <w:p w:rsidR="005F5714" w:rsidRPr="00C73002" w:rsidRDefault="005F5714" w:rsidP="00C73002">
      <w:pPr>
        <w:pStyle w:val="FootnoteText"/>
        <w:ind w:left="567" w:hanging="567"/>
        <w:rPr>
          <w:sz w:val="24"/>
          <w:szCs w:val="22"/>
          <w:lang w:val="da-DK"/>
        </w:rPr>
      </w:pPr>
      <w:r w:rsidRPr="00C73002">
        <w:rPr>
          <w:rStyle w:val="FootnoteReference"/>
          <w:sz w:val="24"/>
          <w:szCs w:val="22"/>
          <w:lang w:val="da-DK"/>
        </w:rPr>
        <w:footnoteRef/>
      </w:r>
      <w:r w:rsidR="00C73002" w:rsidRPr="00C73002">
        <w:rPr>
          <w:sz w:val="24"/>
          <w:lang w:val="da-DK"/>
        </w:rPr>
        <w:t xml:space="preserve"> </w:t>
      </w:r>
      <w:r w:rsidR="00C73002" w:rsidRPr="00C73002">
        <w:rPr>
          <w:sz w:val="24"/>
          <w:lang w:val="da-DK"/>
        </w:rPr>
        <w:tab/>
      </w:r>
      <w:r w:rsidRPr="00C73002">
        <w:rPr>
          <w:sz w:val="24"/>
          <w:lang w:val="da-DK"/>
        </w:rPr>
        <w:t>C. Ellis, K.J. Park, P. Whitehorn, A. David og D. </w:t>
      </w:r>
      <w:proofErr w:type="spellStart"/>
      <w:r w:rsidRPr="00C73002">
        <w:rPr>
          <w:sz w:val="24"/>
          <w:lang w:val="da-DK"/>
        </w:rPr>
        <w:t>Goulson</w:t>
      </w:r>
      <w:proofErr w:type="spellEnd"/>
      <w:r w:rsidRPr="00C73002">
        <w:rPr>
          <w:sz w:val="24"/>
          <w:lang w:val="da-DK"/>
        </w:rPr>
        <w:t xml:space="preserve">: "The </w:t>
      </w:r>
      <w:proofErr w:type="spellStart"/>
      <w:r w:rsidRPr="00C73002">
        <w:rPr>
          <w:sz w:val="24"/>
          <w:lang w:val="da-DK"/>
        </w:rPr>
        <w:t>Neonicotinoid</w:t>
      </w:r>
      <w:proofErr w:type="spellEnd"/>
      <w:r w:rsidRPr="00C73002">
        <w:rPr>
          <w:sz w:val="24"/>
          <w:lang w:val="da-DK"/>
        </w:rPr>
        <w:t xml:space="preserve"> </w:t>
      </w:r>
      <w:proofErr w:type="spellStart"/>
      <w:r w:rsidRPr="00C73002">
        <w:rPr>
          <w:sz w:val="24"/>
          <w:lang w:val="da-DK"/>
        </w:rPr>
        <w:t>Insecticide</w:t>
      </w:r>
      <w:proofErr w:type="spellEnd"/>
      <w:r w:rsidRPr="00C73002">
        <w:rPr>
          <w:sz w:val="24"/>
          <w:lang w:val="da-DK"/>
        </w:rPr>
        <w:t xml:space="preserve"> </w:t>
      </w:r>
      <w:proofErr w:type="spellStart"/>
      <w:r w:rsidRPr="00C73002">
        <w:rPr>
          <w:sz w:val="24"/>
          <w:lang w:val="da-DK"/>
        </w:rPr>
        <w:t>Thiacloprid</w:t>
      </w:r>
      <w:proofErr w:type="spellEnd"/>
      <w:r w:rsidRPr="00C73002">
        <w:rPr>
          <w:sz w:val="24"/>
          <w:lang w:val="da-DK"/>
        </w:rPr>
        <w:t xml:space="preserve"> </w:t>
      </w:r>
      <w:proofErr w:type="spellStart"/>
      <w:r w:rsidRPr="00C73002">
        <w:rPr>
          <w:sz w:val="24"/>
          <w:lang w:val="da-DK"/>
        </w:rPr>
        <w:t>Impacts</w:t>
      </w:r>
      <w:proofErr w:type="spellEnd"/>
      <w:r w:rsidRPr="00C73002">
        <w:rPr>
          <w:sz w:val="24"/>
          <w:lang w:val="da-DK"/>
        </w:rPr>
        <w:t xml:space="preserve"> upon </w:t>
      </w:r>
      <w:proofErr w:type="spellStart"/>
      <w:r w:rsidRPr="00C73002">
        <w:rPr>
          <w:sz w:val="24"/>
          <w:lang w:val="da-DK"/>
        </w:rPr>
        <w:t>Bumblebee</w:t>
      </w:r>
      <w:proofErr w:type="spellEnd"/>
      <w:r w:rsidRPr="00C73002">
        <w:rPr>
          <w:sz w:val="24"/>
          <w:lang w:val="da-DK"/>
        </w:rPr>
        <w:t xml:space="preserve"> </w:t>
      </w:r>
      <w:proofErr w:type="spellStart"/>
      <w:r w:rsidRPr="00C73002">
        <w:rPr>
          <w:sz w:val="24"/>
          <w:lang w:val="da-DK"/>
        </w:rPr>
        <w:t>Colony</w:t>
      </w:r>
      <w:proofErr w:type="spellEnd"/>
      <w:r w:rsidRPr="00C73002">
        <w:rPr>
          <w:sz w:val="24"/>
          <w:lang w:val="da-DK"/>
        </w:rPr>
        <w:t xml:space="preserve"> Development under Field </w:t>
      </w:r>
      <w:proofErr w:type="spellStart"/>
      <w:r w:rsidRPr="00C73002">
        <w:rPr>
          <w:sz w:val="24"/>
          <w:lang w:val="da-DK"/>
        </w:rPr>
        <w:t>Conditions</w:t>
      </w:r>
      <w:proofErr w:type="spellEnd"/>
      <w:r w:rsidRPr="00C73002">
        <w:rPr>
          <w:sz w:val="24"/>
          <w:lang w:val="da-DK"/>
        </w:rPr>
        <w:t xml:space="preserve">" (Indvirkninger af </w:t>
      </w:r>
      <w:proofErr w:type="spellStart"/>
      <w:r w:rsidRPr="00C73002">
        <w:rPr>
          <w:sz w:val="24"/>
          <w:lang w:val="da-DK"/>
        </w:rPr>
        <w:t>neonicotinoid</w:t>
      </w:r>
      <w:proofErr w:type="spellEnd"/>
      <w:r w:rsidRPr="00C73002">
        <w:rPr>
          <w:sz w:val="24"/>
          <w:lang w:val="da-DK"/>
        </w:rPr>
        <w:t xml:space="preserve">-insekticidet </w:t>
      </w:r>
      <w:proofErr w:type="spellStart"/>
      <w:r w:rsidRPr="00C73002">
        <w:rPr>
          <w:sz w:val="24"/>
          <w:lang w:val="da-DK"/>
        </w:rPr>
        <w:t>thiacloprid</w:t>
      </w:r>
      <w:proofErr w:type="spellEnd"/>
      <w:r w:rsidRPr="00C73002">
        <w:rPr>
          <w:sz w:val="24"/>
          <w:lang w:val="da-DK"/>
        </w:rPr>
        <w:t xml:space="preserve"> på udviklingen af humlebikolonier under feltforhold), </w:t>
      </w:r>
      <w:proofErr w:type="spellStart"/>
      <w:r w:rsidRPr="00C73002">
        <w:rPr>
          <w:sz w:val="24"/>
          <w:lang w:val="da-DK"/>
        </w:rPr>
        <w:t>Environmental</w:t>
      </w:r>
      <w:proofErr w:type="spellEnd"/>
      <w:r w:rsidRPr="00C73002">
        <w:rPr>
          <w:sz w:val="24"/>
          <w:lang w:val="da-DK"/>
        </w:rPr>
        <w:t xml:space="preserve"> Science &amp; Technology 2017, 51, 3, s. 1727-1732, </w:t>
      </w:r>
      <w:hyperlink r:id="rId7" w:history="1">
        <w:r w:rsidRPr="00C73002">
          <w:rPr>
            <w:rStyle w:val="Hyperlink"/>
            <w:sz w:val="24"/>
            <w:lang w:val="da-DK"/>
          </w:rPr>
          <w:t>https://pubs.acs.org/doi/10.1021/acs.est.6b04791</w:t>
        </w:r>
      </w:hyperlink>
      <w:r w:rsidRPr="00C73002">
        <w:rPr>
          <w:sz w:val="24"/>
          <w:lang w:val="da-DK"/>
        </w:rPr>
        <w:t>.</w:t>
      </w:r>
    </w:p>
  </w:footnote>
  <w:footnote w:id="20">
    <w:p w:rsidR="005F5714" w:rsidRPr="00C73002" w:rsidRDefault="005F5714" w:rsidP="00C73002">
      <w:pPr>
        <w:pStyle w:val="FootnoteText"/>
        <w:ind w:left="567" w:hanging="567"/>
        <w:rPr>
          <w:sz w:val="24"/>
          <w:szCs w:val="22"/>
          <w:lang w:val="da-DK"/>
        </w:rPr>
      </w:pPr>
      <w:r w:rsidRPr="00C73002">
        <w:rPr>
          <w:rStyle w:val="FootnoteReference"/>
          <w:sz w:val="24"/>
          <w:szCs w:val="22"/>
          <w:lang w:val="da-DK"/>
        </w:rPr>
        <w:footnoteRef/>
      </w:r>
      <w:r w:rsidR="00C73002" w:rsidRPr="00C73002">
        <w:rPr>
          <w:sz w:val="24"/>
          <w:lang w:val="da-DK"/>
        </w:rPr>
        <w:t xml:space="preserve"> </w:t>
      </w:r>
      <w:r w:rsidR="00C73002" w:rsidRPr="00C73002">
        <w:rPr>
          <w:sz w:val="24"/>
          <w:lang w:val="da-DK"/>
        </w:rPr>
        <w:tab/>
      </w:r>
      <w:r w:rsidRPr="00C73002">
        <w:rPr>
          <w:sz w:val="24"/>
          <w:lang w:val="da-DK"/>
        </w:rPr>
        <w:t>Ibid.</w:t>
      </w:r>
    </w:p>
  </w:footnote>
  <w:footnote w:id="21">
    <w:p w:rsidR="005F5714" w:rsidRPr="00C73002" w:rsidRDefault="005F5714" w:rsidP="00C73002">
      <w:pPr>
        <w:pStyle w:val="FootnoteText"/>
        <w:ind w:left="567" w:hanging="567"/>
        <w:rPr>
          <w:sz w:val="24"/>
          <w:szCs w:val="22"/>
          <w:lang w:val="da-DK"/>
        </w:rPr>
      </w:pPr>
      <w:r w:rsidRPr="00C73002">
        <w:rPr>
          <w:rStyle w:val="FootnoteReference"/>
          <w:sz w:val="24"/>
          <w:szCs w:val="22"/>
          <w:lang w:val="da-DK"/>
        </w:rPr>
        <w:footnoteRef/>
      </w:r>
      <w:r w:rsidR="00C73002" w:rsidRPr="00C73002">
        <w:rPr>
          <w:sz w:val="24"/>
          <w:lang w:val="da-DK"/>
        </w:rPr>
        <w:t xml:space="preserve"> </w:t>
      </w:r>
      <w:r w:rsidR="00C73002" w:rsidRPr="00C73002">
        <w:rPr>
          <w:sz w:val="24"/>
          <w:lang w:val="da-DK"/>
        </w:rPr>
        <w:tab/>
      </w:r>
      <w:r w:rsidRPr="00C73002">
        <w:rPr>
          <w:sz w:val="24"/>
          <w:lang w:val="da-DK"/>
        </w:rPr>
        <w:t>A. Brandt, A. </w:t>
      </w:r>
      <w:proofErr w:type="spellStart"/>
      <w:r w:rsidRPr="00C73002">
        <w:rPr>
          <w:sz w:val="24"/>
          <w:lang w:val="da-DK"/>
        </w:rPr>
        <w:t>Gorenflo</w:t>
      </w:r>
      <w:proofErr w:type="spellEnd"/>
      <w:r w:rsidRPr="00C73002">
        <w:rPr>
          <w:sz w:val="24"/>
          <w:lang w:val="da-DK"/>
        </w:rPr>
        <w:t>, R. Siede, M. </w:t>
      </w:r>
      <w:proofErr w:type="spellStart"/>
      <w:r w:rsidRPr="00C73002">
        <w:rPr>
          <w:sz w:val="24"/>
          <w:lang w:val="da-DK"/>
        </w:rPr>
        <w:t>Meixner</w:t>
      </w:r>
      <w:proofErr w:type="spellEnd"/>
      <w:r w:rsidRPr="00C73002">
        <w:rPr>
          <w:sz w:val="24"/>
          <w:lang w:val="da-DK"/>
        </w:rPr>
        <w:t xml:space="preserve"> og R. </w:t>
      </w:r>
      <w:proofErr w:type="spellStart"/>
      <w:r w:rsidRPr="00C73002">
        <w:rPr>
          <w:sz w:val="24"/>
          <w:lang w:val="da-DK"/>
        </w:rPr>
        <w:t>Büchler</w:t>
      </w:r>
      <w:proofErr w:type="spellEnd"/>
      <w:r w:rsidRPr="00C73002">
        <w:rPr>
          <w:sz w:val="24"/>
          <w:lang w:val="da-DK"/>
        </w:rPr>
        <w:t xml:space="preserve">: "The </w:t>
      </w:r>
      <w:proofErr w:type="spellStart"/>
      <w:r w:rsidRPr="00C73002">
        <w:rPr>
          <w:sz w:val="24"/>
          <w:lang w:val="da-DK"/>
        </w:rPr>
        <w:t>neonicotinoids</w:t>
      </w:r>
      <w:proofErr w:type="spellEnd"/>
      <w:r w:rsidRPr="00C73002">
        <w:rPr>
          <w:sz w:val="24"/>
          <w:lang w:val="da-DK"/>
        </w:rPr>
        <w:t xml:space="preserve"> </w:t>
      </w:r>
      <w:proofErr w:type="spellStart"/>
      <w:r w:rsidRPr="00C73002">
        <w:rPr>
          <w:sz w:val="24"/>
          <w:lang w:val="da-DK"/>
        </w:rPr>
        <w:t>thiacloprid</w:t>
      </w:r>
      <w:proofErr w:type="spellEnd"/>
      <w:r w:rsidRPr="00C73002">
        <w:rPr>
          <w:sz w:val="24"/>
          <w:lang w:val="da-DK"/>
        </w:rPr>
        <w:t xml:space="preserve">, </w:t>
      </w:r>
      <w:proofErr w:type="spellStart"/>
      <w:r w:rsidRPr="00C73002">
        <w:rPr>
          <w:sz w:val="24"/>
          <w:lang w:val="da-DK"/>
        </w:rPr>
        <w:t>imidacloprid</w:t>
      </w:r>
      <w:proofErr w:type="spellEnd"/>
      <w:r w:rsidRPr="00C73002">
        <w:rPr>
          <w:sz w:val="24"/>
          <w:lang w:val="da-DK"/>
        </w:rPr>
        <w:t xml:space="preserve">, and </w:t>
      </w:r>
      <w:proofErr w:type="spellStart"/>
      <w:r w:rsidRPr="00C73002">
        <w:rPr>
          <w:sz w:val="24"/>
          <w:lang w:val="da-DK"/>
        </w:rPr>
        <w:t>clothianidin</w:t>
      </w:r>
      <w:proofErr w:type="spellEnd"/>
      <w:r w:rsidRPr="00C73002">
        <w:rPr>
          <w:sz w:val="24"/>
          <w:lang w:val="da-DK"/>
        </w:rPr>
        <w:t xml:space="preserve"> </w:t>
      </w:r>
      <w:proofErr w:type="spellStart"/>
      <w:r w:rsidRPr="00C73002">
        <w:rPr>
          <w:sz w:val="24"/>
          <w:lang w:val="da-DK"/>
        </w:rPr>
        <w:t>affect</w:t>
      </w:r>
      <w:proofErr w:type="spellEnd"/>
      <w:r w:rsidRPr="00C73002">
        <w:rPr>
          <w:sz w:val="24"/>
          <w:lang w:val="da-DK"/>
        </w:rPr>
        <w:t xml:space="preserve"> the </w:t>
      </w:r>
      <w:proofErr w:type="spellStart"/>
      <w:r w:rsidRPr="00C73002">
        <w:rPr>
          <w:sz w:val="24"/>
          <w:lang w:val="da-DK"/>
        </w:rPr>
        <w:t>immunocompetence</w:t>
      </w:r>
      <w:proofErr w:type="spellEnd"/>
      <w:r w:rsidRPr="00C73002">
        <w:rPr>
          <w:sz w:val="24"/>
          <w:lang w:val="da-DK"/>
        </w:rPr>
        <w:t xml:space="preserve"> of </w:t>
      </w:r>
      <w:proofErr w:type="spellStart"/>
      <w:r w:rsidRPr="00C73002">
        <w:rPr>
          <w:sz w:val="24"/>
          <w:lang w:val="da-DK"/>
        </w:rPr>
        <w:t>honey</w:t>
      </w:r>
      <w:proofErr w:type="spellEnd"/>
      <w:r w:rsidRPr="00C73002">
        <w:rPr>
          <w:sz w:val="24"/>
          <w:lang w:val="da-DK"/>
        </w:rPr>
        <w:t xml:space="preserve"> </w:t>
      </w:r>
      <w:proofErr w:type="spellStart"/>
      <w:r w:rsidRPr="00C73002">
        <w:rPr>
          <w:sz w:val="24"/>
          <w:lang w:val="da-DK"/>
        </w:rPr>
        <w:t>bees</w:t>
      </w:r>
      <w:proofErr w:type="spellEnd"/>
      <w:r w:rsidRPr="00C73002">
        <w:rPr>
          <w:sz w:val="24"/>
          <w:lang w:val="da-DK"/>
        </w:rPr>
        <w:t xml:space="preserve"> (</w:t>
      </w:r>
      <w:r w:rsidRPr="00C73002">
        <w:rPr>
          <w:i/>
          <w:sz w:val="24"/>
          <w:lang w:val="da-DK"/>
        </w:rPr>
        <w:t>Apis </w:t>
      </w:r>
      <w:proofErr w:type="spellStart"/>
      <w:r w:rsidRPr="00C73002">
        <w:rPr>
          <w:i/>
          <w:sz w:val="24"/>
          <w:lang w:val="da-DK"/>
        </w:rPr>
        <w:t>mellifera</w:t>
      </w:r>
      <w:proofErr w:type="spellEnd"/>
      <w:r w:rsidRPr="00C73002">
        <w:rPr>
          <w:sz w:val="24"/>
          <w:lang w:val="da-DK"/>
        </w:rPr>
        <w:t> L.)" (</w:t>
      </w:r>
      <w:proofErr w:type="spellStart"/>
      <w:r w:rsidRPr="00C73002">
        <w:rPr>
          <w:sz w:val="24"/>
          <w:lang w:val="da-DK"/>
        </w:rPr>
        <w:t>Neonicotinoiderne</w:t>
      </w:r>
      <w:proofErr w:type="spellEnd"/>
      <w:r w:rsidRPr="00C73002">
        <w:rPr>
          <w:sz w:val="24"/>
          <w:lang w:val="da-DK"/>
        </w:rPr>
        <w:t xml:space="preserve"> </w:t>
      </w:r>
      <w:proofErr w:type="spellStart"/>
      <w:r w:rsidRPr="00C73002">
        <w:rPr>
          <w:sz w:val="24"/>
          <w:lang w:val="da-DK"/>
        </w:rPr>
        <w:t>thiacloprid</w:t>
      </w:r>
      <w:proofErr w:type="spellEnd"/>
      <w:r w:rsidRPr="00C73002">
        <w:rPr>
          <w:sz w:val="24"/>
          <w:lang w:val="da-DK"/>
        </w:rPr>
        <w:t xml:space="preserve">, </w:t>
      </w:r>
      <w:proofErr w:type="spellStart"/>
      <w:r w:rsidRPr="00C73002">
        <w:rPr>
          <w:sz w:val="24"/>
          <w:lang w:val="da-DK"/>
        </w:rPr>
        <w:t>imidacloprid</w:t>
      </w:r>
      <w:proofErr w:type="spellEnd"/>
      <w:r w:rsidRPr="00C73002">
        <w:rPr>
          <w:sz w:val="24"/>
          <w:lang w:val="da-DK"/>
        </w:rPr>
        <w:t xml:space="preserve"> og </w:t>
      </w:r>
      <w:proofErr w:type="spellStart"/>
      <w:r w:rsidRPr="00C73002">
        <w:rPr>
          <w:sz w:val="24"/>
          <w:lang w:val="da-DK"/>
        </w:rPr>
        <w:t>clothianidin</w:t>
      </w:r>
      <w:proofErr w:type="spellEnd"/>
      <w:r w:rsidRPr="00C73002">
        <w:rPr>
          <w:sz w:val="24"/>
          <w:lang w:val="da-DK"/>
        </w:rPr>
        <w:t xml:space="preserve"> påvirker </w:t>
      </w:r>
      <w:proofErr w:type="spellStart"/>
      <w:r w:rsidRPr="00C73002">
        <w:rPr>
          <w:sz w:val="24"/>
          <w:lang w:val="da-DK"/>
        </w:rPr>
        <w:t>immunokompetencen</w:t>
      </w:r>
      <w:proofErr w:type="spellEnd"/>
      <w:r w:rsidRPr="00C73002">
        <w:rPr>
          <w:sz w:val="24"/>
          <w:lang w:val="da-DK"/>
        </w:rPr>
        <w:t xml:space="preserve"> for honningbierne Apis </w:t>
      </w:r>
      <w:proofErr w:type="spellStart"/>
      <w:r w:rsidRPr="00C73002">
        <w:rPr>
          <w:sz w:val="24"/>
          <w:lang w:val="da-DK"/>
        </w:rPr>
        <w:t>mellifera</w:t>
      </w:r>
      <w:proofErr w:type="spellEnd"/>
      <w:r w:rsidRPr="00C73002">
        <w:rPr>
          <w:sz w:val="24"/>
          <w:lang w:val="da-DK"/>
        </w:rPr>
        <w:t> L.), Journal of </w:t>
      </w:r>
      <w:proofErr w:type="spellStart"/>
      <w:r w:rsidRPr="00C73002">
        <w:rPr>
          <w:sz w:val="24"/>
          <w:lang w:val="da-DK"/>
        </w:rPr>
        <w:t>Insect</w:t>
      </w:r>
      <w:proofErr w:type="spellEnd"/>
      <w:r w:rsidRPr="00C73002">
        <w:rPr>
          <w:sz w:val="24"/>
          <w:lang w:val="da-DK"/>
        </w:rPr>
        <w:t> </w:t>
      </w:r>
      <w:proofErr w:type="spellStart"/>
      <w:r w:rsidRPr="00C73002">
        <w:rPr>
          <w:sz w:val="24"/>
          <w:lang w:val="da-DK"/>
        </w:rPr>
        <w:t>Physiology</w:t>
      </w:r>
      <w:proofErr w:type="spellEnd"/>
      <w:r w:rsidRPr="00C73002">
        <w:rPr>
          <w:sz w:val="24"/>
          <w:lang w:val="da-DK"/>
        </w:rPr>
        <w:t xml:space="preserve">, bind 86, marts 2016, s. 40-47, </w:t>
      </w:r>
      <w:hyperlink r:id="rId8" w:history="1">
        <w:r w:rsidRPr="00C73002">
          <w:rPr>
            <w:rStyle w:val="Hyperlink"/>
            <w:sz w:val="24"/>
            <w:lang w:val="da-DK"/>
          </w:rPr>
          <w:t>https://www.sciencedirect.com/science/article/pii/S0022191016300014</w:t>
        </w:r>
      </w:hyperlink>
      <w:r w:rsidRPr="00C73002">
        <w:rPr>
          <w:sz w:val="24"/>
          <w:lang w:val="da-DK"/>
        </w:rPr>
        <w:t>.</w:t>
      </w:r>
    </w:p>
  </w:footnote>
  <w:footnote w:id="22">
    <w:p w:rsidR="005F5714" w:rsidRPr="00C73002" w:rsidRDefault="005F5714" w:rsidP="00C73002">
      <w:pPr>
        <w:pStyle w:val="FootnoteText"/>
        <w:keepNext/>
        <w:ind w:left="567" w:hanging="567"/>
        <w:rPr>
          <w:sz w:val="24"/>
          <w:szCs w:val="22"/>
          <w:lang w:val="da-DK"/>
        </w:rPr>
      </w:pPr>
      <w:r w:rsidRPr="00C73002">
        <w:rPr>
          <w:rStyle w:val="FootnoteReference"/>
          <w:sz w:val="24"/>
          <w:szCs w:val="22"/>
          <w:lang w:val="da-DK"/>
        </w:rPr>
        <w:footnoteRef/>
      </w:r>
      <w:r w:rsidR="00C73002" w:rsidRPr="00C73002">
        <w:rPr>
          <w:sz w:val="24"/>
          <w:lang w:val="da-DK"/>
        </w:rPr>
        <w:t xml:space="preserve"> </w:t>
      </w:r>
      <w:r w:rsidR="00C73002" w:rsidRPr="00C73002">
        <w:rPr>
          <w:sz w:val="24"/>
          <w:lang w:val="da-DK"/>
        </w:rPr>
        <w:tab/>
      </w:r>
      <w:r w:rsidRPr="00C73002">
        <w:rPr>
          <w:sz w:val="24"/>
          <w:lang w:val="da-DK"/>
        </w:rPr>
        <w:t>L. </w:t>
      </w:r>
      <w:proofErr w:type="spellStart"/>
      <w:r w:rsidRPr="00C73002">
        <w:rPr>
          <w:sz w:val="24"/>
          <w:lang w:val="da-DK"/>
        </w:rPr>
        <w:t>Tison</w:t>
      </w:r>
      <w:proofErr w:type="spellEnd"/>
      <w:r w:rsidRPr="00C73002">
        <w:rPr>
          <w:sz w:val="24"/>
          <w:lang w:val="da-DK"/>
        </w:rPr>
        <w:t>, M.-L. Hahn, S. Holtz, A. </w:t>
      </w:r>
      <w:proofErr w:type="spellStart"/>
      <w:r w:rsidRPr="00C73002">
        <w:rPr>
          <w:sz w:val="24"/>
          <w:lang w:val="da-DK"/>
        </w:rPr>
        <w:t>Rößner</w:t>
      </w:r>
      <w:proofErr w:type="spellEnd"/>
      <w:r w:rsidRPr="00C73002">
        <w:rPr>
          <w:sz w:val="24"/>
          <w:lang w:val="da-DK"/>
        </w:rPr>
        <w:t>, U. </w:t>
      </w:r>
      <w:proofErr w:type="spellStart"/>
      <w:r w:rsidRPr="00C73002">
        <w:rPr>
          <w:sz w:val="24"/>
          <w:lang w:val="da-DK"/>
        </w:rPr>
        <w:t>Greggers</w:t>
      </w:r>
      <w:proofErr w:type="spellEnd"/>
      <w:r w:rsidRPr="00C73002">
        <w:rPr>
          <w:sz w:val="24"/>
          <w:lang w:val="da-DK"/>
        </w:rPr>
        <w:t>, G. Bischoff og R. </w:t>
      </w:r>
      <w:proofErr w:type="spellStart"/>
      <w:r w:rsidRPr="00C73002">
        <w:rPr>
          <w:sz w:val="24"/>
          <w:lang w:val="da-DK"/>
        </w:rPr>
        <w:t>Menzel</w:t>
      </w:r>
      <w:proofErr w:type="spellEnd"/>
      <w:r w:rsidRPr="00C73002">
        <w:rPr>
          <w:sz w:val="24"/>
          <w:lang w:val="da-DK"/>
        </w:rPr>
        <w:t xml:space="preserve">: "Honey </w:t>
      </w:r>
      <w:proofErr w:type="spellStart"/>
      <w:r w:rsidRPr="00C73002">
        <w:rPr>
          <w:sz w:val="24"/>
          <w:lang w:val="da-DK"/>
        </w:rPr>
        <w:t>Bees</w:t>
      </w:r>
      <w:proofErr w:type="spellEnd"/>
      <w:r w:rsidRPr="00C73002">
        <w:rPr>
          <w:sz w:val="24"/>
          <w:lang w:val="da-DK"/>
        </w:rPr>
        <w:t xml:space="preserve">' </w:t>
      </w:r>
      <w:proofErr w:type="spellStart"/>
      <w:r w:rsidRPr="00C73002">
        <w:rPr>
          <w:sz w:val="24"/>
          <w:lang w:val="da-DK"/>
        </w:rPr>
        <w:t>Behavior</w:t>
      </w:r>
      <w:proofErr w:type="spellEnd"/>
      <w:r w:rsidRPr="00C73002">
        <w:rPr>
          <w:sz w:val="24"/>
          <w:lang w:val="da-DK"/>
        </w:rPr>
        <w:t xml:space="preserve"> Is </w:t>
      </w:r>
      <w:proofErr w:type="spellStart"/>
      <w:r w:rsidRPr="00C73002">
        <w:rPr>
          <w:sz w:val="24"/>
          <w:lang w:val="da-DK"/>
        </w:rPr>
        <w:t>Impaired</w:t>
      </w:r>
      <w:proofErr w:type="spellEnd"/>
      <w:r w:rsidRPr="00C73002">
        <w:rPr>
          <w:sz w:val="24"/>
          <w:lang w:val="da-DK"/>
        </w:rPr>
        <w:t xml:space="preserve"> by </w:t>
      </w:r>
      <w:proofErr w:type="spellStart"/>
      <w:r w:rsidRPr="00C73002">
        <w:rPr>
          <w:sz w:val="24"/>
          <w:lang w:val="da-DK"/>
        </w:rPr>
        <w:t>Chronic</w:t>
      </w:r>
      <w:proofErr w:type="spellEnd"/>
      <w:r w:rsidRPr="00C73002">
        <w:rPr>
          <w:sz w:val="24"/>
          <w:lang w:val="da-DK"/>
        </w:rPr>
        <w:t xml:space="preserve"> </w:t>
      </w:r>
      <w:proofErr w:type="spellStart"/>
      <w:r w:rsidRPr="00C73002">
        <w:rPr>
          <w:sz w:val="24"/>
          <w:lang w:val="da-DK"/>
        </w:rPr>
        <w:t>Exposure</w:t>
      </w:r>
      <w:proofErr w:type="spellEnd"/>
      <w:r w:rsidRPr="00C73002">
        <w:rPr>
          <w:sz w:val="24"/>
          <w:lang w:val="da-DK"/>
        </w:rPr>
        <w:t xml:space="preserve"> to the </w:t>
      </w:r>
      <w:proofErr w:type="spellStart"/>
      <w:r w:rsidRPr="00C73002">
        <w:rPr>
          <w:sz w:val="24"/>
          <w:lang w:val="da-DK"/>
        </w:rPr>
        <w:t>Neonicotinoid</w:t>
      </w:r>
      <w:proofErr w:type="spellEnd"/>
      <w:r w:rsidRPr="00C73002">
        <w:rPr>
          <w:sz w:val="24"/>
          <w:lang w:val="da-DK"/>
        </w:rPr>
        <w:t xml:space="preserve"> </w:t>
      </w:r>
      <w:proofErr w:type="spellStart"/>
      <w:r w:rsidRPr="00C73002">
        <w:rPr>
          <w:sz w:val="24"/>
          <w:lang w:val="da-DK"/>
        </w:rPr>
        <w:t>Thiacloprid</w:t>
      </w:r>
      <w:proofErr w:type="spellEnd"/>
      <w:r w:rsidRPr="00C73002">
        <w:rPr>
          <w:sz w:val="24"/>
          <w:lang w:val="da-DK"/>
        </w:rPr>
        <w:t xml:space="preserve"> in the Field" (Honningbiers adfærd påvirkes af kronisk udsættelse for </w:t>
      </w:r>
      <w:proofErr w:type="spellStart"/>
      <w:r w:rsidRPr="00C73002">
        <w:rPr>
          <w:sz w:val="24"/>
          <w:lang w:val="da-DK"/>
        </w:rPr>
        <w:t>neonicotinoidet</w:t>
      </w:r>
      <w:proofErr w:type="spellEnd"/>
      <w:r w:rsidRPr="00C73002">
        <w:rPr>
          <w:sz w:val="24"/>
          <w:lang w:val="da-DK"/>
        </w:rPr>
        <w:t xml:space="preserve"> </w:t>
      </w:r>
      <w:proofErr w:type="spellStart"/>
      <w:r w:rsidRPr="00C73002">
        <w:rPr>
          <w:sz w:val="24"/>
          <w:lang w:val="da-DK"/>
        </w:rPr>
        <w:t>thiacloprid</w:t>
      </w:r>
      <w:proofErr w:type="spellEnd"/>
      <w:r w:rsidRPr="00C73002">
        <w:rPr>
          <w:sz w:val="24"/>
          <w:lang w:val="da-DK"/>
        </w:rPr>
        <w:t xml:space="preserve"> i felten), </w:t>
      </w:r>
      <w:proofErr w:type="spellStart"/>
      <w:r w:rsidRPr="00C73002">
        <w:rPr>
          <w:sz w:val="24"/>
          <w:lang w:val="da-DK"/>
        </w:rPr>
        <w:t>Environmental</w:t>
      </w:r>
      <w:proofErr w:type="spellEnd"/>
      <w:r w:rsidRPr="00C73002">
        <w:rPr>
          <w:sz w:val="24"/>
          <w:lang w:val="da-DK"/>
        </w:rPr>
        <w:t xml:space="preserve"> Science &amp; Technology 2016, 50, 13, s. 7218-7227, </w:t>
      </w:r>
      <w:hyperlink r:id="rId9" w:history="1">
        <w:r w:rsidRPr="00C73002">
          <w:rPr>
            <w:rStyle w:val="Hyperlink"/>
            <w:sz w:val="24"/>
            <w:lang w:val="da-DK"/>
          </w:rPr>
          <w:t>https://pubs.acs.org/doi/full/10.1021/acs.est.6b02658</w:t>
        </w:r>
      </w:hyperlink>
      <w:r w:rsidRPr="00C73002">
        <w:rPr>
          <w:sz w:val="24"/>
          <w:lang w:val="da-DK"/>
        </w:rPr>
        <w:t xml:space="preserve">. </w:t>
      </w:r>
    </w:p>
  </w:footnote>
  <w:footnote w:id="23">
    <w:p w:rsidR="005F5714" w:rsidRPr="00C73002" w:rsidRDefault="005F5714" w:rsidP="00C73002">
      <w:pPr>
        <w:pStyle w:val="FootnoteText"/>
        <w:ind w:left="567" w:hanging="567"/>
        <w:rPr>
          <w:iCs/>
          <w:sz w:val="24"/>
          <w:szCs w:val="22"/>
          <w:lang w:val="da-DK"/>
        </w:rPr>
      </w:pPr>
      <w:r w:rsidRPr="00C73002">
        <w:rPr>
          <w:iCs/>
          <w:sz w:val="24"/>
          <w:szCs w:val="22"/>
          <w:vertAlign w:val="superscript"/>
          <w:lang w:val="da-DK"/>
        </w:rPr>
        <w:footnoteRef/>
      </w:r>
      <w:r w:rsidR="00C73002" w:rsidRPr="00CD4F3F">
        <w:rPr>
          <w:sz w:val="24"/>
          <w:lang w:val="en-GB"/>
        </w:rPr>
        <w:t xml:space="preserve"> </w:t>
      </w:r>
      <w:r w:rsidR="00C73002" w:rsidRPr="00CD4F3F">
        <w:rPr>
          <w:sz w:val="24"/>
          <w:lang w:val="en-GB"/>
        </w:rPr>
        <w:tab/>
      </w:r>
      <w:r w:rsidRPr="00CD4F3F">
        <w:rPr>
          <w:sz w:val="24"/>
          <w:lang w:val="en-GB"/>
        </w:rPr>
        <w:t xml:space="preserve">L. Pisa, D. Goulson, E.C. Yang et al.: "An update of the Worldwide Integrated Assessment (WIA) on systemic insecticides. Part 2: impacts on organisms and ecosystems" (En opdatering på den globale integrerede vurdering (Worldwide Integrated Assessment, WIA) af systemiske insekticider. </w:t>
      </w:r>
      <w:r w:rsidRPr="00C73002">
        <w:rPr>
          <w:sz w:val="24"/>
          <w:lang w:val="da-DK"/>
        </w:rPr>
        <w:t xml:space="preserve">Del 2: indvirkning på organismer og økosystemer), </w:t>
      </w:r>
      <w:proofErr w:type="spellStart"/>
      <w:r w:rsidRPr="00C73002">
        <w:rPr>
          <w:sz w:val="24"/>
          <w:lang w:val="da-DK"/>
        </w:rPr>
        <w:t>Environmental</w:t>
      </w:r>
      <w:proofErr w:type="spellEnd"/>
      <w:r w:rsidRPr="00C73002">
        <w:rPr>
          <w:sz w:val="24"/>
          <w:lang w:val="da-DK"/>
        </w:rPr>
        <w:t xml:space="preserve"> Science and Pollution Research 28, s. 11749-11797 (2021), </w:t>
      </w:r>
      <w:hyperlink r:id="rId10" w:history="1">
        <w:r w:rsidRPr="00C73002">
          <w:rPr>
            <w:rStyle w:val="Hyperlink"/>
            <w:sz w:val="24"/>
            <w:lang w:val="da-DK"/>
          </w:rPr>
          <w:t>https://doi.org/10.1007/s11356-017-0341-3</w:t>
        </w:r>
      </w:hyperlink>
      <w:r w:rsidRPr="00C73002">
        <w:rPr>
          <w:sz w:val="24"/>
          <w:lang w:val="da-DK"/>
        </w:rPr>
        <w:t>.</w:t>
      </w:r>
    </w:p>
  </w:footnote>
  <w:footnote w:id="24">
    <w:p w:rsidR="005F5714" w:rsidRPr="00C73002" w:rsidRDefault="005F5714" w:rsidP="00C73002">
      <w:pPr>
        <w:pStyle w:val="FootnoteText"/>
        <w:ind w:left="567" w:hanging="567"/>
        <w:rPr>
          <w:sz w:val="24"/>
          <w:szCs w:val="22"/>
          <w:lang w:val="da-DK"/>
        </w:rPr>
      </w:pPr>
      <w:r w:rsidRPr="00C73002">
        <w:rPr>
          <w:rStyle w:val="FootnoteReference"/>
          <w:sz w:val="24"/>
          <w:szCs w:val="22"/>
          <w:lang w:val="da-DK"/>
        </w:rPr>
        <w:footnoteRef/>
      </w:r>
      <w:r w:rsidR="00C73002" w:rsidRPr="00C73002">
        <w:rPr>
          <w:sz w:val="24"/>
          <w:lang w:val="da-DK"/>
        </w:rPr>
        <w:t xml:space="preserve"> </w:t>
      </w:r>
      <w:r w:rsidR="00C73002" w:rsidRPr="00C73002">
        <w:rPr>
          <w:sz w:val="24"/>
          <w:lang w:val="da-DK"/>
        </w:rPr>
        <w:tab/>
      </w:r>
      <w:hyperlink r:id="rId11" w:history="1">
        <w:r w:rsidRPr="00C73002">
          <w:rPr>
            <w:rStyle w:val="Hyperlink"/>
            <w:sz w:val="24"/>
            <w:lang w:val="da-DK"/>
          </w:rPr>
          <w:t>https://ec.europa.eu/food/plant/pesticides/eu-pesticides-database/start/screen/active-substances/details/841</w:t>
        </w:r>
      </w:hyperlink>
      <w:r w:rsidRPr="00C73002">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300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300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300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57/2024"/>
    <w:docVar w:name="dvlangue" w:val="DA"/>
    <w:docVar w:name="dvnumam" w:val="0"/>
    <w:docVar w:name="dvpe" w:val="757.277"/>
    <w:docVar w:name="dvtitre" w:val="Europa-Parlamentets beslutning af xx. januar 2024 om forslag til Rådets forordning om ændring af bilag II til Europa-Parlamentets og Rådets forordning (EF) nr. 396/2005 for så vidt angår maksimalgrænseværdierne for restkoncentrationer af thiacloprid i eller på visse produkter(COM(2023)0739 – 2023/3005(RPS))"/>
  </w:docVars>
  <w:rsids>
    <w:rsidRoot w:val="0028130F"/>
    <w:rsid w:val="00002272"/>
    <w:rsid w:val="00050830"/>
    <w:rsid w:val="00064002"/>
    <w:rsid w:val="000677B9"/>
    <w:rsid w:val="000831BA"/>
    <w:rsid w:val="000A42CC"/>
    <w:rsid w:val="000E7DD9"/>
    <w:rsid w:val="0010095E"/>
    <w:rsid w:val="00125B37"/>
    <w:rsid w:val="00187494"/>
    <w:rsid w:val="001E08CF"/>
    <w:rsid w:val="001F32AE"/>
    <w:rsid w:val="002767FF"/>
    <w:rsid w:val="0028130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680D"/>
    <w:rsid w:val="005F5714"/>
    <w:rsid w:val="006037C0"/>
    <w:rsid w:val="00653904"/>
    <w:rsid w:val="006631B6"/>
    <w:rsid w:val="00680577"/>
    <w:rsid w:val="006F74FA"/>
    <w:rsid w:val="00730E74"/>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2C56"/>
    <w:rsid w:val="00A1687D"/>
    <w:rsid w:val="00A43E52"/>
    <w:rsid w:val="00A4678D"/>
    <w:rsid w:val="00A778C7"/>
    <w:rsid w:val="00AB441E"/>
    <w:rsid w:val="00AB6293"/>
    <w:rsid w:val="00AE0928"/>
    <w:rsid w:val="00AF3B82"/>
    <w:rsid w:val="00B03710"/>
    <w:rsid w:val="00B12E95"/>
    <w:rsid w:val="00B22876"/>
    <w:rsid w:val="00B558F0"/>
    <w:rsid w:val="00BD48FE"/>
    <w:rsid w:val="00BD7BD8"/>
    <w:rsid w:val="00BE6ADC"/>
    <w:rsid w:val="00C05BFE"/>
    <w:rsid w:val="00C23CD4"/>
    <w:rsid w:val="00C61C0C"/>
    <w:rsid w:val="00C73002"/>
    <w:rsid w:val="00C941CB"/>
    <w:rsid w:val="00CC2357"/>
    <w:rsid w:val="00CD4F3F"/>
    <w:rsid w:val="00CF071A"/>
    <w:rsid w:val="00D058B8"/>
    <w:rsid w:val="00D56C11"/>
    <w:rsid w:val="00D834A0"/>
    <w:rsid w:val="00D872DF"/>
    <w:rsid w:val="00D91E21"/>
    <w:rsid w:val="00DA7FCD"/>
    <w:rsid w:val="00E365E1"/>
    <w:rsid w:val="00E820A4"/>
    <w:rsid w:val="00EB006A"/>
    <w:rsid w:val="00EB4772"/>
    <w:rsid w:val="00ED169E"/>
    <w:rsid w:val="00ED188D"/>
    <w:rsid w:val="00ED4235"/>
    <w:rsid w:val="00F04346"/>
    <w:rsid w:val="00F075DC"/>
    <w:rsid w:val="00F149E9"/>
    <w:rsid w:val="00F5134D"/>
    <w:rsid w:val="00F74202"/>
    <w:rsid w:val="00F87713"/>
    <w:rsid w:val="00F9464D"/>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495B024-C9A7-4B38-AAB8-DEAB61FEF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F5714"/>
    <w:pPr>
      <w:spacing w:before="480" w:after="240"/>
    </w:pPr>
  </w:style>
  <w:style w:type="paragraph" w:customStyle="1" w:styleId="NormalHanging12a">
    <w:name w:val="NormalHanging12a"/>
    <w:basedOn w:val="Normal"/>
    <w:rsid w:val="005F5714"/>
    <w:pPr>
      <w:spacing w:after="240"/>
      <w:ind w:left="567" w:hanging="567"/>
    </w:pPr>
  </w:style>
  <w:style w:type="character" w:styleId="Hyperlink">
    <w:name w:val="Hyperlink"/>
    <w:basedOn w:val="DefaultParagraphFont"/>
    <w:uiPriority w:val="99"/>
    <w:unhideWhenUsed/>
    <w:rsid w:val="005F5714"/>
    <w:rPr>
      <w:color w:val="0563C1" w:themeColor="hyperlink"/>
      <w:u w:val="single"/>
    </w:rPr>
  </w:style>
  <w:style w:type="paragraph" w:styleId="BalloonText">
    <w:name w:val="Balloon Text"/>
    <w:basedOn w:val="Normal"/>
    <w:link w:val="BalloonTextChar"/>
    <w:rsid w:val="001E08CF"/>
    <w:rPr>
      <w:rFonts w:ascii="Segoe UI" w:hAnsi="Segoe UI" w:cs="Segoe UI"/>
      <w:sz w:val="18"/>
      <w:szCs w:val="18"/>
    </w:rPr>
  </w:style>
  <w:style w:type="character" w:customStyle="1" w:styleId="BalloonTextChar">
    <w:name w:val="Balloon Text Char"/>
    <w:basedOn w:val="DefaultParagraphFont"/>
    <w:link w:val="BalloonText"/>
    <w:rsid w:val="001E08CF"/>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sciencedirect.com/science/article/pii/S0022191016300014" TargetMode="External"/><Relationship Id="rId3" Type="http://schemas.openxmlformats.org/officeDocument/2006/relationships/hyperlink" Target="https://echa.europa.eu/registry-of-clh-intentions-until-outcome/-/dislist/details/0b0236e180638ff8" TargetMode="External"/><Relationship Id="rId7" Type="http://schemas.openxmlformats.org/officeDocument/2006/relationships/hyperlink" Target="https://pubs.acs.org/doi/10.1021/acs.est.6b04791" TargetMode="External"/><Relationship Id="rId2" Type="http://schemas.openxmlformats.org/officeDocument/2006/relationships/hyperlink" Target="https://doi.org/10.2903/j.efsa.2019.5595" TargetMode="External"/><Relationship Id="rId1" Type="http://schemas.openxmlformats.org/officeDocument/2006/relationships/hyperlink" Target="https://doi.org/10.2903/j.efsa.2023.7888" TargetMode="External"/><Relationship Id="rId6" Type="http://schemas.openxmlformats.org/officeDocument/2006/relationships/hyperlink" Target="https://ec.europa.eu/transparency/comitology-register/screen/documents/090500/1/consult?lang=da" TargetMode="External"/><Relationship Id="rId11" Type="http://schemas.openxmlformats.org/officeDocument/2006/relationships/hyperlink" Target="https://ec.europa.eu/food/plant/pesticides/eu-pesticides-database/start/screen/active-substances/details/841" TargetMode="External"/><Relationship Id="rId5" Type="http://schemas.openxmlformats.org/officeDocument/2006/relationships/hyperlink" Target="https://doi.org/10.1007/s41055-016-0003-z" TargetMode="External"/><Relationship Id="rId10" Type="http://schemas.openxmlformats.org/officeDocument/2006/relationships/hyperlink" Target="https://doi.org/10.1007/s11356-017-0341-3" TargetMode="External"/><Relationship Id="rId4" Type="http://schemas.openxmlformats.org/officeDocument/2006/relationships/hyperlink" Target="https://ec.europa.eu/transparency/comitology-register/screen/documents/092486/1/consult?lang=da" TargetMode="External"/><Relationship Id="rId9" Type="http://schemas.openxmlformats.org/officeDocument/2006/relationships/hyperlink" Target="https://pubs.acs.org/doi/full/10.1021/acs.est.6b026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131E6F-C5BF-4E05-875A-F78FF44D28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2343</Words>
  <Characters>14396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LITTLEJOHN Anne Louise</cp:lastModifiedBy>
  <cp:revision>2</cp:revision>
  <cp:lastPrinted>2004-11-19T15:42:00Z</cp:lastPrinted>
  <dcterms:created xsi:type="dcterms:W3CDTF">2024-02-14T13:27:00Z</dcterms:created>
  <dcterms:modified xsi:type="dcterms:W3CDTF">2024-02-14T13:27:00Z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B9-0057/2024</vt:lpwstr>
  </property>
  <property fmtid="{D5CDD505-2E9C-101B-9397-08002B2CF9AE}" pid="4" name="&lt;Type&gt;">
    <vt:lpwstr>RR</vt:lpwstr>
  </property>
</Properties>
</file>