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21B1" w:rsidTr="0010095E">
        <w:trPr>
          <w:trHeight w:hRule="exact" w:val="1418"/>
        </w:trPr>
        <w:tc>
          <w:tcPr>
            <w:tcW w:w="6804" w:type="dxa"/>
            <w:shd w:val="clear" w:color="auto" w:fill="auto"/>
            <w:vAlign w:val="center"/>
          </w:tcPr>
          <w:p w:rsidR="00751A4A" w:rsidRPr="002621B1" w:rsidRDefault="00ED16AA" w:rsidP="0010095E">
            <w:pPr>
              <w:pStyle w:val="EPName"/>
            </w:pPr>
            <w:bookmarkStart w:id="0" w:name="_GoBack"/>
            <w:bookmarkEnd w:id="0"/>
            <w:r w:rsidRPr="002621B1">
              <w:t>Euroopa Parlament</w:t>
            </w:r>
          </w:p>
          <w:p w:rsidR="00751A4A" w:rsidRPr="002621B1" w:rsidRDefault="00817416" w:rsidP="00756632">
            <w:pPr>
              <w:pStyle w:val="EPTerm"/>
              <w:rPr>
                <w:rStyle w:val="HideTWBExt"/>
                <w:noProof w:val="0"/>
                <w:vanish w:val="0"/>
                <w:color w:val="auto"/>
              </w:rPr>
            </w:pPr>
            <w:r w:rsidRPr="002621B1">
              <w:t>2019-2024</w:t>
            </w:r>
          </w:p>
        </w:tc>
        <w:tc>
          <w:tcPr>
            <w:tcW w:w="2268" w:type="dxa"/>
            <w:shd w:val="clear" w:color="auto" w:fill="auto"/>
          </w:tcPr>
          <w:p w:rsidR="00751A4A" w:rsidRPr="002621B1" w:rsidRDefault="00187494" w:rsidP="0010095E">
            <w:pPr>
              <w:pStyle w:val="EPLogo"/>
            </w:pPr>
            <w:r w:rsidRPr="002621B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621B1" w:rsidRDefault="00D058B8" w:rsidP="004C5D52">
      <w:pPr>
        <w:pStyle w:val="LineTop"/>
      </w:pPr>
    </w:p>
    <w:p w:rsidR="00680577" w:rsidRPr="002621B1" w:rsidRDefault="00ED16AA" w:rsidP="00680577">
      <w:pPr>
        <w:pStyle w:val="EPBodyTA1"/>
      </w:pPr>
      <w:r w:rsidRPr="002621B1">
        <w:t>VASTUVÕETUD TEKSTID</w:t>
      </w:r>
    </w:p>
    <w:p w:rsidR="00D058B8" w:rsidRPr="002621B1" w:rsidRDefault="00D058B8" w:rsidP="00D058B8">
      <w:pPr>
        <w:pStyle w:val="LineBottom"/>
      </w:pPr>
    </w:p>
    <w:p w:rsidR="00ED16AA" w:rsidRPr="002621B1" w:rsidRDefault="00ED16AA" w:rsidP="00ED16AA">
      <w:pPr>
        <w:pStyle w:val="ATHeading1"/>
      </w:pPr>
      <w:bookmarkStart w:id="1" w:name="TANumber"/>
      <w:r w:rsidRPr="002621B1">
        <w:t>P9_TA(2024)00</w:t>
      </w:r>
      <w:r w:rsidR="00AA3F3D" w:rsidRPr="002621B1">
        <w:t>16</w:t>
      </w:r>
      <w:bookmarkEnd w:id="1"/>
    </w:p>
    <w:p w:rsidR="00ED16AA" w:rsidRPr="002621B1" w:rsidRDefault="00ED16AA" w:rsidP="00ED16AA">
      <w:pPr>
        <w:pStyle w:val="ATHeading2"/>
      </w:pPr>
      <w:bookmarkStart w:id="2" w:name="title"/>
      <w:r w:rsidRPr="002621B1">
        <w:t>Vastuväi</w:t>
      </w:r>
      <w:r w:rsidR="00A856C2" w:rsidRPr="002621B1">
        <w:t>ted rakendusaktile</w:t>
      </w:r>
      <w:r w:rsidRPr="002621B1">
        <w:t xml:space="preserve">: </w:t>
      </w:r>
      <w:proofErr w:type="spellStart"/>
      <w:r w:rsidRPr="002621B1">
        <w:t>tiaklopriidi</w:t>
      </w:r>
      <w:proofErr w:type="spellEnd"/>
      <w:r w:rsidRPr="002621B1">
        <w:t xml:space="preserve"> jääkide piirnormid</w:t>
      </w:r>
      <w:bookmarkEnd w:id="2"/>
    </w:p>
    <w:p w:rsidR="00ED16AA" w:rsidRPr="002621B1" w:rsidRDefault="00ED16AA" w:rsidP="00ED16AA">
      <w:pPr>
        <w:rPr>
          <w:i/>
          <w:vanish/>
        </w:rPr>
      </w:pPr>
      <w:r w:rsidRPr="002621B1">
        <w:rPr>
          <w:i/>
        </w:rPr>
        <w:fldChar w:fldCharType="begin"/>
      </w:r>
      <w:r w:rsidRPr="002621B1">
        <w:rPr>
          <w:i/>
        </w:rPr>
        <w:instrText xml:space="preserve"> TC"(</w:instrText>
      </w:r>
      <w:bookmarkStart w:id="3" w:name="DocNumber"/>
      <w:r w:rsidRPr="002621B1">
        <w:rPr>
          <w:i/>
        </w:rPr>
        <w:instrText>B9-0057/2024</w:instrText>
      </w:r>
      <w:bookmarkEnd w:id="3"/>
      <w:r w:rsidRPr="002621B1">
        <w:rPr>
          <w:i/>
        </w:rPr>
        <w:instrText xml:space="preserve">)"\l3 \n&gt; \* MERGEFORMAT </w:instrText>
      </w:r>
      <w:r w:rsidRPr="002621B1">
        <w:rPr>
          <w:i/>
        </w:rPr>
        <w:fldChar w:fldCharType="end"/>
      </w:r>
    </w:p>
    <w:p w:rsidR="00ED16AA" w:rsidRPr="002621B1" w:rsidRDefault="00ED16AA" w:rsidP="00ED16AA">
      <w:pPr>
        <w:rPr>
          <w:vanish/>
        </w:rPr>
      </w:pPr>
      <w:bookmarkStart w:id="4" w:name="PE"/>
      <w:r w:rsidRPr="002621B1">
        <w:rPr>
          <w:vanish/>
        </w:rPr>
        <w:t>PE757.277</w:t>
      </w:r>
      <w:bookmarkEnd w:id="4"/>
    </w:p>
    <w:p w:rsidR="00ED16AA" w:rsidRPr="002621B1" w:rsidRDefault="00A856C2" w:rsidP="00ED16AA">
      <w:pPr>
        <w:pStyle w:val="ATHeading3"/>
      </w:pPr>
      <w:bookmarkStart w:id="5" w:name="Sujet"/>
      <w:r w:rsidRPr="002621B1">
        <w:t>Euroopa Parlamendi 17</w:t>
      </w:r>
      <w:r w:rsidR="00ED16AA" w:rsidRPr="002621B1">
        <w:t>.</w:t>
      </w:r>
      <w:r w:rsidRPr="002621B1">
        <w:t> jaanuari 2024. </w:t>
      </w:r>
      <w:r w:rsidR="00ED16AA" w:rsidRPr="002621B1">
        <w:t>aasta resolutsioon ettepaneku kohta võtta vastu nõukogu määrus, millega muudetakse Euroopa Parlam</w:t>
      </w:r>
      <w:r w:rsidRPr="002621B1">
        <w:t>endi ja nõukogu määruse (EÜ) nr 396/2005 II </w:t>
      </w:r>
      <w:r w:rsidR="00ED16AA" w:rsidRPr="002621B1">
        <w:t xml:space="preserve">lisa seoses teatavates toodetes või nende pinnal esinevate </w:t>
      </w:r>
      <w:proofErr w:type="spellStart"/>
      <w:r w:rsidR="00ED16AA" w:rsidRPr="002621B1">
        <w:t>tiaklopriidi</w:t>
      </w:r>
      <w:proofErr w:type="spellEnd"/>
      <w:r w:rsidR="00ED16AA" w:rsidRPr="002621B1">
        <w:t xml:space="preserve"> jääkide piirnormidega</w:t>
      </w:r>
      <w:bookmarkEnd w:id="5"/>
      <w:r w:rsidR="00ED16AA" w:rsidRPr="002621B1">
        <w:t xml:space="preserve"> </w:t>
      </w:r>
      <w:bookmarkStart w:id="6" w:name="References"/>
      <w:r w:rsidR="00ED16AA" w:rsidRPr="002621B1">
        <w:t>(COM(2023)0739 – 2023/3005(RPS))</w:t>
      </w:r>
      <w:bookmarkEnd w:id="6"/>
    </w:p>
    <w:p w:rsidR="00EC1636" w:rsidRPr="002621B1" w:rsidRDefault="00EC1636" w:rsidP="00A856C2">
      <w:pPr>
        <w:pStyle w:val="EPComma"/>
      </w:pPr>
      <w:bookmarkStart w:id="7" w:name="TextBodyBegin"/>
      <w:bookmarkEnd w:id="7"/>
      <w:r w:rsidRPr="002621B1">
        <w:rPr>
          <w:i/>
        </w:rPr>
        <w:t>Euroopa Parlament</w:t>
      </w:r>
      <w:r w:rsidRPr="002621B1">
        <w:t>,</w:t>
      </w:r>
    </w:p>
    <w:p w:rsidR="00EC1636" w:rsidRPr="002621B1" w:rsidRDefault="00EC1636" w:rsidP="00A856C2">
      <w:pPr>
        <w:pStyle w:val="NormalHanging12a"/>
      </w:pPr>
      <w:r w:rsidRPr="002621B1">
        <w:t>–</w:t>
      </w:r>
      <w:r w:rsidRPr="002621B1">
        <w:tab/>
        <w:t>võttes arvesse ettepanekut võtta vastu nõukogu määrus, millega muudetakse Euroopa Parlam</w:t>
      </w:r>
      <w:r w:rsidR="00A856C2" w:rsidRPr="002621B1">
        <w:t>endi ja nõukogu määruse (EÜ) nr 396/2005 II </w:t>
      </w:r>
      <w:r w:rsidRPr="002621B1">
        <w:t xml:space="preserve">lisa seoses teatavates toodetes või nende pinnal esinevate </w:t>
      </w:r>
      <w:proofErr w:type="spellStart"/>
      <w:r w:rsidRPr="002621B1">
        <w:t>tiaklopriidi</w:t>
      </w:r>
      <w:proofErr w:type="spellEnd"/>
      <w:r w:rsidRPr="002621B1">
        <w:t xml:space="preserve"> jääkide piirnormidega (COM(2023)0739),</w:t>
      </w:r>
    </w:p>
    <w:p w:rsidR="00EC1636" w:rsidRPr="002621B1" w:rsidRDefault="00EC1636" w:rsidP="00A856C2">
      <w:pPr>
        <w:pStyle w:val="NormalHanging12a"/>
        <w:rPr>
          <w:szCs w:val="24"/>
        </w:rPr>
      </w:pPr>
      <w:r w:rsidRPr="002621B1">
        <w:t>–</w:t>
      </w:r>
      <w:r w:rsidRPr="002621B1">
        <w:tab/>
        <w:t>võttes arvesse Euroopa Parlamendi ja nõukogu 23. veebruari 2005. aasta määrust (EÜ) nr 396/2005 taimses ja loomses toidus ja söödas või nende pinnal esinevate pestitsiidide jääkide pi</w:t>
      </w:r>
      <w:r w:rsidR="00A856C2" w:rsidRPr="002621B1">
        <w:t>irnormide ja nõukogu direktiivi </w:t>
      </w:r>
      <w:r w:rsidRPr="002621B1">
        <w:t>91/414/EMÜ muutmise kohta</w:t>
      </w:r>
      <w:r w:rsidRPr="002621B1">
        <w:rPr>
          <w:rStyle w:val="FootnoteReference"/>
        </w:rPr>
        <w:footnoteReference w:id="1"/>
      </w:r>
      <w:r w:rsidR="00A856C2" w:rsidRPr="002621B1">
        <w:t>, eriti selle artikli 14 lõike 1 punkti a ja artikli 49 lõiget </w:t>
      </w:r>
      <w:r w:rsidRPr="002621B1">
        <w:t xml:space="preserve">2, </w:t>
      </w:r>
    </w:p>
    <w:p w:rsidR="00EC1636" w:rsidRPr="002621B1" w:rsidRDefault="00EC1636" w:rsidP="00A856C2">
      <w:pPr>
        <w:pStyle w:val="NormalHanging12a"/>
        <w:rPr>
          <w:szCs w:val="24"/>
        </w:rPr>
      </w:pPr>
      <w:r w:rsidRPr="002621B1">
        <w:t>–</w:t>
      </w:r>
      <w:r w:rsidRPr="002621B1">
        <w:tab/>
        <w:t xml:space="preserve">võttes arvesse Euroopa Parlamendi ja nõukogu 21. oktoobri 2009. aasta määrust (EÜ) nr 1107/2009 taimekaitsevahendite </w:t>
      </w:r>
      <w:proofErr w:type="spellStart"/>
      <w:r w:rsidRPr="002621B1">
        <w:t>turulelaskmise</w:t>
      </w:r>
      <w:proofErr w:type="spellEnd"/>
      <w:r w:rsidRPr="002621B1">
        <w:t xml:space="preserve"> ja nõu</w:t>
      </w:r>
      <w:r w:rsidR="00A856C2" w:rsidRPr="002621B1">
        <w:t>kogu direktiivide 79/117/EMÜ ja </w:t>
      </w:r>
      <w:r w:rsidRPr="002621B1">
        <w:t>91/414/EMÜ kehtetuks tunnistamise kohta</w:t>
      </w:r>
      <w:r w:rsidRPr="002621B1">
        <w:rPr>
          <w:rStyle w:val="FootnoteReference"/>
          <w:szCs w:val="24"/>
        </w:rPr>
        <w:footnoteReference w:id="2"/>
      </w:r>
      <w:r w:rsidRPr="002621B1">
        <w:t>, eriti selle arti</w:t>
      </w:r>
      <w:r w:rsidR="00A856C2" w:rsidRPr="002621B1">
        <w:t>kli 4 lõiget 1, artikli 4 lõike 2 esimese lõigu punkti a ja II </w:t>
      </w:r>
      <w:r w:rsidRPr="002621B1">
        <w:t>lisa punkti 3.6.4.,</w:t>
      </w:r>
    </w:p>
    <w:p w:rsidR="00EC1636" w:rsidRPr="002621B1" w:rsidRDefault="00EC1636" w:rsidP="00A856C2">
      <w:pPr>
        <w:pStyle w:val="NormalHanging12a"/>
        <w:rPr>
          <w:szCs w:val="24"/>
        </w:rPr>
      </w:pPr>
      <w:r w:rsidRPr="002621B1">
        <w:t>–</w:t>
      </w:r>
      <w:r w:rsidRPr="002621B1">
        <w:tab/>
        <w:t>võttes arvesse Euroopa Parlamendi ja nõukogu 28. jaanuari 2002. aasta määrust (EÜ) nr 178/2002, millega sätestatakse toidualaste õigusnormide üldised põhimõtted ja nõuded, asutatakse Euroopa Toiduohutusamet ja kehtestatakse toidu ohutusega seotud menetlused</w:t>
      </w:r>
      <w:r w:rsidRPr="002621B1">
        <w:rPr>
          <w:rStyle w:val="FootnoteReference"/>
          <w:szCs w:val="24"/>
        </w:rPr>
        <w:footnoteReference w:id="3"/>
      </w:r>
      <w:r w:rsidRPr="002621B1">
        <w:t>, eriti selle artikli 5 lõiget 1,</w:t>
      </w:r>
    </w:p>
    <w:p w:rsidR="00EC1636" w:rsidRPr="002621B1" w:rsidRDefault="00EC1636" w:rsidP="00A856C2">
      <w:pPr>
        <w:pStyle w:val="NormalHanging12a"/>
        <w:rPr>
          <w:szCs w:val="24"/>
        </w:rPr>
      </w:pPr>
      <w:r w:rsidRPr="002621B1">
        <w:t>–</w:t>
      </w:r>
      <w:r w:rsidRPr="002621B1">
        <w:tab/>
        <w:t>võttes arvesse Euroopa Liidu toimimise l</w:t>
      </w:r>
      <w:r w:rsidR="00A856C2" w:rsidRPr="002621B1">
        <w:t>epingu artikleid 11, 13, 168 ja </w:t>
      </w:r>
      <w:r w:rsidRPr="002621B1">
        <w:t>191,</w:t>
      </w:r>
    </w:p>
    <w:p w:rsidR="00EC1636" w:rsidRPr="002621B1" w:rsidRDefault="00EC1636" w:rsidP="00A856C2">
      <w:pPr>
        <w:pStyle w:val="NormalHanging12a"/>
      </w:pPr>
      <w:r w:rsidRPr="002621B1">
        <w:t>–</w:t>
      </w:r>
      <w:r w:rsidRPr="002621B1">
        <w:tab/>
        <w:t xml:space="preserve">võttes arvesse Euroopa Toiduohutusameti (EFSA) 9. veebruaril 2023. aastal vastu </w:t>
      </w:r>
      <w:r w:rsidRPr="002621B1">
        <w:lastRenderedPageBreak/>
        <w:t>võetud ja 15. märtsil 2023. aastal avaldatud põhjendatud arvamust</w:t>
      </w:r>
      <w:r w:rsidRPr="002621B1">
        <w:rPr>
          <w:rStyle w:val="FootnoteReference"/>
        </w:rPr>
        <w:footnoteReference w:id="4"/>
      </w:r>
      <w:r w:rsidRPr="002621B1">
        <w:t>,</w:t>
      </w:r>
    </w:p>
    <w:p w:rsidR="00EC1636" w:rsidRPr="002621B1" w:rsidRDefault="00EC1636" w:rsidP="00A856C2">
      <w:pPr>
        <w:pStyle w:val="NormalHanging12a"/>
        <w:rPr>
          <w:szCs w:val="24"/>
        </w:rPr>
      </w:pPr>
      <w:r w:rsidRPr="002621B1">
        <w:t>–</w:t>
      </w:r>
      <w:r w:rsidRPr="002621B1">
        <w:tab/>
        <w:t>võttes arvesse EFSA 17. jaanuaril 2019. aastal heaks kiidetud ja 14. märtsil 2019. aastal avaldatud järeldusi pestitsiidide vastastikuse eksperdiarvamuse kohta</w:t>
      </w:r>
      <w:r w:rsidRPr="002621B1">
        <w:rPr>
          <w:rStyle w:val="FootnoteReference"/>
          <w:szCs w:val="24"/>
        </w:rPr>
        <w:footnoteReference w:id="5"/>
      </w:r>
      <w:r w:rsidRPr="002621B1">
        <w:t>,</w:t>
      </w:r>
    </w:p>
    <w:p w:rsidR="00EC1636" w:rsidRPr="002621B1" w:rsidRDefault="00EC1636" w:rsidP="00A856C2">
      <w:pPr>
        <w:pStyle w:val="NormalHanging12a"/>
        <w:rPr>
          <w:szCs w:val="24"/>
        </w:rPr>
      </w:pPr>
      <w:r w:rsidRPr="002621B1">
        <w:t>–</w:t>
      </w:r>
      <w:r w:rsidRPr="002621B1">
        <w:tab/>
        <w:t>võttes arvesse Euroopa Kemikaaliameti (ECHA) riskihindamise komitee 12. märtsil 2015. aastal vastu võetud arvamust</w:t>
      </w:r>
      <w:r w:rsidRPr="002621B1">
        <w:rPr>
          <w:rStyle w:val="FootnoteReference"/>
          <w:szCs w:val="24"/>
        </w:rPr>
        <w:footnoteReference w:id="6"/>
      </w:r>
      <w:r w:rsidRPr="002621B1">
        <w:t>,</w:t>
      </w:r>
    </w:p>
    <w:p w:rsidR="00EC1636" w:rsidRPr="002621B1" w:rsidRDefault="00EC1636" w:rsidP="00A856C2">
      <w:pPr>
        <w:pStyle w:val="NormalHanging12a"/>
        <w:rPr>
          <w:szCs w:val="24"/>
        </w:rPr>
      </w:pPr>
      <w:r w:rsidRPr="002621B1">
        <w:t>–</w:t>
      </w:r>
      <w:r w:rsidRPr="002621B1">
        <w:tab/>
        <w:t>võttes arvesse nõukogu 28. juuni 1999. aasta otsuse 1999/468/EÜ (millega kehtestatakse komisjoni rakendusvolituste kasutamise menetlused)</w:t>
      </w:r>
      <w:r w:rsidRPr="002621B1">
        <w:rPr>
          <w:rStyle w:val="FootnoteReference"/>
          <w:szCs w:val="24"/>
        </w:rPr>
        <w:footnoteReference w:id="7"/>
      </w:r>
      <w:r w:rsidRPr="002621B1">
        <w:t xml:space="preserve"> artikli 5a lõike 4 punkti e ja artikli 5a lõiget 5,</w:t>
      </w:r>
    </w:p>
    <w:p w:rsidR="00EC1636" w:rsidRPr="002621B1" w:rsidRDefault="00EC1636" w:rsidP="00A856C2">
      <w:pPr>
        <w:pStyle w:val="NormalHanging12a"/>
      </w:pPr>
      <w:r w:rsidRPr="002621B1">
        <w:t>–</w:t>
      </w:r>
      <w:r w:rsidRPr="002621B1">
        <w:tab/>
        <w:t>võttes arvesse kodukorra artikli </w:t>
      </w:r>
      <w:r w:rsidR="00A856C2" w:rsidRPr="002621B1">
        <w:t>112 lõikeid 2 ja 3 ning artikli </w:t>
      </w:r>
      <w:r w:rsidRPr="002621B1">
        <w:t>112 lõike 4 punkti c,</w:t>
      </w:r>
    </w:p>
    <w:p w:rsidR="00EC1636" w:rsidRPr="002621B1" w:rsidRDefault="00EC1636" w:rsidP="00A856C2">
      <w:pPr>
        <w:pStyle w:val="NormalHanging12a"/>
      </w:pPr>
      <w:r w:rsidRPr="002621B1">
        <w:t>–</w:t>
      </w:r>
      <w:r w:rsidRPr="002621B1">
        <w:tab/>
        <w:t>võttes arvesse keskkonna-, rahvatervise ja toiduohutuse komisjoni resolutsiooni ettepanekut,</w:t>
      </w:r>
    </w:p>
    <w:p w:rsidR="00EC1636" w:rsidRPr="002621B1" w:rsidRDefault="00EC1636" w:rsidP="00A856C2">
      <w:pPr>
        <w:pStyle w:val="NormalHanging12a"/>
      </w:pPr>
      <w:r w:rsidRPr="002621B1">
        <w:t>A.</w:t>
      </w:r>
      <w:r w:rsidRPr="002621B1">
        <w:tab/>
        <w:t xml:space="preserve">arvestades, et </w:t>
      </w:r>
      <w:proofErr w:type="spellStart"/>
      <w:r w:rsidRPr="002621B1">
        <w:t>tiaklopriid</w:t>
      </w:r>
      <w:proofErr w:type="spellEnd"/>
      <w:r w:rsidRPr="002621B1">
        <w:t xml:space="preserve"> on peamiselt puuvilla, õunviljade, köögiviljade ja kartulite puhul kasutatavate insektitsiidide toimeaine;</w:t>
      </w:r>
    </w:p>
    <w:p w:rsidR="00EC1636" w:rsidRPr="002621B1" w:rsidRDefault="00EC1636" w:rsidP="00A856C2">
      <w:pPr>
        <w:pStyle w:val="NormalHanging12a"/>
      </w:pPr>
      <w:r w:rsidRPr="002621B1">
        <w:t>B.</w:t>
      </w:r>
      <w:r w:rsidRPr="002621B1">
        <w:tab/>
        <w:t xml:space="preserve">arvestades, et toimeaine </w:t>
      </w:r>
      <w:proofErr w:type="spellStart"/>
      <w:r w:rsidRPr="002621B1">
        <w:t>tiaklopriid</w:t>
      </w:r>
      <w:r w:rsidR="00A856C2" w:rsidRPr="002621B1">
        <w:t>i</w:t>
      </w:r>
      <w:proofErr w:type="spellEnd"/>
      <w:r w:rsidR="00A856C2" w:rsidRPr="002621B1">
        <w:t xml:space="preserve"> heakskiit aegus 3. veebruaril </w:t>
      </w:r>
      <w:r w:rsidRPr="002621B1">
        <w:t>2020 ja seda ei pikendatud vastavalt k</w:t>
      </w:r>
      <w:r w:rsidR="00A856C2" w:rsidRPr="002621B1">
        <w:t>omisjoni rakendusmäärusele (EL) </w:t>
      </w:r>
      <w:r w:rsidRPr="002621B1">
        <w:t>2020/23</w:t>
      </w:r>
      <w:r w:rsidRPr="002621B1">
        <w:rPr>
          <w:rStyle w:val="FootnoteReference"/>
        </w:rPr>
        <w:footnoteReference w:id="8"/>
      </w:r>
      <w:r w:rsidRPr="002621B1">
        <w:t xml:space="preserve">; arvestades, et </w:t>
      </w:r>
      <w:proofErr w:type="spellStart"/>
      <w:r w:rsidRPr="002621B1">
        <w:t>tiaklopriidi</w:t>
      </w:r>
      <w:proofErr w:type="spellEnd"/>
      <w:r w:rsidRPr="002621B1">
        <w:t xml:space="preserve"> sisaldavaid taimekaitsevahendeid käsitlev a</w:t>
      </w:r>
      <w:r w:rsidR="00A856C2" w:rsidRPr="002621B1">
        <w:t>japikendus lõppes 3. veebruaril </w:t>
      </w:r>
      <w:r w:rsidRPr="002621B1">
        <w:t>2021;</w:t>
      </w:r>
    </w:p>
    <w:p w:rsidR="00EC1636" w:rsidRPr="002621B1" w:rsidRDefault="00EC1636" w:rsidP="00A856C2">
      <w:pPr>
        <w:pStyle w:val="NormalHanging12a"/>
      </w:pPr>
      <w:r w:rsidRPr="002621B1">
        <w:t>C.</w:t>
      </w:r>
      <w:r w:rsidRPr="002621B1">
        <w:tab/>
        <w:t xml:space="preserve">arvestades, et toimeaine </w:t>
      </w:r>
      <w:proofErr w:type="spellStart"/>
      <w:r w:rsidRPr="002621B1">
        <w:t>tiaklopriidi</w:t>
      </w:r>
      <w:proofErr w:type="spellEnd"/>
      <w:r w:rsidRPr="002621B1">
        <w:t xml:space="preserve"> heakskiitu ei pikendatud, kuna mää</w:t>
      </w:r>
      <w:r w:rsidR="00A856C2" w:rsidRPr="002621B1">
        <w:t>ruse (EÜ) nr 1107/2009 artiklis </w:t>
      </w:r>
      <w:r w:rsidRPr="002621B1">
        <w:t xml:space="preserve">4 sätestatud heakskiitmise kriteeriumide täitmist ei olnud võimalik kindlaks teha vähemalt ühe taimekaitsevahendi ühe või mitme tüüpilise kasutusviisi puhul; arvestades, et eelkõige tegi EFSA kindlaks kaks murettekitavat valdkonda; arvestades, et esimene murettekitav valdkond oli seotud põhjavee saastumisega mitme olulise </w:t>
      </w:r>
      <w:proofErr w:type="spellStart"/>
      <w:r w:rsidRPr="002621B1">
        <w:t>tiaklopriidi</w:t>
      </w:r>
      <w:proofErr w:type="spellEnd"/>
      <w:r w:rsidRPr="002621B1">
        <w:t xml:space="preserve"> metaboliidiga, mille kantserogeensust ei saa välistada (M30, M34 ja M46) ja mille sisaldus oli kõigi tüüpiliste kasutusviiside puhul suurem joogiveele </w:t>
      </w:r>
      <w:r w:rsidRPr="002621B1">
        <w:lastRenderedPageBreak/>
        <w:t>kehtestatud piirnormist 0,1 µg/l</w:t>
      </w:r>
      <w:r w:rsidRPr="002621B1">
        <w:rPr>
          <w:rStyle w:val="FootnoteReference"/>
        </w:rPr>
        <w:footnoteReference w:id="9"/>
      </w:r>
      <w:r w:rsidRPr="002621B1">
        <w:t xml:space="preserve">; arvestades, et teine murettekitav valdkond oli seotud </w:t>
      </w:r>
      <w:proofErr w:type="spellStart"/>
      <w:r w:rsidRPr="002621B1">
        <w:t>tiaklopriidi</w:t>
      </w:r>
      <w:proofErr w:type="spellEnd"/>
      <w:r w:rsidRPr="002621B1">
        <w:t xml:space="preserve"> ühtlustatud klassifitseerimisega ECHA poolt, mille kohaselt kahjustab see aine eeldatavalt viljakust ja loodet (1B kategooria reproduktiivtoksiline aine) vastavalt Euroopa Parlamen</w:t>
      </w:r>
      <w:r w:rsidR="00A856C2" w:rsidRPr="002621B1">
        <w:t>di ja nõukogu määrusele (EÜ) nr </w:t>
      </w:r>
      <w:r w:rsidRPr="002621B1">
        <w:t>1272/2008</w:t>
      </w:r>
      <w:r w:rsidRPr="002621B1">
        <w:rPr>
          <w:rStyle w:val="FootnoteReference"/>
        </w:rPr>
        <w:footnoteReference w:id="10"/>
      </w:r>
      <w:r w:rsidRPr="002621B1">
        <w:t>, mis teeb</w:t>
      </w:r>
      <w:r w:rsidR="00A856C2" w:rsidRPr="002621B1">
        <w:t xml:space="preserve"> </w:t>
      </w:r>
      <w:proofErr w:type="spellStart"/>
      <w:r w:rsidR="00A856C2" w:rsidRPr="002621B1">
        <w:t>tiaklopriidist</w:t>
      </w:r>
      <w:proofErr w:type="spellEnd"/>
      <w:r w:rsidR="00A856C2" w:rsidRPr="002621B1">
        <w:t xml:space="preserve"> määruse (EÜ) nr 1107/2009 artikli 4 lõike </w:t>
      </w:r>
      <w:r w:rsidRPr="002621B1">
        <w:t xml:space="preserve">1 kohaselt nn piirkriteeriumidele vastava aine; </w:t>
      </w:r>
    </w:p>
    <w:p w:rsidR="00EC1636" w:rsidRPr="002621B1" w:rsidRDefault="00EC1636" w:rsidP="00A856C2">
      <w:pPr>
        <w:pStyle w:val="NormalHanging12a"/>
      </w:pPr>
      <w:r w:rsidRPr="002621B1">
        <w:t>D.</w:t>
      </w:r>
      <w:r w:rsidRPr="002621B1">
        <w:tab/>
        <w:t>arvestades, et EFSA jõudis ka järeldusele, et mesilastele ja sihtrühmavälistele maismaataimedele avalduva ohu hindamist ei olnud võimalik lõpule viia;</w:t>
      </w:r>
    </w:p>
    <w:p w:rsidR="00EC1636" w:rsidRPr="002621B1" w:rsidRDefault="00EC1636" w:rsidP="00A856C2">
      <w:pPr>
        <w:pStyle w:val="NormalHanging12a"/>
      </w:pPr>
      <w:r w:rsidRPr="002621B1">
        <w:t>E.</w:t>
      </w:r>
      <w:r w:rsidRPr="002621B1">
        <w:tab/>
        <w:t xml:space="preserve">arvestades, et </w:t>
      </w:r>
      <w:proofErr w:type="spellStart"/>
      <w:r w:rsidRPr="002621B1">
        <w:t>tiaklopriid</w:t>
      </w:r>
      <w:proofErr w:type="spellEnd"/>
      <w:r w:rsidRPr="002621B1">
        <w:t xml:space="preserve"> klassifitseerita</w:t>
      </w:r>
      <w:r w:rsidR="00A856C2" w:rsidRPr="002621B1">
        <w:t>kse vastavalt määrusele (EÜ) nr </w:t>
      </w:r>
      <w:r w:rsidRPr="002621B1">
        <w:t>1272/2008 ka aineks, mis arv</w:t>
      </w:r>
      <w:r w:rsidR="00A856C2" w:rsidRPr="002621B1">
        <w:t>atavasti põhjustab vähktõbe (2. </w:t>
      </w:r>
      <w:r w:rsidRPr="002621B1">
        <w:t>kategooria kantserogeenne), on veeorganismidele väga mürgine (vesikeskko</w:t>
      </w:r>
      <w:r w:rsidR="00A856C2" w:rsidRPr="002621B1">
        <w:t>nnale ohtlik ägeda mürgisuse 1. </w:t>
      </w:r>
      <w:r w:rsidRPr="002621B1">
        <w:t>kategooria) ja on väga mürgine veeorganismidele, pikaajalise toimega (vesikeskkonnale</w:t>
      </w:r>
      <w:r w:rsidR="00A856C2" w:rsidRPr="002621B1">
        <w:t xml:space="preserve"> ohtlik kroonilise mürgisuse 1. </w:t>
      </w:r>
      <w:r w:rsidRPr="002621B1">
        <w:t>kategooria);</w:t>
      </w:r>
    </w:p>
    <w:p w:rsidR="00EC1636" w:rsidRPr="002621B1" w:rsidRDefault="00EC1636" w:rsidP="00A856C2">
      <w:pPr>
        <w:pStyle w:val="NormalHanging12a"/>
      </w:pPr>
      <w:r w:rsidRPr="002621B1">
        <w:t>F.</w:t>
      </w:r>
      <w:r w:rsidRPr="002621B1">
        <w:tab/>
        <w:t>arvestades, et alaline taime-, looma-, toidu- ja söödakomitee ei ole nõukogu määruse ettepaneku kohta arvamust esitanud; arvestades, et alalise taime-, looma-,</w:t>
      </w:r>
      <w:r w:rsidR="00A856C2" w:rsidRPr="002621B1">
        <w:t xml:space="preserve"> toidu- ja söödakomitee 18.–19. septembril </w:t>
      </w:r>
      <w:r w:rsidRPr="002621B1">
        <w:t xml:space="preserve">2023 toimunud koosolekul „ei toetanud määruse eelnõu kaheksa liikmesriiki. Kuus neist mainisid eelkõige oma muret seoses </w:t>
      </w:r>
      <w:proofErr w:type="spellStart"/>
      <w:r w:rsidRPr="002621B1">
        <w:rPr>
          <w:i/>
          <w:iCs/>
        </w:rPr>
        <w:t>codex</w:t>
      </w:r>
      <w:proofErr w:type="spellEnd"/>
      <w:r w:rsidRPr="002621B1">
        <w:rPr>
          <w:i/>
          <w:iCs/>
        </w:rPr>
        <w:t xml:space="preserve"> </w:t>
      </w:r>
      <w:proofErr w:type="spellStart"/>
      <w:r w:rsidRPr="002621B1">
        <w:rPr>
          <w:i/>
          <w:iCs/>
        </w:rPr>
        <w:t>alimentarius</w:t>
      </w:r>
      <w:r w:rsidRPr="002621B1">
        <w:t>’es</w:t>
      </w:r>
      <w:proofErr w:type="spellEnd"/>
      <w:r w:rsidRPr="002621B1">
        <w:t xml:space="preserve"> esitatud piirnormide ja impordile kehtestatud jääkide piirnormide säilitamisega </w:t>
      </w:r>
      <w:proofErr w:type="spellStart"/>
      <w:r w:rsidRPr="002621B1">
        <w:t>heakskiitmata</w:t>
      </w:r>
      <w:proofErr w:type="spellEnd"/>
      <w:r w:rsidRPr="002621B1">
        <w:t xml:space="preserve"> aine puhul, mi</w:t>
      </w:r>
      <w:r w:rsidR="00A856C2" w:rsidRPr="002621B1">
        <w:t>s vastab ühele määruses (EÜ) nr </w:t>
      </w:r>
      <w:r w:rsidRPr="002621B1">
        <w:t>1107/2009 sätestatud piirkriteeriumile (reproduktiivtoksiline aine). Lisaks väljendas üks liikmesriik, kes ei toetanud määruse eelnõu, muret selle pärast, et EFSA on teatanud akuutse standarddoosi ületamisest teatavate mittestandardsete asjaolude korral, teine mainis nende ELi põllumajandustootjate diskrimineerimist, kes ei tohi enam kasutada seda toimeainet sisaldavaid taimekaitsevahendeid, samas kui kolmandate riikide põllumajandustootjad võivad seda siiski teha, põhjustades seega kõlvatut konkurentsi“</w:t>
      </w:r>
      <w:r w:rsidRPr="002621B1">
        <w:rPr>
          <w:rStyle w:val="FootnoteReference"/>
        </w:rPr>
        <w:footnoteReference w:id="11"/>
      </w:r>
      <w:r w:rsidRPr="002621B1">
        <w:t>;</w:t>
      </w:r>
    </w:p>
    <w:p w:rsidR="00EC1636" w:rsidRPr="002621B1" w:rsidRDefault="00EC1636" w:rsidP="00A856C2">
      <w:pPr>
        <w:pStyle w:val="NormalHanging12a"/>
      </w:pPr>
      <w:r w:rsidRPr="002621B1">
        <w:t>G.</w:t>
      </w:r>
      <w:r w:rsidRPr="002621B1">
        <w:tab/>
        <w:t xml:space="preserve">arvestades, et Saksamaa taotles, et alalise taime-, looma-, toidu- ja </w:t>
      </w:r>
      <w:r w:rsidR="00A856C2" w:rsidRPr="002621B1">
        <w:t>söödakomitee 18.–19. septembril </w:t>
      </w:r>
      <w:r w:rsidRPr="002621B1">
        <w:t>2023 toimunud koosoleku kokkuvõtvasse aruandesse lisataks järgmine avaldus: „</w:t>
      </w:r>
      <w:proofErr w:type="spellStart"/>
      <w:r w:rsidRPr="002621B1">
        <w:t>Tiaklopriid</w:t>
      </w:r>
      <w:proofErr w:type="spellEnd"/>
      <w:r w:rsidRPr="002621B1">
        <w:t xml:space="preserve"> on piirkriteeriumidele vastav toimeaine vastavalt määrusele (EÜ) nr 1107/2009. Toimeaine heakskiitmise uuendamise menetluse käigus tehti kindlaks, et see vastab piirkriteeriumidele, kuna see on klassifitseeritud kategooria 1B reproduktiivtoksiliseks aineks. Seega toimeainet uuesti heaks ei kiidetud. Saksamaa ei toeta üldiselt [jääkide piirnormide] kehtestamist toimeainetele, mis ei ole terviseprobleemide tõttu ELis heaks kiidetud. Siin on otsustavaks teguriks see, et piirkriteeriumid on kehtestatud toimeaine heakskiitmise (uuendamise) menetluse raa</w:t>
      </w:r>
      <w:r w:rsidR="00A856C2" w:rsidRPr="002621B1">
        <w:t>mes vastavalt määrusele (EÜ) nr </w:t>
      </w:r>
      <w:r w:rsidRPr="002621B1">
        <w:t>1107/2009“</w:t>
      </w:r>
      <w:r w:rsidRPr="002621B1">
        <w:rPr>
          <w:rStyle w:val="FootnoteReference"/>
        </w:rPr>
        <w:footnoteReference w:id="12"/>
      </w:r>
      <w:r w:rsidRPr="002621B1">
        <w:t>;</w:t>
      </w:r>
    </w:p>
    <w:p w:rsidR="00EC1636" w:rsidRPr="002621B1" w:rsidRDefault="00EC1636" w:rsidP="00A856C2">
      <w:pPr>
        <w:pStyle w:val="NormalHanging12a"/>
      </w:pPr>
      <w:r w:rsidRPr="002621B1">
        <w:t>H.</w:t>
      </w:r>
      <w:r w:rsidRPr="002621B1">
        <w:tab/>
        <w:t>arvestades, et seega on kooskõlas määruse (EÜ</w:t>
      </w:r>
      <w:r w:rsidR="00A856C2" w:rsidRPr="002621B1">
        <w:t>) nr </w:t>
      </w:r>
      <w:r w:rsidRPr="002621B1">
        <w:t xml:space="preserve">396/2005 artikliga 17 koostoimes </w:t>
      </w:r>
      <w:r w:rsidRPr="002621B1">
        <w:lastRenderedPageBreak/>
        <w:t xml:space="preserve">kõnealuse määruse artikli 14 lõike 1 punktiga a asjakohane jätta määruse II lisast välja </w:t>
      </w:r>
      <w:proofErr w:type="spellStart"/>
      <w:r w:rsidRPr="002621B1">
        <w:t>tiaklopriidi</w:t>
      </w:r>
      <w:proofErr w:type="spellEnd"/>
      <w:r w:rsidRPr="002621B1">
        <w:t xml:space="preserve"> kohta kehtestatud jääkide piirnormid;</w:t>
      </w:r>
    </w:p>
    <w:p w:rsidR="00EC1636" w:rsidRPr="002621B1" w:rsidRDefault="00EC1636" w:rsidP="00A856C2">
      <w:pPr>
        <w:pStyle w:val="NormalHanging12a"/>
      </w:pPr>
      <w:r w:rsidRPr="002621B1">
        <w:t>I.</w:t>
      </w:r>
      <w:r w:rsidRPr="002621B1">
        <w:tab/>
        <w:t>arvestades, et nõukogu määruse ettepanekus teeb komisjon EFSA põhjendatud arvamuse</w:t>
      </w:r>
      <w:r w:rsidRPr="002621B1">
        <w:rPr>
          <w:rStyle w:val="FootnoteReference"/>
        </w:rPr>
        <w:footnoteReference w:id="13"/>
      </w:r>
      <w:r w:rsidRPr="002621B1">
        <w:t xml:space="preserve"> põhjal siiski ettepaneku säilitada </w:t>
      </w:r>
      <w:proofErr w:type="spellStart"/>
      <w:r w:rsidRPr="002621B1">
        <w:t>tiaklopriidi</w:t>
      </w:r>
      <w:proofErr w:type="spellEnd"/>
      <w:r w:rsidRPr="002621B1">
        <w:t xml:space="preserve"> jääkide piirnormid üle määramispiiri kasutamiseks enam kui 30 impordiks ettenähtud toote puhul;</w:t>
      </w:r>
    </w:p>
    <w:p w:rsidR="00EC1636" w:rsidRPr="002621B1" w:rsidRDefault="00EC1636" w:rsidP="00A856C2">
      <w:pPr>
        <w:pStyle w:val="NormalHanging12a"/>
      </w:pPr>
      <w:r w:rsidRPr="002621B1">
        <w:t>J.</w:t>
      </w:r>
      <w:r w:rsidRPr="002621B1">
        <w:tab/>
        <w:t xml:space="preserve">arvestades, et kasutusviisid, mille puhul määramispiirist kõrgemaid jääkide piirnorme peetakse ohutuks, hõlmavad </w:t>
      </w:r>
      <w:proofErr w:type="spellStart"/>
      <w:r w:rsidRPr="002621B1">
        <w:t>tiaklopriidi</w:t>
      </w:r>
      <w:proofErr w:type="spellEnd"/>
      <w:r w:rsidRPr="002621B1">
        <w:t xml:space="preserve"> kasutamist </w:t>
      </w:r>
      <w:proofErr w:type="spellStart"/>
      <w:r w:rsidRPr="002621B1">
        <w:t>papaiade</w:t>
      </w:r>
      <w:proofErr w:type="spellEnd"/>
      <w:r w:rsidRPr="002621B1">
        <w:t xml:space="preserve">, tee, pähklite, küdooniate, astelpihlaka viljade, </w:t>
      </w:r>
      <w:proofErr w:type="spellStart"/>
      <w:r w:rsidRPr="002621B1">
        <w:t>nisperode</w:t>
      </w:r>
      <w:proofErr w:type="spellEnd"/>
      <w:r w:rsidRPr="002621B1">
        <w:t xml:space="preserve"> / jaapani villpöörise viljade, aprikooside, maguskirsside, ploomide, maasikate, pamplite, põldmurakate, muude väikeste puuviljade ja marjade, kiivide, kartulite, tomatite, baklažaanide, melonite, arbuuside, riisi, nisu, loomade (sead, veised, lambad, hobused, kodulinnud ja muud põllumajandusloomad) kudedest (lihaskude, maks, neerud ja söödav rups) saadud toodete, piima ja munade, vaarikate, kurkide, kabatšokkide, rapsi-, sinepi- ja puuvillaseemnete puhul; arvestades, et nende kasutusviiside jaoks kavandatud jääkide piirnormid ulatuvad kahekordsest määramispiirist kuni tuhandekordse määramispiirini (tee puhul kasutamiseks);</w:t>
      </w:r>
    </w:p>
    <w:p w:rsidR="00EC1636" w:rsidRPr="002621B1" w:rsidRDefault="00EC1636" w:rsidP="00A856C2">
      <w:pPr>
        <w:pStyle w:val="NormalHanging12a"/>
      </w:pPr>
      <w:r w:rsidRPr="002621B1">
        <w:t>K.</w:t>
      </w:r>
      <w:r w:rsidRPr="002621B1">
        <w:tab/>
        <w:t xml:space="preserve">arvestades, et impordile kehtestatavate jääkide piirnormide taotlus lükati seevastu tagasi ainult kahe kasutusviisi puhul (virsikud ja paprikad), kuna akuutse standarddoosi ületamist ei saa välistada, ning seetõttu tegi komisjon ettepaneku vähendada </w:t>
      </w:r>
      <w:proofErr w:type="spellStart"/>
      <w:r w:rsidRPr="002621B1">
        <w:t>tiaklopriidi</w:t>
      </w:r>
      <w:proofErr w:type="spellEnd"/>
      <w:r w:rsidRPr="002621B1">
        <w:t xml:space="preserve"> jääkide piirnorme määramispiirini ainult nende kasutusviiside puhul; </w:t>
      </w:r>
    </w:p>
    <w:p w:rsidR="00EC1636" w:rsidRPr="002621B1" w:rsidRDefault="00EC1636" w:rsidP="00A856C2">
      <w:pPr>
        <w:pStyle w:val="NormalHanging12a"/>
      </w:pPr>
      <w:r w:rsidRPr="002621B1">
        <w:t>L.</w:t>
      </w:r>
      <w:r w:rsidRPr="002621B1">
        <w:tab/>
        <w:t xml:space="preserve">arvestades, et määruse (EÜ) nr 396/2005 põhjenduses 5 nähakse ette, et jääke ei tohiks esineda tasemel, mis kujutab endast vastuvõetamatut riski inimestele ja asjakohasel juhul loomadele; </w:t>
      </w:r>
    </w:p>
    <w:p w:rsidR="00EC1636" w:rsidRPr="002621B1" w:rsidRDefault="00EC1636" w:rsidP="00A856C2">
      <w:pPr>
        <w:pStyle w:val="NormalHanging12a"/>
      </w:pPr>
      <w:r w:rsidRPr="002621B1">
        <w:t>M.</w:t>
      </w:r>
      <w:r w:rsidRPr="002621B1">
        <w:tab/>
        <w:t>arvestades, et mä</w:t>
      </w:r>
      <w:r w:rsidR="00A856C2" w:rsidRPr="002621B1">
        <w:t>äruse (EÜ) nr 1107/2009 artikli 4 lõike 2 punktis </w:t>
      </w:r>
      <w:r w:rsidRPr="002621B1">
        <w:t xml:space="preserve">a on sätestatud, et taimekaitsevahendite jääkidel ei tohi olla mingit kahjulikku mõju inimeste, sealhulgas </w:t>
      </w:r>
      <w:r w:rsidR="00D40AB8" w:rsidRPr="002621B1">
        <w:t xml:space="preserve">vähekaitstud </w:t>
      </w:r>
      <w:r w:rsidRPr="002621B1">
        <w:t xml:space="preserve">elanikkonnarühmade ega loomade tervisele, võttes arvesse teadaolevaid kumulatiivseid ja </w:t>
      </w:r>
      <w:proofErr w:type="spellStart"/>
      <w:r w:rsidRPr="002621B1">
        <w:t>koostoimelisi</w:t>
      </w:r>
      <w:proofErr w:type="spellEnd"/>
      <w:r w:rsidRPr="002621B1">
        <w:t xml:space="preserve"> mõjusid; arvestades, et kõ</w:t>
      </w:r>
      <w:r w:rsidR="00A856C2" w:rsidRPr="002621B1">
        <w:t>nealuse määruse II lisa punktis </w:t>
      </w:r>
      <w:r w:rsidRPr="002621B1">
        <w:t>3.6.4. on sätestatud, et to</w:t>
      </w:r>
      <w:r w:rsidR="00A856C2" w:rsidRPr="002621B1">
        <w:t>imeaine, mis on määruse (EÜ) nr </w:t>
      </w:r>
      <w:r w:rsidRPr="002621B1">
        <w:t>1272/200</w:t>
      </w:r>
      <w:r w:rsidR="00A856C2" w:rsidRPr="002621B1">
        <w:t>8 kohaselt klassifitseeritud 1A või 1B </w:t>
      </w:r>
      <w:r w:rsidRPr="002621B1">
        <w:t>kategooria reproduktiivtoksiliseks aineks, kiidetakse heaks üksnes juhu</w:t>
      </w:r>
      <w:r w:rsidR="00A856C2" w:rsidRPr="002621B1">
        <w:t>l, kui „asjaomase toimeaine […</w:t>
      </w:r>
      <w:r w:rsidRPr="002621B1">
        <w:t>] jäägid toidul või söödal ei ületa vaikimisi väärtust, mis</w:t>
      </w:r>
      <w:r w:rsidR="00A856C2" w:rsidRPr="002621B1">
        <w:t xml:space="preserve"> on kehtestatud määruse (EÜ) nr 396/2005 artikli 18 lõike 1 punkti </w:t>
      </w:r>
      <w:r w:rsidRPr="002621B1">
        <w:t>b kohaselt“;</w:t>
      </w:r>
      <w:r w:rsidR="00A856C2" w:rsidRPr="002621B1">
        <w:t xml:space="preserve"> arvestades, et määruse (EÜ) nr 396/2005 artikli 18 lõike </w:t>
      </w:r>
      <w:r w:rsidRPr="002621B1">
        <w:t>1</w:t>
      </w:r>
      <w:r w:rsidR="00A856C2" w:rsidRPr="002621B1">
        <w:t xml:space="preserve"> punktis </w:t>
      </w:r>
      <w:r w:rsidRPr="002621B1">
        <w:t>b on sätestatud vaikeväärtus 0,01 mg/kg;</w:t>
      </w:r>
    </w:p>
    <w:p w:rsidR="00EC1636" w:rsidRPr="002621B1" w:rsidRDefault="00EC1636" w:rsidP="00A856C2">
      <w:pPr>
        <w:pStyle w:val="NormalHanging12a"/>
      </w:pPr>
      <w:r w:rsidRPr="002621B1">
        <w:t>N.</w:t>
      </w:r>
      <w:r w:rsidR="00A856C2" w:rsidRPr="002621B1">
        <w:tab/>
        <w:t>arvestades, et määruse (EÜ) nr 396/2005 artikli 3 lõike 2 punktis </w:t>
      </w:r>
      <w:r w:rsidRPr="002621B1">
        <w:t xml:space="preserve">g on sätestatud, et impordile kehtestatud jääkide piirnorm on imporditavatele toodetele kehtestatav jääkide piirnorm juhul, kui „toote pinnal kasutatavas taimekaitsevahendis sisalduva toimeaine kasutamine ei ole konkreetse toote ja kasutusotstarbe korral ühenduses lubatud muudel põhjustel kui rahvatervis“; arvestades, et </w:t>
      </w:r>
      <w:proofErr w:type="spellStart"/>
      <w:r w:rsidRPr="002621B1">
        <w:t>tiaklopriid</w:t>
      </w:r>
      <w:proofErr w:type="spellEnd"/>
      <w:r w:rsidRPr="002621B1">
        <w:t xml:space="preserve"> ei vasta nendele kriteeriumidele, sest see on tervise kaalutustel keelatud, k</w:t>
      </w:r>
      <w:r w:rsidR="00A856C2" w:rsidRPr="002621B1">
        <w:t>una see on klassifitseeritud 1B </w:t>
      </w:r>
      <w:r w:rsidRPr="002621B1">
        <w:t>kategooria reproduktiivtoksiliseks aineks;</w:t>
      </w:r>
    </w:p>
    <w:p w:rsidR="00EC1636" w:rsidRPr="002621B1" w:rsidRDefault="00EC1636" w:rsidP="00A856C2">
      <w:pPr>
        <w:pStyle w:val="NormalHanging12a"/>
      </w:pPr>
      <w:r w:rsidRPr="002621B1">
        <w:t>O.</w:t>
      </w:r>
      <w:r w:rsidRPr="002621B1">
        <w:tab/>
        <w:t xml:space="preserve">arvestades, et määruse (EÜ) nr 178/2002 artikli 5 lõikes 1 on sätestatud, et toidualaste õigusnormidega tuleb taotleda üht või mitut </w:t>
      </w:r>
      <w:proofErr w:type="spellStart"/>
      <w:r w:rsidRPr="002621B1">
        <w:t>üldeesmärki</w:t>
      </w:r>
      <w:proofErr w:type="spellEnd"/>
      <w:r w:rsidRPr="002621B1">
        <w:t xml:space="preserve">, milleks on inimeste elu ja tervise kõrgetasemeline kaitse ning tarbijate huvide kaitsmine, sealhulgas õiglased tavad </w:t>
      </w:r>
      <w:r w:rsidRPr="002621B1">
        <w:lastRenderedPageBreak/>
        <w:t>toidukaubanduses, võttes vajaduse korral arvesse loomade tervise ja heaolu, taimetervise ja keskkonna kaitset;</w:t>
      </w:r>
    </w:p>
    <w:p w:rsidR="00EC1636" w:rsidRPr="002621B1" w:rsidRDefault="00EC1636" w:rsidP="00A856C2">
      <w:pPr>
        <w:pStyle w:val="NormalHanging12a"/>
      </w:pPr>
      <w:r w:rsidRPr="002621B1">
        <w:t>P.</w:t>
      </w:r>
      <w:r w:rsidRPr="002621B1">
        <w:tab/>
        <w:t xml:space="preserve">arvestades, et praegune </w:t>
      </w:r>
      <w:proofErr w:type="spellStart"/>
      <w:r w:rsidRPr="002621B1">
        <w:t>tolmeldajate</w:t>
      </w:r>
      <w:proofErr w:type="spellEnd"/>
      <w:r w:rsidRPr="002621B1">
        <w:t xml:space="preserve"> kriis on üks peamisi ohte elurikkusele ning ülemaailmsele ja kohalikule toiduga kindlustatusele; arvestades, et see kriis võib süvendada varjatud näljaprobleeme, vähendada ökosüsteemi vastupanuvõimet ja destabiliseerida ökosüsteeme, mis moodustavad meie elu toetava süsteemi</w:t>
      </w:r>
      <w:r w:rsidRPr="002621B1">
        <w:rPr>
          <w:rStyle w:val="FootnoteReference"/>
        </w:rPr>
        <w:footnoteReference w:id="14"/>
      </w:r>
      <w:r w:rsidRPr="002621B1">
        <w:t>;</w:t>
      </w:r>
    </w:p>
    <w:p w:rsidR="00EC1636" w:rsidRPr="002621B1" w:rsidRDefault="00EC1636" w:rsidP="00A856C2">
      <w:pPr>
        <w:pStyle w:val="NormalHanging12a"/>
      </w:pPr>
      <w:r w:rsidRPr="002621B1">
        <w:t>Q.</w:t>
      </w:r>
      <w:r w:rsidRPr="002621B1">
        <w:tab/>
        <w:t>arvestades, et komisjon teatas oma 20. mai 2020. aasta teatises „Strateegia „Talust taldrikule“ õiglase, tervisliku ja keskkonnahoidliku toidusüsteemi edendamiseks“</w:t>
      </w:r>
      <w:r w:rsidRPr="002621B1">
        <w:rPr>
          <w:rStyle w:val="FootnoteReference"/>
        </w:rPr>
        <w:footnoteReference w:id="15"/>
      </w:r>
      <w:r w:rsidRPr="002621B1">
        <w:t xml:space="preserve">, et „EL toetab ülemaailmset üleminekut kestlikele põllumajandusliku toidutööstuse süsteemidele kooskõlas selle strateegia eesmärkide ja kestliku arengu eesmärkidega“ ning et „ELil võib seda strateegiat rakendades olla keskne roll ülemaailmsete standardite kehtestamisel“; arvestades, et komisjon märkis strateegias sõnaselgelt, et „ELi kestlikum toidusüsteem nõuab ka meie kaubanduspartneritelt üha kestlikumaid tavasid. Selleks et edendada järkjärgulist liikumist ohutumate taimekaitsevahendite kasutamise suunas, soovib EL kooskõlas WTO </w:t>
      </w:r>
      <w:r w:rsidR="00D40AB8" w:rsidRPr="002621B1">
        <w:t xml:space="preserve">reeglitega </w:t>
      </w:r>
      <w:r w:rsidRPr="002621B1">
        <w:t>ja pärast riskihindamist vaadata läbi selliste ainete impordile kehtestatud jääkide piirnormid, mis vastavad piirkriteeriumidele, kuid kujutavad endast suurt ohtu inimeste tervisele“;</w:t>
      </w:r>
    </w:p>
    <w:p w:rsidR="00EC1636" w:rsidRPr="002621B1" w:rsidRDefault="00EC1636" w:rsidP="00A856C2">
      <w:pPr>
        <w:pStyle w:val="NormalHanging12a"/>
      </w:pPr>
      <w:r w:rsidRPr="002621B1">
        <w:t>R.</w:t>
      </w:r>
      <w:r w:rsidRPr="002621B1">
        <w:tab/>
        <w:t>arvestades, et 2022. aastal alandas komisjon</w:t>
      </w:r>
      <w:r w:rsidRPr="002621B1">
        <w:rPr>
          <w:rStyle w:val="FootnoteReference"/>
        </w:rPr>
        <w:footnoteReference w:id="16"/>
      </w:r>
      <w:r w:rsidRPr="002621B1">
        <w:t xml:space="preserve"> kahe </w:t>
      </w:r>
      <w:proofErr w:type="spellStart"/>
      <w:r w:rsidRPr="002621B1">
        <w:t>tolmeldajatele</w:t>
      </w:r>
      <w:proofErr w:type="spellEnd"/>
      <w:r w:rsidRPr="002621B1">
        <w:t xml:space="preserve"> suurt ohtu kujutava </w:t>
      </w:r>
      <w:proofErr w:type="spellStart"/>
      <w:r w:rsidRPr="002621B1">
        <w:t>neonikotinoidi</w:t>
      </w:r>
      <w:proofErr w:type="spellEnd"/>
      <w:r w:rsidRPr="002621B1">
        <w:t xml:space="preserve"> jääkide piirnorme madalaima tasemeni, mida on võimalik mõõta </w:t>
      </w:r>
      <w:proofErr w:type="spellStart"/>
      <w:r w:rsidRPr="002621B1">
        <w:t>uusimate</w:t>
      </w:r>
      <w:proofErr w:type="spellEnd"/>
      <w:r w:rsidRPr="002621B1">
        <w:t xml:space="preserve"> tehnoloogiate abil, kusjuures imporditud tooted ei tohi enam sisaldada </w:t>
      </w:r>
      <w:proofErr w:type="spellStart"/>
      <w:r w:rsidRPr="002621B1">
        <w:t>klotianidiini</w:t>
      </w:r>
      <w:proofErr w:type="spellEnd"/>
      <w:r w:rsidRPr="002621B1">
        <w:t xml:space="preserve"> ja </w:t>
      </w:r>
      <w:proofErr w:type="spellStart"/>
      <w:r w:rsidRPr="002621B1">
        <w:t>tiametoksaami</w:t>
      </w:r>
      <w:proofErr w:type="spellEnd"/>
      <w:r w:rsidRPr="002621B1">
        <w:t xml:space="preserve"> jääke; </w:t>
      </w:r>
    </w:p>
    <w:p w:rsidR="00EC1636" w:rsidRPr="002621B1" w:rsidRDefault="00EC1636" w:rsidP="00A856C2">
      <w:pPr>
        <w:pStyle w:val="NormalHanging12a"/>
      </w:pPr>
      <w:r w:rsidRPr="002621B1">
        <w:t>S.</w:t>
      </w:r>
      <w:r w:rsidRPr="002621B1">
        <w:tab/>
        <w:t xml:space="preserve">arvestades, et komisjon väitis sellega seoses, et „võttes arvesse kõiki käsitletava küsimusega seotud tegureid vastavalt artikli 14 lõikele 2 koostoimes Euroopa Liidu toimimise lepingu artikliga 11, milles nõutakse, et „[liidu] poliitika ja tegevuse määratlemisse ja rakendamisse peab integreerima keskkonnakaitse nõuded, eelkõige pidades silmas säästva arengu edendamist“, tuleks kõik praegused </w:t>
      </w:r>
      <w:proofErr w:type="spellStart"/>
      <w:r w:rsidRPr="002621B1">
        <w:t>klotianidiini</w:t>
      </w:r>
      <w:proofErr w:type="spellEnd"/>
      <w:r w:rsidRPr="002621B1">
        <w:t xml:space="preserve"> ja/või </w:t>
      </w:r>
      <w:proofErr w:type="spellStart"/>
      <w:r w:rsidRPr="002621B1">
        <w:t>tiametoksaami</w:t>
      </w:r>
      <w:proofErr w:type="spellEnd"/>
      <w:r w:rsidRPr="002621B1">
        <w:t xml:space="preserve"> jääkide piirnormid, mis on sätestatud määruses (EÜ) nr 396/2005, alandada määramispiirini“</w:t>
      </w:r>
      <w:r w:rsidRPr="002621B1">
        <w:rPr>
          <w:rStyle w:val="FootnoteReference"/>
        </w:rPr>
        <w:footnoteReference w:id="17"/>
      </w:r>
      <w:r w:rsidRPr="002621B1">
        <w:t>;</w:t>
      </w:r>
    </w:p>
    <w:p w:rsidR="00EC1636" w:rsidRPr="002621B1" w:rsidRDefault="00EC1636" w:rsidP="00A856C2">
      <w:pPr>
        <w:pStyle w:val="NormalHanging12a"/>
      </w:pPr>
      <w:r w:rsidRPr="002621B1">
        <w:t>T.</w:t>
      </w:r>
      <w:r w:rsidRPr="002621B1">
        <w:tab/>
        <w:t>arvestades, et alalise taime-, looma-, toidu- ja sööd</w:t>
      </w:r>
      <w:r w:rsidR="00A856C2" w:rsidRPr="002621B1">
        <w:t>akomitee 10.–11. mail </w:t>
      </w:r>
      <w:r w:rsidRPr="002621B1">
        <w:t xml:space="preserve">2023 toimunud koosolekul „tuletas komisjon meelde, et </w:t>
      </w:r>
      <w:proofErr w:type="spellStart"/>
      <w:r w:rsidRPr="002621B1">
        <w:t>tiaklopriid</w:t>
      </w:r>
      <w:proofErr w:type="spellEnd"/>
      <w:r w:rsidRPr="002621B1">
        <w:t xml:space="preserve"> kuulub </w:t>
      </w:r>
      <w:proofErr w:type="spellStart"/>
      <w:r w:rsidRPr="002621B1">
        <w:t>neonikotinoidide</w:t>
      </w:r>
      <w:proofErr w:type="spellEnd"/>
      <w:r w:rsidRPr="002621B1">
        <w:t xml:space="preserve"> toimeainete rühma, [kuid] kuna sellel on erinevad omadused kui </w:t>
      </w:r>
      <w:proofErr w:type="spellStart"/>
      <w:r w:rsidRPr="002621B1">
        <w:t>klotianidiinil</w:t>
      </w:r>
      <w:proofErr w:type="spellEnd"/>
      <w:r w:rsidRPr="002621B1">
        <w:t xml:space="preserve"> ja </w:t>
      </w:r>
      <w:proofErr w:type="spellStart"/>
      <w:r w:rsidRPr="002621B1">
        <w:t>tiametoksaamil</w:t>
      </w:r>
      <w:proofErr w:type="spellEnd"/>
      <w:r w:rsidRPr="002621B1">
        <w:t xml:space="preserve">, ei ole praegu kavas selle puhul järgida sama lähenemisviisi kui strateegiat „Talust taldrikule“ rakendades kasutatakse </w:t>
      </w:r>
      <w:proofErr w:type="spellStart"/>
      <w:r w:rsidRPr="002621B1">
        <w:t>klotianidiini</w:t>
      </w:r>
      <w:proofErr w:type="spellEnd"/>
      <w:r w:rsidRPr="002621B1">
        <w:t xml:space="preserve"> ja </w:t>
      </w:r>
      <w:proofErr w:type="spellStart"/>
      <w:r w:rsidRPr="002621B1">
        <w:t>tiametoksaami</w:t>
      </w:r>
      <w:proofErr w:type="spellEnd"/>
      <w:r w:rsidRPr="002621B1">
        <w:t xml:space="preserve"> </w:t>
      </w:r>
      <w:r w:rsidRPr="002621B1">
        <w:lastRenderedPageBreak/>
        <w:t>puhul, vähendades kõiki jääkide piirnorme määramispiirini“</w:t>
      </w:r>
      <w:r w:rsidRPr="002621B1">
        <w:rPr>
          <w:rStyle w:val="FootnoteReference"/>
        </w:rPr>
        <w:footnoteReference w:id="18"/>
      </w:r>
      <w:r w:rsidRPr="002621B1">
        <w:t>;</w:t>
      </w:r>
    </w:p>
    <w:p w:rsidR="00EC1636" w:rsidRPr="002621B1" w:rsidRDefault="00EC1636" w:rsidP="00A856C2">
      <w:pPr>
        <w:pStyle w:val="NormalHanging12a"/>
      </w:pPr>
      <w:r w:rsidRPr="002621B1">
        <w:t>U.</w:t>
      </w:r>
      <w:r w:rsidRPr="002621B1">
        <w:tab/>
        <w:t xml:space="preserve">arvestades, et teaduskirjanduses vaidlustatakse tõsiasja, et </w:t>
      </w:r>
      <w:proofErr w:type="spellStart"/>
      <w:r w:rsidRPr="002621B1">
        <w:t>tiaklopriidil</w:t>
      </w:r>
      <w:proofErr w:type="spellEnd"/>
      <w:r w:rsidRPr="002621B1">
        <w:t xml:space="preserve"> on teistest </w:t>
      </w:r>
      <w:proofErr w:type="spellStart"/>
      <w:r w:rsidRPr="002621B1">
        <w:t>neonikotinoididest</w:t>
      </w:r>
      <w:proofErr w:type="spellEnd"/>
      <w:r w:rsidRPr="002621B1">
        <w:t xml:space="preserve"> erinevad omadused, ning tulemused näitavad, et „</w:t>
      </w:r>
      <w:proofErr w:type="spellStart"/>
      <w:r w:rsidRPr="002621B1">
        <w:t>tiaklopriidi</w:t>
      </w:r>
      <w:proofErr w:type="spellEnd"/>
      <w:r w:rsidRPr="002621B1">
        <w:t xml:space="preserve"> kui suhteliselt healoomulise </w:t>
      </w:r>
      <w:proofErr w:type="spellStart"/>
      <w:r w:rsidRPr="002621B1">
        <w:t>neonikotinoidi</w:t>
      </w:r>
      <w:proofErr w:type="spellEnd"/>
      <w:r w:rsidRPr="002621B1">
        <w:t xml:space="preserve"> kuvand tuleks nüüd kahtluse alla seada“</w:t>
      </w:r>
      <w:r w:rsidRPr="002621B1">
        <w:rPr>
          <w:rStyle w:val="FootnoteReference"/>
        </w:rPr>
        <w:footnoteReference w:id="19"/>
      </w:r>
      <w:r w:rsidRPr="002621B1">
        <w:t>;</w:t>
      </w:r>
    </w:p>
    <w:p w:rsidR="00EC1636" w:rsidRPr="002621B1" w:rsidRDefault="00EC1636" w:rsidP="00A856C2">
      <w:pPr>
        <w:pStyle w:val="NormalHanging12a"/>
      </w:pPr>
      <w:r w:rsidRPr="002621B1">
        <w:t>V.</w:t>
      </w:r>
      <w:r w:rsidRPr="002621B1">
        <w:tab/>
        <w:t xml:space="preserve">arvestades, et eelkõige on leitud, et </w:t>
      </w:r>
      <w:proofErr w:type="spellStart"/>
      <w:r w:rsidRPr="002621B1">
        <w:t>tiaklopriidiga</w:t>
      </w:r>
      <w:proofErr w:type="spellEnd"/>
      <w:r w:rsidRPr="002621B1">
        <w:t xml:space="preserve"> </w:t>
      </w:r>
      <w:proofErr w:type="spellStart"/>
      <w:r w:rsidRPr="002621B1">
        <w:t>kokkupuutuvad</w:t>
      </w:r>
      <w:proofErr w:type="spellEnd"/>
      <w:r w:rsidRPr="002621B1">
        <w:t xml:space="preserve"> kimalaste kolooniad surevad suurema tõenäosusega enneaegselt ja ellujäänud kimalaste kolooniad kannatavad </w:t>
      </w:r>
      <w:proofErr w:type="spellStart"/>
      <w:r w:rsidRPr="002621B1">
        <w:t>subletaalse</w:t>
      </w:r>
      <w:proofErr w:type="spellEnd"/>
      <w:r w:rsidRPr="002621B1">
        <w:t xml:space="preserve"> mõju all</w:t>
      </w:r>
      <w:r w:rsidRPr="002621B1">
        <w:rPr>
          <w:rStyle w:val="FootnoteReference"/>
        </w:rPr>
        <w:footnoteReference w:id="20"/>
      </w:r>
      <w:r w:rsidRPr="002621B1">
        <w:t xml:space="preserve">; arvestades, et on leitud, et </w:t>
      </w:r>
      <w:proofErr w:type="spellStart"/>
      <w:r w:rsidRPr="002621B1">
        <w:t>tiaklopriid</w:t>
      </w:r>
      <w:proofErr w:type="spellEnd"/>
      <w:r w:rsidRPr="002621B1">
        <w:t xml:space="preserve"> mõjutab ka mesilaste käitumist ja immuunsüsteemi sarnaselt </w:t>
      </w:r>
      <w:proofErr w:type="spellStart"/>
      <w:r w:rsidRPr="002621B1">
        <w:t>imidaklopriidi</w:t>
      </w:r>
      <w:proofErr w:type="spellEnd"/>
      <w:r w:rsidRPr="002621B1">
        <w:t xml:space="preserve">, </w:t>
      </w:r>
      <w:proofErr w:type="spellStart"/>
      <w:r w:rsidRPr="002621B1">
        <w:t>klotianidiini</w:t>
      </w:r>
      <w:proofErr w:type="spellEnd"/>
      <w:r w:rsidRPr="002621B1">
        <w:t xml:space="preserve"> ja </w:t>
      </w:r>
      <w:proofErr w:type="spellStart"/>
      <w:r w:rsidRPr="002621B1">
        <w:t>tiametoksaamiga</w:t>
      </w:r>
      <w:proofErr w:type="spellEnd"/>
      <w:r w:rsidRPr="002621B1">
        <w:rPr>
          <w:rStyle w:val="FootnoteReference"/>
        </w:rPr>
        <w:footnoteReference w:id="21"/>
      </w:r>
      <w:r w:rsidRPr="002621B1">
        <w:rPr>
          <w:vertAlign w:val="superscript"/>
        </w:rPr>
        <w:t xml:space="preserve"> </w:t>
      </w:r>
      <w:r w:rsidRPr="002621B1">
        <w:rPr>
          <w:rStyle w:val="FootnoteReference"/>
        </w:rPr>
        <w:footnoteReference w:id="22"/>
      </w:r>
      <w:r w:rsidRPr="002621B1">
        <w:t>;</w:t>
      </w:r>
    </w:p>
    <w:p w:rsidR="00EC1636" w:rsidRPr="002621B1" w:rsidRDefault="00EC1636" w:rsidP="00A856C2">
      <w:pPr>
        <w:pStyle w:val="NormalHanging12a"/>
      </w:pPr>
      <w:r w:rsidRPr="002621B1">
        <w:t>W.</w:t>
      </w:r>
      <w:r w:rsidRPr="002621B1">
        <w:tab/>
        <w:t xml:space="preserve">arvestades, et üha rohkem on tõendeid selle kohta, et </w:t>
      </w:r>
      <w:proofErr w:type="spellStart"/>
      <w:r w:rsidRPr="002621B1">
        <w:t>tiaklopriidi</w:t>
      </w:r>
      <w:proofErr w:type="spellEnd"/>
      <w:r w:rsidRPr="002621B1">
        <w:t xml:space="preserve"> kasutamisel on laastav mõju elurikkusele ning eelkõige mesilastele ja teistele </w:t>
      </w:r>
      <w:proofErr w:type="spellStart"/>
      <w:r w:rsidRPr="002621B1">
        <w:t>tolmeldajatele</w:t>
      </w:r>
      <w:proofErr w:type="spellEnd"/>
      <w:r w:rsidRPr="002621B1">
        <w:rPr>
          <w:rStyle w:val="FootnoteReference"/>
          <w:szCs w:val="24"/>
        </w:rPr>
        <w:footnoteReference w:id="23"/>
      </w:r>
      <w:r w:rsidRPr="002621B1">
        <w:t>;</w:t>
      </w:r>
    </w:p>
    <w:p w:rsidR="00EC1636" w:rsidRPr="002621B1" w:rsidRDefault="00EC1636" w:rsidP="00A856C2">
      <w:pPr>
        <w:pStyle w:val="NormalHanging12a"/>
      </w:pPr>
      <w:r w:rsidRPr="002621B1">
        <w:t>X.</w:t>
      </w:r>
      <w:r w:rsidRPr="002621B1">
        <w:tab/>
        <w:t>arv</w:t>
      </w:r>
      <w:r w:rsidR="00A856C2" w:rsidRPr="002621B1">
        <w:t>estades, et EFSA jõudis oma 22. oktoobri 2019. </w:t>
      </w:r>
      <w:r w:rsidRPr="002621B1">
        <w:t>aasta heakskiidu pikendamata jätmise aruandes</w:t>
      </w:r>
      <w:r w:rsidRPr="002621B1">
        <w:rPr>
          <w:rStyle w:val="FootnoteReference"/>
        </w:rPr>
        <w:footnoteReference w:id="24"/>
      </w:r>
      <w:r w:rsidRPr="002621B1">
        <w:t xml:space="preserve"> järeldusele, et „saadaolev teave ei ole p</w:t>
      </w:r>
      <w:r w:rsidR="00A856C2" w:rsidRPr="002621B1">
        <w:t>iisav, et täita määruse (EÜ) nr 1107/2009 artikli 4 lõigetes </w:t>
      </w:r>
      <w:r w:rsidRPr="002621B1">
        <w:t>1–3 sätestatud nõudeid“, ning eelkõige, et „mesilasi puudutavat riskihindamist ei olnud võimalik lõpule viia“;</w:t>
      </w:r>
    </w:p>
    <w:p w:rsidR="00EC1636" w:rsidRPr="002621B1" w:rsidRDefault="00EC1636" w:rsidP="00A856C2">
      <w:pPr>
        <w:pStyle w:val="NormalHanging12a"/>
      </w:pPr>
      <w:r w:rsidRPr="002621B1">
        <w:t>Y.</w:t>
      </w:r>
      <w:r w:rsidRPr="002621B1">
        <w:tab/>
        <w:t xml:space="preserve">arvestades, et </w:t>
      </w:r>
      <w:proofErr w:type="spellStart"/>
      <w:r w:rsidRPr="002621B1">
        <w:t>tiaklopriidi</w:t>
      </w:r>
      <w:proofErr w:type="spellEnd"/>
      <w:r w:rsidRPr="002621B1">
        <w:t xml:space="preserve"> suhtes tuleks seetõttu kohaldada samu põhjendusi ja norme, mida kohaldati </w:t>
      </w:r>
      <w:proofErr w:type="spellStart"/>
      <w:r w:rsidRPr="002621B1">
        <w:t>klotianidiini</w:t>
      </w:r>
      <w:proofErr w:type="spellEnd"/>
      <w:r w:rsidRPr="002621B1">
        <w:t xml:space="preserve"> ja </w:t>
      </w:r>
      <w:proofErr w:type="spellStart"/>
      <w:r w:rsidRPr="002621B1">
        <w:t>tiametoksaami</w:t>
      </w:r>
      <w:proofErr w:type="spellEnd"/>
      <w:r w:rsidRPr="002621B1">
        <w:t xml:space="preserve"> suhtes;</w:t>
      </w:r>
    </w:p>
    <w:p w:rsidR="00EC1636" w:rsidRPr="002621B1" w:rsidRDefault="00EC1636" w:rsidP="00A856C2">
      <w:pPr>
        <w:pStyle w:val="NormalHanging12a"/>
      </w:pPr>
      <w:r w:rsidRPr="002621B1">
        <w:t>Z.</w:t>
      </w:r>
      <w:r w:rsidRPr="002621B1">
        <w:tab/>
        <w:t xml:space="preserve">arvestades, et komisjon peab kättesaadava teadusliku teabe alusel kaitsma keskkonda ja </w:t>
      </w:r>
      <w:r w:rsidRPr="002621B1">
        <w:lastRenderedPageBreak/>
        <w:t>liidu kodanikke, kasutades kohustusi ja õiguslikke võimalusi, mis on sätestatud määrustes (EÜ) nr 396/2005 ja (EÜ) nr 178/2002, et tagada inimeste ja loomade tervise ning keskkonna kaitse kõrge tase;</w:t>
      </w:r>
    </w:p>
    <w:p w:rsidR="00EC1636" w:rsidRPr="002621B1" w:rsidRDefault="00EC1636" w:rsidP="00A856C2">
      <w:pPr>
        <w:pStyle w:val="NormalHanging12a"/>
      </w:pPr>
      <w:r w:rsidRPr="002621B1">
        <w:t>AA.</w:t>
      </w:r>
      <w:r w:rsidRPr="002621B1">
        <w:tab/>
        <w:t xml:space="preserve">arvestades, et kavandatavad jääkide piirnormid ei kaitse liidu kodanike tervist ega taga mesilaste ja muude </w:t>
      </w:r>
      <w:proofErr w:type="spellStart"/>
      <w:r w:rsidRPr="002621B1">
        <w:t>tolmeldajate</w:t>
      </w:r>
      <w:proofErr w:type="spellEnd"/>
      <w:r w:rsidRPr="002621B1">
        <w:t xml:space="preserve"> kõrgetasemelist kaitset ning on seega vastuolus määrustega (EÜ) nr 396/2005 ja (EÜ) nr 178/2002;</w:t>
      </w:r>
    </w:p>
    <w:p w:rsidR="00EC1636" w:rsidRPr="002621B1" w:rsidRDefault="00EC1636" w:rsidP="00A856C2">
      <w:pPr>
        <w:pStyle w:val="NormalHanging12a"/>
      </w:pPr>
      <w:r w:rsidRPr="002621B1">
        <w:t>AB.</w:t>
      </w:r>
      <w:r w:rsidRPr="002621B1">
        <w:tab/>
        <w:t xml:space="preserve">arvestades, et jääkide piirnorme ei tohiks kehtestada toimeainetele, mis ei ole tervise kaalutluste tõttu liidus heaks kiidetud; arvestades, et seetõttu ei tohiks </w:t>
      </w:r>
      <w:proofErr w:type="spellStart"/>
      <w:r w:rsidRPr="002621B1">
        <w:t>tiaklopriidi</w:t>
      </w:r>
      <w:proofErr w:type="spellEnd"/>
      <w:r w:rsidRPr="002621B1">
        <w:t xml:space="preserve"> suhtes kohaldada impordile kehtestatavaid jääkide piirnorme, k</w:t>
      </w:r>
      <w:r w:rsidR="00A856C2" w:rsidRPr="002621B1">
        <w:t>una see on klassifitseeritud 1B </w:t>
      </w:r>
      <w:r w:rsidRPr="002621B1">
        <w:t xml:space="preserve">kategooria reproduktiivtoksiliseks aineks; arvestades, et </w:t>
      </w:r>
      <w:proofErr w:type="spellStart"/>
      <w:r w:rsidRPr="002621B1">
        <w:t>tia</w:t>
      </w:r>
      <w:r w:rsidR="00A856C2" w:rsidRPr="002621B1">
        <w:t>klopriidi</w:t>
      </w:r>
      <w:proofErr w:type="spellEnd"/>
      <w:r w:rsidR="00A856C2" w:rsidRPr="002621B1">
        <w:t xml:space="preserve"> klassifitseerimine 1B </w:t>
      </w:r>
      <w:r w:rsidRPr="002621B1">
        <w:t xml:space="preserve">kategooria reproduktiivtoksiliseks aineks oleks pidanud olema komisjonile piisav põhjus, et lükata tagasi impordile kehtestatavate jääkide piirnormide taotlused seoses ohuga kolmandate riikide kodanike tervisele; </w:t>
      </w:r>
    </w:p>
    <w:p w:rsidR="00EC1636" w:rsidRPr="002621B1" w:rsidRDefault="00EC1636" w:rsidP="00A856C2">
      <w:pPr>
        <w:pStyle w:val="NormalHanging12a"/>
      </w:pPr>
      <w:r w:rsidRPr="002621B1">
        <w:t>1.</w:t>
      </w:r>
      <w:r w:rsidRPr="002621B1">
        <w:tab/>
        <w:t>on vastu nõukogu määruse ettepaneku vastuvõtmisele;</w:t>
      </w:r>
    </w:p>
    <w:p w:rsidR="00EC1636" w:rsidRPr="002621B1" w:rsidRDefault="00EC1636" w:rsidP="00A856C2">
      <w:pPr>
        <w:pStyle w:val="NormalHanging12a"/>
      </w:pPr>
      <w:r w:rsidRPr="002621B1">
        <w:t>2.</w:t>
      </w:r>
      <w:r w:rsidRPr="002621B1">
        <w:tab/>
        <w:t>on seisukohal, et nõukogu määruse ette</w:t>
      </w:r>
      <w:r w:rsidR="00A856C2" w:rsidRPr="002621B1">
        <w:t xml:space="preserve">panek ei ole kooskõlas määruste (EÜ) </w:t>
      </w:r>
      <w:r w:rsidRPr="002621B1">
        <w:t>nr 396/2005 ja (EÜ) nr 178/2002 eesmärgi ega sisuga, samuti määrusega (EÜ) nr</w:t>
      </w:r>
      <w:r w:rsidR="00A856C2" w:rsidRPr="002621B1">
        <w:t> 1107/2009, sealhulgas selle II lisa punktiga </w:t>
      </w:r>
      <w:r w:rsidRPr="002621B1">
        <w:t>3.6.4.;</w:t>
      </w:r>
    </w:p>
    <w:p w:rsidR="00EC1636" w:rsidRPr="002621B1" w:rsidRDefault="00EC1636" w:rsidP="00A856C2">
      <w:pPr>
        <w:pStyle w:val="NormalHanging12a"/>
      </w:pPr>
      <w:r w:rsidRPr="002621B1">
        <w:t>3.</w:t>
      </w:r>
      <w:r w:rsidRPr="002621B1">
        <w:tab/>
        <w:t>palub komisjonil määruse ettepaneku tagasi võtta;</w:t>
      </w:r>
    </w:p>
    <w:p w:rsidR="00EC1636" w:rsidRPr="002621B1" w:rsidRDefault="00EC1636" w:rsidP="00A856C2">
      <w:pPr>
        <w:pStyle w:val="NormalHanging12a"/>
      </w:pPr>
      <w:r w:rsidRPr="002621B1">
        <w:t>4.</w:t>
      </w:r>
      <w:r w:rsidRPr="002621B1">
        <w:tab/>
        <w:t xml:space="preserve">kutsub komisjoni üles esitama parlamendikomisjonile uue eelnõu, millega alandatakse kõiki </w:t>
      </w:r>
      <w:proofErr w:type="spellStart"/>
      <w:r w:rsidRPr="002621B1">
        <w:t>tiaklopriidi</w:t>
      </w:r>
      <w:proofErr w:type="spellEnd"/>
      <w:r w:rsidRPr="002621B1">
        <w:t xml:space="preserve"> jääkide piirnorme määramispiirini kõigi kasutusviiside puhul, ning lükkama tagasi kõik impordile kehtestatavate jääkide piirnormide taotlused;</w:t>
      </w:r>
    </w:p>
    <w:p w:rsidR="00EC1636" w:rsidRPr="002621B1" w:rsidRDefault="00EC1636" w:rsidP="00A856C2">
      <w:pPr>
        <w:pStyle w:val="NormalHanging12a"/>
      </w:pPr>
      <w:r w:rsidRPr="002621B1">
        <w:t>5.</w:t>
      </w:r>
      <w:r w:rsidRPr="002621B1">
        <w:tab/>
        <w:t>teeb presidendile ülesandeks edastada käesolev resolutsioon nõukogule ja komisjonile ning liikmesriikide valitsustele ja parlamentidele.</w:t>
      </w:r>
    </w:p>
    <w:p w:rsidR="00EC1636" w:rsidRPr="002621B1" w:rsidRDefault="00EC1636" w:rsidP="00EC1636"/>
    <w:sectPr w:rsidR="00EC1636" w:rsidRPr="002621B1" w:rsidSect="00E13C4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6AA" w:rsidRPr="00E13C4A" w:rsidRDefault="00ED16AA">
      <w:r w:rsidRPr="00E13C4A">
        <w:separator/>
      </w:r>
    </w:p>
  </w:endnote>
  <w:endnote w:type="continuationSeparator" w:id="0">
    <w:p w:rsidR="00ED16AA" w:rsidRPr="00E13C4A" w:rsidRDefault="00ED16AA">
      <w:r w:rsidRPr="00E13C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3C4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3C4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3C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6AA" w:rsidRPr="00E13C4A" w:rsidRDefault="00ED16AA">
      <w:r w:rsidRPr="00E13C4A">
        <w:separator/>
      </w:r>
    </w:p>
  </w:footnote>
  <w:footnote w:type="continuationSeparator" w:id="0">
    <w:p w:rsidR="00ED16AA" w:rsidRPr="00E13C4A" w:rsidRDefault="00ED16AA">
      <w:r w:rsidRPr="00E13C4A">
        <w:continuationSeparator/>
      </w:r>
    </w:p>
  </w:footnote>
  <w:footnote w:id="1">
    <w:p w:rsidR="00EC1636" w:rsidRPr="00E13C4A" w:rsidRDefault="00EC1636" w:rsidP="00E13C4A">
      <w:pPr>
        <w:pStyle w:val="FootnoteText"/>
        <w:ind w:left="567" w:hanging="567"/>
        <w:rPr>
          <w:sz w:val="24"/>
          <w:szCs w:val="22"/>
          <w:lang w:val="et-EE"/>
        </w:rPr>
      </w:pPr>
      <w:r w:rsidRPr="00E13C4A">
        <w:rPr>
          <w:rStyle w:val="FootnoteReference"/>
          <w:sz w:val="24"/>
          <w:szCs w:val="22"/>
          <w:lang w:val="et-EE"/>
        </w:rPr>
        <w:footnoteRef/>
      </w:r>
      <w:r w:rsidR="00E13C4A" w:rsidRPr="00E13C4A">
        <w:rPr>
          <w:sz w:val="24"/>
          <w:lang w:val="et-EE"/>
        </w:rPr>
        <w:t xml:space="preserve"> </w:t>
      </w:r>
      <w:r w:rsidR="00E13C4A" w:rsidRPr="00E13C4A">
        <w:rPr>
          <w:sz w:val="24"/>
          <w:lang w:val="et-EE"/>
        </w:rPr>
        <w:tab/>
      </w:r>
      <w:r w:rsidR="00A856C2">
        <w:rPr>
          <w:sz w:val="24"/>
          <w:lang w:val="et-EE"/>
        </w:rPr>
        <w:t>ELT L </w:t>
      </w:r>
      <w:r w:rsidRPr="00E13C4A">
        <w:rPr>
          <w:sz w:val="24"/>
          <w:lang w:val="et-EE"/>
        </w:rPr>
        <w:t>70, 16.3.2005, lk 1.</w:t>
      </w:r>
    </w:p>
  </w:footnote>
  <w:footnote w:id="2">
    <w:p w:rsidR="00EC1636" w:rsidRPr="00E13C4A" w:rsidRDefault="00EC1636" w:rsidP="00E13C4A">
      <w:pPr>
        <w:pStyle w:val="FootnoteText"/>
        <w:ind w:left="567" w:hanging="567"/>
        <w:rPr>
          <w:sz w:val="24"/>
          <w:szCs w:val="22"/>
          <w:lang w:val="et-EE"/>
        </w:rPr>
      </w:pPr>
      <w:r w:rsidRPr="00E13C4A">
        <w:rPr>
          <w:rStyle w:val="FootnoteReference"/>
          <w:sz w:val="24"/>
          <w:szCs w:val="22"/>
          <w:lang w:val="et-EE"/>
        </w:rPr>
        <w:footnoteRef/>
      </w:r>
      <w:r w:rsidR="00E13C4A" w:rsidRPr="00E13C4A">
        <w:rPr>
          <w:sz w:val="24"/>
          <w:lang w:val="et-EE"/>
        </w:rPr>
        <w:t xml:space="preserve"> </w:t>
      </w:r>
      <w:r w:rsidR="00E13C4A" w:rsidRPr="00E13C4A">
        <w:rPr>
          <w:sz w:val="24"/>
          <w:lang w:val="et-EE"/>
        </w:rPr>
        <w:tab/>
      </w:r>
      <w:r w:rsidRPr="00E13C4A">
        <w:rPr>
          <w:sz w:val="24"/>
          <w:lang w:val="et-EE"/>
        </w:rPr>
        <w:t>ELT L 309, 24.11.2009, lk 1.</w:t>
      </w:r>
    </w:p>
  </w:footnote>
  <w:footnote w:id="3">
    <w:p w:rsidR="00EC1636" w:rsidRPr="00E13C4A" w:rsidRDefault="00EC1636" w:rsidP="00E13C4A">
      <w:pPr>
        <w:pStyle w:val="FootnoteText"/>
        <w:ind w:left="567" w:hanging="567"/>
        <w:rPr>
          <w:sz w:val="24"/>
          <w:szCs w:val="22"/>
          <w:lang w:val="et-EE"/>
        </w:rPr>
      </w:pPr>
      <w:r w:rsidRPr="00E13C4A">
        <w:rPr>
          <w:rStyle w:val="FootnoteReference"/>
          <w:sz w:val="24"/>
          <w:szCs w:val="22"/>
          <w:lang w:val="et-EE"/>
        </w:rPr>
        <w:footnoteRef/>
      </w:r>
      <w:r w:rsidR="00E13C4A" w:rsidRPr="00E13C4A">
        <w:rPr>
          <w:sz w:val="24"/>
          <w:lang w:val="et-EE"/>
        </w:rPr>
        <w:t xml:space="preserve"> </w:t>
      </w:r>
      <w:r w:rsidR="00E13C4A" w:rsidRPr="00E13C4A">
        <w:rPr>
          <w:sz w:val="24"/>
          <w:lang w:val="et-EE"/>
        </w:rPr>
        <w:tab/>
      </w:r>
      <w:r w:rsidR="00A856C2">
        <w:rPr>
          <w:sz w:val="24"/>
          <w:lang w:val="et-EE"/>
        </w:rPr>
        <w:t>EÜT L </w:t>
      </w:r>
      <w:r w:rsidRPr="00E13C4A">
        <w:rPr>
          <w:sz w:val="24"/>
          <w:lang w:val="et-EE"/>
        </w:rPr>
        <w:t>31, 1.2.2002, lk 1.</w:t>
      </w:r>
    </w:p>
  </w:footnote>
  <w:footnote w:id="4">
    <w:p w:rsidR="00EC1636" w:rsidRPr="00E13C4A" w:rsidRDefault="00EC1636" w:rsidP="00E13C4A">
      <w:pPr>
        <w:pStyle w:val="FootnoteText"/>
        <w:ind w:left="567" w:hanging="567"/>
        <w:rPr>
          <w:sz w:val="24"/>
          <w:szCs w:val="22"/>
          <w:lang w:val="et-EE"/>
        </w:rPr>
      </w:pPr>
      <w:r w:rsidRPr="00E13C4A">
        <w:rPr>
          <w:rStyle w:val="FootnoteReference"/>
          <w:sz w:val="24"/>
          <w:szCs w:val="22"/>
          <w:lang w:val="et-EE"/>
        </w:rPr>
        <w:footnoteRef/>
      </w:r>
      <w:r w:rsidR="00E13C4A" w:rsidRPr="00E13C4A">
        <w:rPr>
          <w:sz w:val="24"/>
          <w:lang w:val="et-EE"/>
        </w:rPr>
        <w:t xml:space="preserve"> </w:t>
      </w:r>
      <w:r w:rsidR="00E13C4A" w:rsidRPr="00E13C4A">
        <w:rPr>
          <w:sz w:val="24"/>
          <w:lang w:val="et-EE"/>
        </w:rPr>
        <w:tab/>
      </w:r>
      <w:r w:rsidRPr="00E13C4A">
        <w:rPr>
          <w:sz w:val="24"/>
          <w:lang w:val="et-EE"/>
        </w:rPr>
        <w:t xml:space="preserve">„EFSA </w:t>
      </w:r>
      <w:proofErr w:type="spellStart"/>
      <w:r w:rsidRPr="00E13C4A">
        <w:rPr>
          <w:sz w:val="24"/>
          <w:lang w:val="et-EE"/>
        </w:rPr>
        <w:t>statement</w:t>
      </w:r>
      <w:proofErr w:type="spellEnd"/>
      <w:r w:rsidRPr="00E13C4A">
        <w:rPr>
          <w:sz w:val="24"/>
          <w:lang w:val="et-EE"/>
        </w:rPr>
        <w:t xml:space="preserve"> on </w:t>
      </w:r>
      <w:proofErr w:type="spellStart"/>
      <w:r w:rsidRPr="00E13C4A">
        <w:rPr>
          <w:sz w:val="24"/>
          <w:lang w:val="et-EE"/>
        </w:rPr>
        <w:t>the</w:t>
      </w:r>
      <w:proofErr w:type="spellEnd"/>
      <w:r w:rsidRPr="00E13C4A">
        <w:rPr>
          <w:sz w:val="24"/>
          <w:lang w:val="et-EE"/>
        </w:rPr>
        <w:t xml:space="preserve"> </w:t>
      </w:r>
      <w:proofErr w:type="spellStart"/>
      <w:r w:rsidRPr="00E13C4A">
        <w:rPr>
          <w:sz w:val="24"/>
          <w:lang w:val="et-EE"/>
        </w:rPr>
        <w:t>short</w:t>
      </w:r>
      <w:proofErr w:type="spellEnd"/>
      <w:r w:rsidRPr="00E13C4A">
        <w:rPr>
          <w:sz w:val="24"/>
          <w:lang w:val="et-EE"/>
        </w:rPr>
        <w:t>-term (</w:t>
      </w:r>
      <w:proofErr w:type="spellStart"/>
      <w:r w:rsidRPr="00E13C4A">
        <w:rPr>
          <w:sz w:val="24"/>
          <w:lang w:val="et-EE"/>
        </w:rPr>
        <w:t>acute</w:t>
      </w:r>
      <w:proofErr w:type="spellEnd"/>
      <w:r w:rsidRPr="00E13C4A">
        <w:rPr>
          <w:sz w:val="24"/>
          <w:lang w:val="et-EE"/>
        </w:rPr>
        <w:t xml:space="preserve">) </w:t>
      </w:r>
      <w:proofErr w:type="spellStart"/>
      <w:r w:rsidRPr="00E13C4A">
        <w:rPr>
          <w:sz w:val="24"/>
          <w:lang w:val="et-EE"/>
        </w:rPr>
        <w:t>dietary</w:t>
      </w:r>
      <w:proofErr w:type="spellEnd"/>
      <w:r w:rsidRPr="00E13C4A">
        <w:rPr>
          <w:sz w:val="24"/>
          <w:lang w:val="et-EE"/>
        </w:rPr>
        <w:t xml:space="preserve"> risk </w:t>
      </w:r>
      <w:proofErr w:type="spellStart"/>
      <w:r w:rsidRPr="00E13C4A">
        <w:rPr>
          <w:sz w:val="24"/>
          <w:lang w:val="et-EE"/>
        </w:rPr>
        <w:t>assessment</w:t>
      </w:r>
      <w:proofErr w:type="spellEnd"/>
      <w:r w:rsidRPr="00E13C4A">
        <w:rPr>
          <w:sz w:val="24"/>
          <w:lang w:val="et-EE"/>
        </w:rPr>
        <w:t xml:space="preserve"> and </w:t>
      </w:r>
      <w:proofErr w:type="spellStart"/>
      <w:r w:rsidRPr="00E13C4A">
        <w:rPr>
          <w:sz w:val="24"/>
          <w:lang w:val="et-EE"/>
        </w:rPr>
        <w:t>evaluation</w:t>
      </w:r>
      <w:proofErr w:type="spellEnd"/>
      <w:r w:rsidRPr="00E13C4A">
        <w:rPr>
          <w:sz w:val="24"/>
          <w:lang w:val="et-EE"/>
        </w:rPr>
        <w:t xml:space="preserve"> of </w:t>
      </w:r>
      <w:proofErr w:type="spellStart"/>
      <w:r w:rsidRPr="00E13C4A">
        <w:rPr>
          <w:sz w:val="24"/>
          <w:lang w:val="et-EE"/>
        </w:rPr>
        <w:t>confirmatory</w:t>
      </w:r>
      <w:proofErr w:type="spellEnd"/>
      <w:r w:rsidRPr="00E13C4A">
        <w:rPr>
          <w:sz w:val="24"/>
          <w:lang w:val="et-EE"/>
        </w:rPr>
        <w:t xml:space="preserve"> </w:t>
      </w:r>
      <w:proofErr w:type="spellStart"/>
      <w:r w:rsidRPr="00E13C4A">
        <w:rPr>
          <w:sz w:val="24"/>
          <w:lang w:val="et-EE"/>
        </w:rPr>
        <w:t>data</w:t>
      </w:r>
      <w:proofErr w:type="spellEnd"/>
      <w:r w:rsidRPr="00E13C4A">
        <w:rPr>
          <w:sz w:val="24"/>
          <w:lang w:val="et-EE"/>
        </w:rPr>
        <w:t xml:space="preserve"> </w:t>
      </w:r>
      <w:proofErr w:type="spellStart"/>
      <w:r w:rsidRPr="00E13C4A">
        <w:rPr>
          <w:sz w:val="24"/>
          <w:lang w:val="et-EE"/>
        </w:rPr>
        <w:t>for</w:t>
      </w:r>
      <w:proofErr w:type="spellEnd"/>
      <w:r w:rsidRPr="00E13C4A">
        <w:rPr>
          <w:sz w:val="24"/>
          <w:lang w:val="et-EE"/>
        </w:rPr>
        <w:t xml:space="preserve"> </w:t>
      </w:r>
      <w:proofErr w:type="spellStart"/>
      <w:r w:rsidRPr="00E13C4A">
        <w:rPr>
          <w:sz w:val="24"/>
          <w:lang w:val="et-EE"/>
        </w:rPr>
        <w:t>certain</w:t>
      </w:r>
      <w:proofErr w:type="spellEnd"/>
      <w:r w:rsidRPr="00E13C4A">
        <w:rPr>
          <w:sz w:val="24"/>
          <w:lang w:val="et-EE"/>
        </w:rPr>
        <w:t xml:space="preserve"> </w:t>
      </w:r>
      <w:proofErr w:type="spellStart"/>
      <w:r w:rsidRPr="00E13C4A">
        <w:rPr>
          <w:sz w:val="24"/>
          <w:lang w:val="et-EE"/>
        </w:rPr>
        <w:t>maximum</w:t>
      </w:r>
      <w:proofErr w:type="spellEnd"/>
      <w:r w:rsidRPr="00E13C4A">
        <w:rPr>
          <w:sz w:val="24"/>
          <w:lang w:val="et-EE"/>
        </w:rPr>
        <w:t xml:space="preserve"> </w:t>
      </w:r>
      <w:proofErr w:type="spellStart"/>
      <w:r w:rsidRPr="00E13C4A">
        <w:rPr>
          <w:sz w:val="24"/>
          <w:lang w:val="et-EE"/>
        </w:rPr>
        <w:t>residue</w:t>
      </w:r>
      <w:proofErr w:type="spellEnd"/>
      <w:r w:rsidRPr="00E13C4A">
        <w:rPr>
          <w:sz w:val="24"/>
          <w:lang w:val="et-EE"/>
        </w:rPr>
        <w:t xml:space="preserve"> </w:t>
      </w:r>
      <w:proofErr w:type="spellStart"/>
      <w:r w:rsidRPr="00E13C4A">
        <w:rPr>
          <w:sz w:val="24"/>
          <w:lang w:val="et-EE"/>
        </w:rPr>
        <w:t>levels</w:t>
      </w:r>
      <w:proofErr w:type="spellEnd"/>
      <w:r w:rsidRPr="00E13C4A">
        <w:rPr>
          <w:sz w:val="24"/>
          <w:lang w:val="et-EE"/>
        </w:rPr>
        <w:t xml:space="preserve"> (</w:t>
      </w:r>
      <w:proofErr w:type="spellStart"/>
      <w:r w:rsidRPr="00E13C4A">
        <w:rPr>
          <w:sz w:val="24"/>
          <w:lang w:val="et-EE"/>
        </w:rPr>
        <w:t>MRLs</w:t>
      </w:r>
      <w:proofErr w:type="spellEnd"/>
      <w:r w:rsidRPr="00E13C4A">
        <w:rPr>
          <w:sz w:val="24"/>
          <w:lang w:val="et-EE"/>
        </w:rPr>
        <w:t xml:space="preserve">) </w:t>
      </w:r>
      <w:proofErr w:type="spellStart"/>
      <w:r w:rsidRPr="00E13C4A">
        <w:rPr>
          <w:sz w:val="24"/>
          <w:lang w:val="et-EE"/>
        </w:rPr>
        <w:t>for</w:t>
      </w:r>
      <w:proofErr w:type="spellEnd"/>
      <w:r w:rsidRPr="00E13C4A">
        <w:rPr>
          <w:sz w:val="24"/>
          <w:lang w:val="et-EE"/>
        </w:rPr>
        <w:t xml:space="preserve"> </w:t>
      </w:r>
      <w:proofErr w:type="spellStart"/>
      <w:r w:rsidRPr="00E13C4A">
        <w:rPr>
          <w:sz w:val="24"/>
          <w:lang w:val="et-EE"/>
        </w:rPr>
        <w:t>thiacloprid</w:t>
      </w:r>
      <w:proofErr w:type="spellEnd"/>
      <w:r w:rsidRPr="00E13C4A">
        <w:rPr>
          <w:sz w:val="24"/>
          <w:lang w:val="et-EE"/>
        </w:rPr>
        <w:t xml:space="preserve">“ (EFSA seisukoht lühiajalise (akuutse) toidukaudse kokkupuute riskihindamise ja kinnitavate andmete hindamise kohta </w:t>
      </w:r>
      <w:proofErr w:type="spellStart"/>
      <w:r w:rsidRPr="00E13C4A">
        <w:rPr>
          <w:sz w:val="24"/>
          <w:lang w:val="et-EE"/>
        </w:rPr>
        <w:t>tiaklopriidi</w:t>
      </w:r>
      <w:proofErr w:type="spellEnd"/>
      <w:r w:rsidRPr="00E13C4A">
        <w:rPr>
          <w:sz w:val="24"/>
          <w:lang w:val="et-EE"/>
        </w:rPr>
        <w:t xml:space="preserve"> jääkide piirnormide puhul), EFSA </w:t>
      </w:r>
      <w:proofErr w:type="spellStart"/>
      <w:r w:rsidRPr="00E13C4A">
        <w:rPr>
          <w:sz w:val="24"/>
          <w:lang w:val="et-EE"/>
        </w:rPr>
        <w:t>Journal</w:t>
      </w:r>
      <w:proofErr w:type="spellEnd"/>
      <w:r w:rsidRPr="00E13C4A">
        <w:rPr>
          <w:sz w:val="24"/>
          <w:lang w:val="et-EE"/>
        </w:rPr>
        <w:t xml:space="preserve"> 2023;21(3):7888, </w:t>
      </w:r>
      <w:hyperlink r:id="rId1" w:history="1">
        <w:r w:rsidRPr="00E13C4A">
          <w:rPr>
            <w:rStyle w:val="Hyperlink"/>
            <w:sz w:val="24"/>
            <w:lang w:val="et-EE"/>
          </w:rPr>
          <w:t>https://doi.org/10.2903/j.efsa.2023.7888</w:t>
        </w:r>
      </w:hyperlink>
      <w:r w:rsidRPr="00E13C4A">
        <w:rPr>
          <w:sz w:val="24"/>
          <w:lang w:val="et-EE"/>
        </w:rPr>
        <w:t>.</w:t>
      </w:r>
    </w:p>
  </w:footnote>
  <w:footnote w:id="5">
    <w:p w:rsidR="00EC1636" w:rsidRPr="00E13C4A" w:rsidRDefault="00EC1636" w:rsidP="00E13C4A">
      <w:pPr>
        <w:pStyle w:val="FootnoteText"/>
        <w:ind w:left="567" w:hanging="567"/>
        <w:rPr>
          <w:sz w:val="24"/>
          <w:szCs w:val="22"/>
          <w:lang w:val="et-EE"/>
        </w:rPr>
      </w:pPr>
      <w:r w:rsidRPr="00E13C4A">
        <w:rPr>
          <w:rStyle w:val="FootnoteReference"/>
          <w:sz w:val="24"/>
          <w:szCs w:val="22"/>
          <w:lang w:val="et-EE"/>
        </w:rPr>
        <w:footnoteRef/>
      </w:r>
      <w:r w:rsidR="00E13C4A" w:rsidRPr="00E13C4A">
        <w:rPr>
          <w:sz w:val="24"/>
          <w:lang w:val="et-EE"/>
        </w:rPr>
        <w:t xml:space="preserve"> </w:t>
      </w:r>
      <w:r w:rsidR="00E13C4A" w:rsidRPr="00E13C4A">
        <w:rPr>
          <w:sz w:val="24"/>
          <w:lang w:val="et-EE"/>
        </w:rPr>
        <w:tab/>
      </w:r>
      <w:r w:rsidRPr="00E13C4A">
        <w:rPr>
          <w:sz w:val="24"/>
          <w:lang w:val="et-EE"/>
        </w:rPr>
        <w:t xml:space="preserve">„EFSA </w:t>
      </w:r>
      <w:proofErr w:type="spellStart"/>
      <w:r w:rsidRPr="00E13C4A">
        <w:rPr>
          <w:sz w:val="24"/>
          <w:lang w:val="et-EE"/>
        </w:rPr>
        <w:t>conclusion</w:t>
      </w:r>
      <w:proofErr w:type="spellEnd"/>
      <w:r w:rsidRPr="00E13C4A">
        <w:rPr>
          <w:sz w:val="24"/>
          <w:lang w:val="et-EE"/>
        </w:rPr>
        <w:t xml:space="preserve"> on </w:t>
      </w:r>
      <w:proofErr w:type="spellStart"/>
      <w:r w:rsidRPr="00E13C4A">
        <w:rPr>
          <w:sz w:val="24"/>
          <w:lang w:val="et-EE"/>
        </w:rPr>
        <w:t>the</w:t>
      </w:r>
      <w:proofErr w:type="spellEnd"/>
      <w:r w:rsidRPr="00E13C4A">
        <w:rPr>
          <w:sz w:val="24"/>
          <w:lang w:val="et-EE"/>
        </w:rPr>
        <w:t xml:space="preserve"> peer </w:t>
      </w:r>
      <w:proofErr w:type="spellStart"/>
      <w:r w:rsidRPr="00E13C4A">
        <w:rPr>
          <w:sz w:val="24"/>
          <w:lang w:val="et-EE"/>
        </w:rPr>
        <w:t>review</w:t>
      </w:r>
      <w:proofErr w:type="spellEnd"/>
      <w:r w:rsidRPr="00E13C4A">
        <w:rPr>
          <w:sz w:val="24"/>
          <w:lang w:val="et-EE"/>
        </w:rPr>
        <w:t xml:space="preserve"> of </w:t>
      </w:r>
      <w:proofErr w:type="spellStart"/>
      <w:r w:rsidRPr="00E13C4A">
        <w:rPr>
          <w:sz w:val="24"/>
          <w:lang w:val="et-EE"/>
        </w:rPr>
        <w:t>the</w:t>
      </w:r>
      <w:proofErr w:type="spellEnd"/>
      <w:r w:rsidRPr="00E13C4A">
        <w:rPr>
          <w:sz w:val="24"/>
          <w:lang w:val="et-EE"/>
        </w:rPr>
        <w:t xml:space="preserve"> </w:t>
      </w:r>
      <w:proofErr w:type="spellStart"/>
      <w:r w:rsidRPr="00E13C4A">
        <w:rPr>
          <w:sz w:val="24"/>
          <w:lang w:val="et-EE"/>
        </w:rPr>
        <w:t>pesticide</w:t>
      </w:r>
      <w:proofErr w:type="spellEnd"/>
      <w:r w:rsidRPr="00E13C4A">
        <w:rPr>
          <w:sz w:val="24"/>
          <w:lang w:val="et-EE"/>
        </w:rPr>
        <w:t xml:space="preserve"> risk </w:t>
      </w:r>
      <w:proofErr w:type="spellStart"/>
      <w:r w:rsidRPr="00E13C4A">
        <w:rPr>
          <w:sz w:val="24"/>
          <w:lang w:val="et-EE"/>
        </w:rPr>
        <w:t>assessment</w:t>
      </w:r>
      <w:proofErr w:type="spellEnd"/>
      <w:r w:rsidRPr="00E13C4A">
        <w:rPr>
          <w:sz w:val="24"/>
          <w:lang w:val="et-EE"/>
        </w:rPr>
        <w:t xml:space="preserve"> of </w:t>
      </w:r>
      <w:proofErr w:type="spellStart"/>
      <w:r w:rsidRPr="00E13C4A">
        <w:rPr>
          <w:sz w:val="24"/>
          <w:lang w:val="et-EE"/>
        </w:rPr>
        <w:t>the</w:t>
      </w:r>
      <w:proofErr w:type="spellEnd"/>
      <w:r w:rsidRPr="00E13C4A">
        <w:rPr>
          <w:sz w:val="24"/>
          <w:lang w:val="et-EE"/>
        </w:rPr>
        <w:t xml:space="preserve"> </w:t>
      </w:r>
      <w:proofErr w:type="spellStart"/>
      <w:r w:rsidRPr="00E13C4A">
        <w:rPr>
          <w:sz w:val="24"/>
          <w:lang w:val="et-EE"/>
        </w:rPr>
        <w:t>active</w:t>
      </w:r>
      <w:proofErr w:type="spellEnd"/>
      <w:r w:rsidRPr="00E13C4A">
        <w:rPr>
          <w:sz w:val="24"/>
          <w:lang w:val="et-EE"/>
        </w:rPr>
        <w:t xml:space="preserve"> </w:t>
      </w:r>
      <w:proofErr w:type="spellStart"/>
      <w:r w:rsidRPr="00E13C4A">
        <w:rPr>
          <w:sz w:val="24"/>
          <w:lang w:val="et-EE"/>
        </w:rPr>
        <w:t>substance</w:t>
      </w:r>
      <w:proofErr w:type="spellEnd"/>
      <w:r w:rsidRPr="00E13C4A">
        <w:rPr>
          <w:sz w:val="24"/>
          <w:lang w:val="et-EE"/>
        </w:rPr>
        <w:t xml:space="preserve"> </w:t>
      </w:r>
      <w:proofErr w:type="spellStart"/>
      <w:r w:rsidRPr="00E13C4A">
        <w:rPr>
          <w:sz w:val="24"/>
          <w:lang w:val="et-EE"/>
        </w:rPr>
        <w:t>thiacloprid</w:t>
      </w:r>
      <w:proofErr w:type="spellEnd"/>
      <w:r w:rsidRPr="00E13C4A">
        <w:rPr>
          <w:sz w:val="24"/>
          <w:lang w:val="et-EE"/>
        </w:rPr>
        <w:t xml:space="preserve">“ (Järeldused toimeaine </w:t>
      </w:r>
      <w:proofErr w:type="spellStart"/>
      <w:r w:rsidRPr="00E13C4A">
        <w:rPr>
          <w:sz w:val="24"/>
          <w:lang w:val="et-EE"/>
        </w:rPr>
        <w:t>tiaklopriidi</w:t>
      </w:r>
      <w:proofErr w:type="spellEnd"/>
      <w:r w:rsidRPr="00E13C4A">
        <w:rPr>
          <w:sz w:val="24"/>
          <w:lang w:val="et-EE"/>
        </w:rPr>
        <w:t xml:space="preserve"> pestitsiidina kasutamise riskihindamist käsitleva vastastikuse eksperdiarvamuse kohta), EFSA </w:t>
      </w:r>
      <w:proofErr w:type="spellStart"/>
      <w:r w:rsidRPr="00E13C4A">
        <w:rPr>
          <w:sz w:val="24"/>
          <w:lang w:val="et-EE"/>
        </w:rPr>
        <w:t>Journal</w:t>
      </w:r>
      <w:proofErr w:type="spellEnd"/>
      <w:r w:rsidRPr="00E13C4A">
        <w:rPr>
          <w:sz w:val="24"/>
          <w:lang w:val="et-EE"/>
        </w:rPr>
        <w:t xml:space="preserve"> 2019;17(3):5595, </w:t>
      </w:r>
      <w:hyperlink r:id="rId2" w:history="1">
        <w:r w:rsidRPr="00E13C4A">
          <w:rPr>
            <w:rStyle w:val="Hyperlink"/>
            <w:sz w:val="24"/>
            <w:lang w:val="et-EE"/>
          </w:rPr>
          <w:t>https://doi.org/10.2903/j.efsa.2019.5595</w:t>
        </w:r>
      </w:hyperlink>
      <w:r w:rsidRPr="00E13C4A">
        <w:rPr>
          <w:sz w:val="24"/>
          <w:lang w:val="et-EE"/>
        </w:rPr>
        <w:t>.</w:t>
      </w:r>
    </w:p>
  </w:footnote>
  <w:footnote w:id="6">
    <w:p w:rsidR="00EC1636" w:rsidRPr="00E13C4A" w:rsidRDefault="00EC1636" w:rsidP="00E13C4A">
      <w:pPr>
        <w:pStyle w:val="FootnoteText"/>
        <w:ind w:left="567" w:hanging="567"/>
        <w:rPr>
          <w:sz w:val="24"/>
          <w:szCs w:val="22"/>
          <w:lang w:val="et-EE"/>
        </w:rPr>
      </w:pPr>
      <w:r w:rsidRPr="00E13C4A">
        <w:rPr>
          <w:rStyle w:val="FootnoteReference"/>
          <w:sz w:val="24"/>
          <w:szCs w:val="22"/>
          <w:lang w:val="et-EE"/>
        </w:rPr>
        <w:footnoteRef/>
      </w:r>
      <w:r w:rsidR="00E13C4A" w:rsidRPr="00E13C4A">
        <w:rPr>
          <w:sz w:val="24"/>
          <w:lang w:val="et-EE"/>
        </w:rPr>
        <w:t xml:space="preserve"> </w:t>
      </w:r>
      <w:r w:rsidR="00E13C4A" w:rsidRPr="00E13C4A">
        <w:rPr>
          <w:sz w:val="24"/>
          <w:lang w:val="et-EE"/>
        </w:rPr>
        <w:tab/>
      </w:r>
      <w:r w:rsidRPr="00E13C4A">
        <w:rPr>
          <w:sz w:val="24"/>
          <w:lang w:val="et-EE"/>
        </w:rPr>
        <w:t xml:space="preserve">Riskihindamise komitee arvamus, milles tehakse ettepanek </w:t>
      </w:r>
      <w:proofErr w:type="spellStart"/>
      <w:r w:rsidRPr="00E13C4A">
        <w:rPr>
          <w:sz w:val="24"/>
          <w:lang w:val="et-EE"/>
        </w:rPr>
        <w:t>tiaklopriidi</w:t>
      </w:r>
      <w:proofErr w:type="spellEnd"/>
      <w:r w:rsidRPr="00E13C4A">
        <w:rPr>
          <w:sz w:val="24"/>
          <w:lang w:val="et-EE"/>
        </w:rPr>
        <w:t xml:space="preserve"> (ISO) (</w:t>
      </w:r>
      <w:r w:rsidRPr="002621B1">
        <w:rPr>
          <w:rStyle w:val="HideTWBInt"/>
          <w:rFonts w:ascii="Times New Roman" w:hAnsi="Times New Roman" w:cs="Times New Roman"/>
          <w:color w:val="auto"/>
          <w:sz w:val="24"/>
          <w:lang w:val="et-EE"/>
        </w:rPr>
        <w:t>{(2Z)-3-[(6-kloropüridiin-3-üül)metüül]-1,3-tiasolidiin-2-ülideen}</w:t>
      </w:r>
      <w:r w:rsidRPr="00E13C4A">
        <w:rPr>
          <w:sz w:val="24"/>
          <w:lang w:val="et-EE"/>
        </w:rPr>
        <w:t xml:space="preserve">tsüaanamiid) ühtlustatud klassifikatsiooni ja märgistamise kohta ELi tasandil, </w:t>
      </w:r>
      <w:hyperlink r:id="rId3" w:history="1">
        <w:r w:rsidRPr="00E13C4A">
          <w:rPr>
            <w:rStyle w:val="Hyperlink"/>
            <w:sz w:val="24"/>
            <w:lang w:val="et-EE"/>
          </w:rPr>
          <w:t>https://echa.europa.eu/registry-of-clh-intentions-until-outcome/-/dislist/details/0b0236e180638ff8</w:t>
        </w:r>
      </w:hyperlink>
      <w:r w:rsidRPr="00E13C4A">
        <w:rPr>
          <w:sz w:val="24"/>
          <w:lang w:val="et-EE"/>
        </w:rPr>
        <w:t>.</w:t>
      </w:r>
    </w:p>
  </w:footnote>
  <w:footnote w:id="7">
    <w:p w:rsidR="00EC1636" w:rsidRPr="00E13C4A" w:rsidRDefault="00EC1636" w:rsidP="00E13C4A">
      <w:pPr>
        <w:pStyle w:val="FootnoteText"/>
        <w:ind w:left="567" w:hanging="567"/>
        <w:rPr>
          <w:sz w:val="24"/>
          <w:szCs w:val="22"/>
          <w:lang w:val="et-EE"/>
        </w:rPr>
      </w:pPr>
      <w:r w:rsidRPr="00E13C4A">
        <w:rPr>
          <w:rStyle w:val="FootnoteReference"/>
          <w:sz w:val="24"/>
          <w:szCs w:val="22"/>
          <w:lang w:val="et-EE"/>
        </w:rPr>
        <w:footnoteRef/>
      </w:r>
      <w:r w:rsidR="00E13C4A" w:rsidRPr="00E13C4A">
        <w:rPr>
          <w:sz w:val="24"/>
          <w:lang w:val="et-EE"/>
        </w:rPr>
        <w:t xml:space="preserve"> </w:t>
      </w:r>
      <w:r w:rsidR="00E13C4A" w:rsidRPr="00E13C4A">
        <w:rPr>
          <w:sz w:val="24"/>
          <w:lang w:val="et-EE"/>
        </w:rPr>
        <w:tab/>
      </w:r>
      <w:r w:rsidRPr="00E13C4A">
        <w:rPr>
          <w:sz w:val="24"/>
          <w:lang w:val="et-EE"/>
        </w:rPr>
        <w:t>EÜT L 184, 17.7.1999, lk 23.</w:t>
      </w:r>
    </w:p>
  </w:footnote>
  <w:footnote w:id="8">
    <w:p w:rsidR="00EC1636" w:rsidRPr="00E13C4A" w:rsidRDefault="00EC1636" w:rsidP="00E13C4A">
      <w:pPr>
        <w:pStyle w:val="FootnoteText"/>
        <w:ind w:left="567" w:hanging="567"/>
        <w:rPr>
          <w:sz w:val="24"/>
          <w:szCs w:val="22"/>
          <w:lang w:val="et-EE"/>
        </w:rPr>
      </w:pPr>
      <w:r w:rsidRPr="00E13C4A">
        <w:rPr>
          <w:rStyle w:val="FootnoteReference"/>
          <w:sz w:val="24"/>
          <w:szCs w:val="22"/>
          <w:lang w:val="et-EE"/>
        </w:rPr>
        <w:footnoteRef/>
      </w:r>
      <w:r w:rsidR="00E13C4A" w:rsidRPr="00E13C4A">
        <w:rPr>
          <w:sz w:val="24"/>
          <w:lang w:val="et-EE"/>
        </w:rPr>
        <w:t xml:space="preserve"> </w:t>
      </w:r>
      <w:r w:rsidR="00E13C4A" w:rsidRPr="00E13C4A">
        <w:rPr>
          <w:sz w:val="24"/>
          <w:lang w:val="et-EE"/>
        </w:rPr>
        <w:tab/>
      </w:r>
      <w:r w:rsidRPr="00E13C4A">
        <w:rPr>
          <w:sz w:val="24"/>
          <w:lang w:val="et-EE"/>
        </w:rPr>
        <w:t xml:space="preserve">Komisjoni 13. jaanuari </w:t>
      </w:r>
      <w:r w:rsidR="00A856C2">
        <w:rPr>
          <w:sz w:val="24"/>
          <w:lang w:val="et-EE"/>
        </w:rPr>
        <w:t>2020. aasta rakendusmäärus (EL) </w:t>
      </w:r>
      <w:r w:rsidRPr="00E13C4A">
        <w:rPr>
          <w:sz w:val="24"/>
          <w:lang w:val="et-EE"/>
        </w:rPr>
        <w:t xml:space="preserve">2020/23, milles käsitletakse toimeaine </w:t>
      </w:r>
      <w:proofErr w:type="spellStart"/>
      <w:r w:rsidRPr="00E13C4A">
        <w:rPr>
          <w:sz w:val="24"/>
          <w:lang w:val="et-EE"/>
        </w:rPr>
        <w:t>tiaklopriidi</w:t>
      </w:r>
      <w:proofErr w:type="spellEnd"/>
      <w:r w:rsidRPr="00E13C4A">
        <w:rPr>
          <w:sz w:val="24"/>
          <w:lang w:val="et-EE"/>
        </w:rPr>
        <w:t xml:space="preserve"> heakskiidu pikendamata jätmist vastavalt Euroopa Parlamen</w:t>
      </w:r>
      <w:r w:rsidR="00A856C2">
        <w:rPr>
          <w:sz w:val="24"/>
          <w:lang w:val="et-EE"/>
        </w:rPr>
        <w:t>di ja nõukogu määrusele (EÜ) nr </w:t>
      </w:r>
      <w:r w:rsidRPr="00E13C4A">
        <w:rPr>
          <w:sz w:val="24"/>
          <w:lang w:val="et-EE"/>
        </w:rPr>
        <w:t xml:space="preserve">1107/2009 taimekaitsevahendite </w:t>
      </w:r>
      <w:proofErr w:type="spellStart"/>
      <w:r w:rsidRPr="00E13C4A">
        <w:rPr>
          <w:sz w:val="24"/>
          <w:lang w:val="et-EE"/>
        </w:rPr>
        <w:t>turulelaskmise</w:t>
      </w:r>
      <w:proofErr w:type="spellEnd"/>
      <w:r w:rsidRPr="00E13C4A">
        <w:rPr>
          <w:sz w:val="24"/>
          <w:lang w:val="et-EE"/>
        </w:rPr>
        <w:t xml:space="preserve"> kohta ning millega muudetakse komisjoni rakendusmääruse (EL) nr 540/201</w:t>
      </w:r>
      <w:r w:rsidR="00A856C2">
        <w:rPr>
          <w:sz w:val="24"/>
          <w:lang w:val="et-EE"/>
        </w:rPr>
        <w:t>1 lisa (ELT L 8, 14.1.2020, lk </w:t>
      </w:r>
      <w:r w:rsidRPr="00E13C4A">
        <w:rPr>
          <w:sz w:val="24"/>
          <w:lang w:val="et-EE"/>
        </w:rPr>
        <w:t>8).</w:t>
      </w:r>
    </w:p>
  </w:footnote>
  <w:footnote w:id="9">
    <w:p w:rsidR="00EC1636" w:rsidRPr="00E13C4A" w:rsidRDefault="00EC1636" w:rsidP="00E13C4A">
      <w:pPr>
        <w:pStyle w:val="FootnoteText"/>
        <w:ind w:left="567" w:hanging="567"/>
        <w:rPr>
          <w:sz w:val="24"/>
          <w:szCs w:val="22"/>
          <w:lang w:val="et-EE"/>
        </w:rPr>
      </w:pPr>
      <w:r w:rsidRPr="00E13C4A">
        <w:rPr>
          <w:rStyle w:val="FootnoteReference"/>
          <w:sz w:val="24"/>
          <w:szCs w:val="22"/>
          <w:lang w:val="et-EE"/>
        </w:rPr>
        <w:footnoteRef/>
      </w:r>
      <w:r w:rsidR="00E13C4A" w:rsidRPr="00E13C4A">
        <w:rPr>
          <w:sz w:val="24"/>
          <w:lang w:val="et-EE"/>
        </w:rPr>
        <w:t xml:space="preserve"> </w:t>
      </w:r>
      <w:r w:rsidR="00E13C4A" w:rsidRPr="00E13C4A">
        <w:rPr>
          <w:sz w:val="24"/>
          <w:lang w:val="et-EE"/>
        </w:rPr>
        <w:tab/>
      </w:r>
      <w:r w:rsidRPr="00E13C4A">
        <w:rPr>
          <w:sz w:val="24"/>
          <w:lang w:val="et-EE"/>
        </w:rPr>
        <w:t>EFSA 17. jaanuari 2019. aasta järeldused.</w:t>
      </w:r>
    </w:p>
  </w:footnote>
  <w:footnote w:id="10">
    <w:p w:rsidR="00EC1636" w:rsidRPr="00E13C4A" w:rsidRDefault="00EC1636" w:rsidP="00E13C4A">
      <w:pPr>
        <w:pStyle w:val="FootnoteText"/>
        <w:ind w:left="567" w:hanging="567"/>
        <w:rPr>
          <w:sz w:val="24"/>
          <w:szCs w:val="22"/>
          <w:lang w:val="et-EE"/>
        </w:rPr>
      </w:pPr>
      <w:r w:rsidRPr="00E13C4A">
        <w:rPr>
          <w:rStyle w:val="FootnoteReference"/>
          <w:sz w:val="24"/>
          <w:szCs w:val="22"/>
          <w:lang w:val="et-EE"/>
        </w:rPr>
        <w:footnoteRef/>
      </w:r>
      <w:r w:rsidR="00E13C4A" w:rsidRPr="00E13C4A">
        <w:rPr>
          <w:sz w:val="24"/>
          <w:lang w:val="et-EE"/>
        </w:rPr>
        <w:t xml:space="preserve"> </w:t>
      </w:r>
      <w:r w:rsidR="00E13C4A" w:rsidRPr="00E13C4A">
        <w:rPr>
          <w:sz w:val="24"/>
          <w:lang w:val="et-EE"/>
        </w:rPr>
        <w:tab/>
      </w:r>
      <w:r w:rsidRPr="00E13C4A">
        <w:rPr>
          <w:sz w:val="24"/>
          <w:lang w:val="et-EE"/>
        </w:rPr>
        <w:t>Euroopa Parlamendi ja nõukogu 16. detse</w:t>
      </w:r>
      <w:r w:rsidR="00A856C2">
        <w:rPr>
          <w:sz w:val="24"/>
          <w:lang w:val="et-EE"/>
        </w:rPr>
        <w:t>mbri 2008. aasta määrus (EÜ) nr </w:t>
      </w:r>
      <w:r w:rsidRPr="00E13C4A">
        <w:rPr>
          <w:sz w:val="24"/>
          <w:lang w:val="et-EE"/>
        </w:rPr>
        <w:t>1272/2008, mis käsitleb ainete ja segude klassifitseerimist, märgistamist ja pakendamist ning millega mu</w:t>
      </w:r>
      <w:r w:rsidR="00A856C2">
        <w:rPr>
          <w:sz w:val="24"/>
          <w:lang w:val="et-EE"/>
        </w:rPr>
        <w:t>udetakse direktiive 67/548/EMÜ ja </w:t>
      </w:r>
      <w:r w:rsidRPr="00E13C4A">
        <w:rPr>
          <w:sz w:val="24"/>
          <w:lang w:val="et-EE"/>
        </w:rPr>
        <w:t xml:space="preserve">1999/45/EÜ ja tunnistatakse need kehtetuks </w:t>
      </w:r>
      <w:r w:rsidR="00A856C2">
        <w:rPr>
          <w:sz w:val="24"/>
          <w:lang w:val="et-EE"/>
        </w:rPr>
        <w:t>ning muudetakse määrust (EÜ) nr 1907/2006 (ELT L </w:t>
      </w:r>
      <w:r w:rsidRPr="00E13C4A">
        <w:rPr>
          <w:sz w:val="24"/>
          <w:lang w:val="et-EE"/>
        </w:rPr>
        <w:t>353, 31.12.2008, lk 1).</w:t>
      </w:r>
    </w:p>
  </w:footnote>
  <w:footnote w:id="11">
    <w:p w:rsidR="00EC1636" w:rsidRPr="00E13C4A" w:rsidRDefault="00EC1636" w:rsidP="00E13C4A">
      <w:pPr>
        <w:pStyle w:val="FootnoteText"/>
        <w:ind w:left="567" w:hanging="567"/>
        <w:rPr>
          <w:sz w:val="24"/>
          <w:szCs w:val="22"/>
          <w:lang w:val="et-EE"/>
        </w:rPr>
      </w:pPr>
      <w:r w:rsidRPr="00E13C4A">
        <w:rPr>
          <w:rStyle w:val="FootnoteReference"/>
          <w:sz w:val="24"/>
          <w:szCs w:val="22"/>
          <w:lang w:val="et-EE"/>
        </w:rPr>
        <w:footnoteRef/>
      </w:r>
      <w:r w:rsidR="00E13C4A" w:rsidRPr="00E13C4A">
        <w:rPr>
          <w:sz w:val="24"/>
          <w:lang w:val="et-EE"/>
        </w:rPr>
        <w:t xml:space="preserve"> </w:t>
      </w:r>
      <w:r w:rsidR="00E13C4A" w:rsidRPr="00E13C4A">
        <w:rPr>
          <w:sz w:val="24"/>
          <w:lang w:val="et-EE"/>
        </w:rPr>
        <w:tab/>
      </w:r>
      <w:r w:rsidRPr="00E13C4A">
        <w:rPr>
          <w:sz w:val="24"/>
          <w:lang w:val="et-EE"/>
        </w:rPr>
        <w:t>Alalise taime-, looma-, toidu- ja söödakomitee 18.–19. septembri 2023. </w:t>
      </w:r>
      <w:r w:rsidRPr="00E13C4A">
        <w:rPr>
          <w:sz w:val="24"/>
          <w:lang w:val="et-EE"/>
        </w:rPr>
        <w:t xml:space="preserve">aasta koosoleku kokkuvõttev aruanne, </w:t>
      </w:r>
      <w:hyperlink r:id="rId4" w:history="1">
        <w:r w:rsidRPr="00E13C4A">
          <w:rPr>
            <w:rStyle w:val="Hyperlink"/>
            <w:sz w:val="24"/>
            <w:lang w:val="et-EE"/>
          </w:rPr>
          <w:t>https://ec.europa.eu/transparency/comitology-register/screen/documents/092486/1/consult?lang=en</w:t>
        </w:r>
      </w:hyperlink>
      <w:r w:rsidRPr="00E13C4A">
        <w:rPr>
          <w:sz w:val="24"/>
          <w:lang w:val="et-EE"/>
        </w:rPr>
        <w:t>.</w:t>
      </w:r>
    </w:p>
  </w:footnote>
  <w:footnote w:id="12">
    <w:p w:rsidR="00EC1636" w:rsidRPr="00E13C4A" w:rsidRDefault="00EC1636" w:rsidP="00E13C4A">
      <w:pPr>
        <w:pStyle w:val="FootnoteText"/>
        <w:ind w:left="567" w:hanging="567"/>
        <w:rPr>
          <w:sz w:val="24"/>
          <w:szCs w:val="22"/>
          <w:lang w:val="et-EE"/>
        </w:rPr>
      </w:pPr>
      <w:r w:rsidRPr="00E13C4A">
        <w:rPr>
          <w:rStyle w:val="FootnoteReference"/>
          <w:sz w:val="24"/>
          <w:szCs w:val="22"/>
          <w:lang w:val="et-EE"/>
        </w:rPr>
        <w:footnoteRef/>
      </w:r>
      <w:r w:rsidR="00E13C4A" w:rsidRPr="00E13C4A">
        <w:rPr>
          <w:sz w:val="24"/>
          <w:lang w:val="et-EE"/>
        </w:rPr>
        <w:t xml:space="preserve"> </w:t>
      </w:r>
      <w:r w:rsidR="00E13C4A" w:rsidRPr="00E13C4A">
        <w:rPr>
          <w:sz w:val="24"/>
          <w:lang w:val="et-EE"/>
        </w:rPr>
        <w:tab/>
      </w:r>
      <w:r w:rsidRPr="00E13C4A">
        <w:rPr>
          <w:sz w:val="24"/>
          <w:lang w:val="et-EE"/>
        </w:rPr>
        <w:t>Samas.</w:t>
      </w:r>
    </w:p>
  </w:footnote>
  <w:footnote w:id="13">
    <w:p w:rsidR="00EC1636" w:rsidRPr="00E13C4A" w:rsidRDefault="00EC1636" w:rsidP="00E13C4A">
      <w:pPr>
        <w:pStyle w:val="FootnoteText"/>
        <w:ind w:left="567" w:hanging="567"/>
        <w:rPr>
          <w:sz w:val="24"/>
          <w:szCs w:val="22"/>
          <w:lang w:val="et-EE"/>
        </w:rPr>
      </w:pPr>
      <w:r w:rsidRPr="00E13C4A">
        <w:rPr>
          <w:rStyle w:val="FootnoteReference"/>
          <w:sz w:val="24"/>
          <w:szCs w:val="22"/>
          <w:lang w:val="et-EE"/>
        </w:rPr>
        <w:footnoteRef/>
      </w:r>
      <w:r w:rsidR="00E13C4A" w:rsidRPr="00E13C4A">
        <w:rPr>
          <w:sz w:val="24"/>
          <w:lang w:val="et-EE"/>
        </w:rPr>
        <w:t xml:space="preserve"> </w:t>
      </w:r>
      <w:r w:rsidR="00E13C4A" w:rsidRPr="00E13C4A">
        <w:rPr>
          <w:sz w:val="24"/>
          <w:lang w:val="et-EE"/>
        </w:rPr>
        <w:tab/>
      </w:r>
      <w:r w:rsidRPr="00E13C4A">
        <w:rPr>
          <w:sz w:val="24"/>
          <w:lang w:val="et-EE"/>
        </w:rPr>
        <w:t>EFSA 9. veebruari 2023. aasta põhjendatud arvamus.</w:t>
      </w:r>
    </w:p>
  </w:footnote>
  <w:footnote w:id="14">
    <w:p w:rsidR="00EC1636" w:rsidRPr="00E13C4A" w:rsidRDefault="00EC1636" w:rsidP="00E13C4A">
      <w:pPr>
        <w:pStyle w:val="FootnoteText"/>
        <w:ind w:left="567" w:hanging="567"/>
        <w:rPr>
          <w:sz w:val="24"/>
          <w:szCs w:val="22"/>
          <w:lang w:val="et-EE"/>
        </w:rPr>
      </w:pPr>
      <w:r w:rsidRPr="00E13C4A">
        <w:rPr>
          <w:rStyle w:val="FootnoteReference"/>
          <w:sz w:val="24"/>
          <w:szCs w:val="22"/>
          <w:lang w:val="et-EE"/>
        </w:rPr>
        <w:footnoteRef/>
      </w:r>
      <w:r w:rsidR="00E13C4A" w:rsidRPr="00E13C4A">
        <w:rPr>
          <w:sz w:val="24"/>
          <w:lang w:val="et-EE"/>
        </w:rPr>
        <w:t xml:space="preserve"> </w:t>
      </w:r>
      <w:r w:rsidR="00E13C4A" w:rsidRPr="00E13C4A">
        <w:rPr>
          <w:sz w:val="24"/>
          <w:lang w:val="et-EE"/>
        </w:rPr>
        <w:tab/>
      </w:r>
      <w:r w:rsidRPr="00E13C4A">
        <w:rPr>
          <w:sz w:val="24"/>
          <w:lang w:val="et-EE"/>
        </w:rPr>
        <w:t xml:space="preserve">Van </w:t>
      </w:r>
      <w:proofErr w:type="spellStart"/>
      <w:r w:rsidRPr="00E13C4A">
        <w:rPr>
          <w:sz w:val="24"/>
          <w:lang w:val="et-EE"/>
        </w:rPr>
        <w:t>der</w:t>
      </w:r>
      <w:proofErr w:type="spellEnd"/>
      <w:r w:rsidRPr="00E13C4A">
        <w:rPr>
          <w:sz w:val="24"/>
          <w:lang w:val="et-EE"/>
        </w:rPr>
        <w:t xml:space="preserve"> </w:t>
      </w:r>
      <w:proofErr w:type="spellStart"/>
      <w:r w:rsidRPr="00E13C4A">
        <w:rPr>
          <w:sz w:val="24"/>
          <w:lang w:val="et-EE"/>
        </w:rPr>
        <w:t>Sluijs</w:t>
      </w:r>
      <w:proofErr w:type="spellEnd"/>
      <w:r w:rsidRPr="00E13C4A">
        <w:rPr>
          <w:sz w:val="24"/>
          <w:lang w:val="et-EE"/>
        </w:rPr>
        <w:t>, J.P., Vaage, N.S., „</w:t>
      </w:r>
      <w:proofErr w:type="spellStart"/>
      <w:r w:rsidRPr="00E13C4A">
        <w:rPr>
          <w:sz w:val="24"/>
          <w:lang w:val="et-EE"/>
        </w:rPr>
        <w:t>Pollinators</w:t>
      </w:r>
      <w:proofErr w:type="spellEnd"/>
      <w:r w:rsidRPr="00E13C4A">
        <w:rPr>
          <w:sz w:val="24"/>
          <w:lang w:val="et-EE"/>
        </w:rPr>
        <w:t xml:space="preserve"> and </w:t>
      </w:r>
      <w:proofErr w:type="spellStart"/>
      <w:r w:rsidRPr="00E13C4A">
        <w:rPr>
          <w:sz w:val="24"/>
          <w:lang w:val="et-EE"/>
        </w:rPr>
        <w:t>Global</w:t>
      </w:r>
      <w:proofErr w:type="spellEnd"/>
      <w:r w:rsidRPr="00E13C4A">
        <w:rPr>
          <w:sz w:val="24"/>
          <w:lang w:val="et-EE"/>
        </w:rPr>
        <w:t xml:space="preserve"> </w:t>
      </w:r>
      <w:proofErr w:type="spellStart"/>
      <w:r w:rsidRPr="00E13C4A">
        <w:rPr>
          <w:sz w:val="24"/>
          <w:lang w:val="et-EE"/>
        </w:rPr>
        <w:t>Food</w:t>
      </w:r>
      <w:proofErr w:type="spellEnd"/>
      <w:r w:rsidRPr="00E13C4A">
        <w:rPr>
          <w:sz w:val="24"/>
          <w:lang w:val="et-EE"/>
        </w:rPr>
        <w:t xml:space="preserve"> </w:t>
      </w:r>
      <w:proofErr w:type="spellStart"/>
      <w:r w:rsidRPr="00E13C4A">
        <w:rPr>
          <w:sz w:val="24"/>
          <w:lang w:val="et-EE"/>
        </w:rPr>
        <w:t>Security</w:t>
      </w:r>
      <w:proofErr w:type="spellEnd"/>
      <w:r w:rsidRPr="00E13C4A">
        <w:rPr>
          <w:sz w:val="24"/>
          <w:lang w:val="et-EE"/>
        </w:rPr>
        <w:t xml:space="preserve">: </w:t>
      </w:r>
      <w:proofErr w:type="spellStart"/>
      <w:r w:rsidRPr="00E13C4A">
        <w:rPr>
          <w:sz w:val="24"/>
          <w:lang w:val="et-EE"/>
        </w:rPr>
        <w:t>the</w:t>
      </w:r>
      <w:proofErr w:type="spellEnd"/>
      <w:r w:rsidRPr="00E13C4A">
        <w:rPr>
          <w:sz w:val="24"/>
          <w:lang w:val="et-EE"/>
        </w:rPr>
        <w:t xml:space="preserve"> Need </w:t>
      </w:r>
      <w:proofErr w:type="spellStart"/>
      <w:r w:rsidRPr="00E13C4A">
        <w:rPr>
          <w:sz w:val="24"/>
          <w:lang w:val="et-EE"/>
        </w:rPr>
        <w:t>for</w:t>
      </w:r>
      <w:proofErr w:type="spellEnd"/>
      <w:r w:rsidRPr="00E13C4A">
        <w:rPr>
          <w:sz w:val="24"/>
          <w:lang w:val="et-EE"/>
        </w:rPr>
        <w:t xml:space="preserve"> </w:t>
      </w:r>
      <w:proofErr w:type="spellStart"/>
      <w:r w:rsidRPr="00E13C4A">
        <w:rPr>
          <w:sz w:val="24"/>
          <w:lang w:val="et-EE"/>
        </w:rPr>
        <w:t>Holistic</w:t>
      </w:r>
      <w:proofErr w:type="spellEnd"/>
      <w:r w:rsidRPr="00E13C4A">
        <w:rPr>
          <w:sz w:val="24"/>
          <w:lang w:val="et-EE"/>
        </w:rPr>
        <w:t xml:space="preserve"> </w:t>
      </w:r>
      <w:proofErr w:type="spellStart"/>
      <w:r w:rsidRPr="00E13C4A">
        <w:rPr>
          <w:sz w:val="24"/>
          <w:lang w:val="et-EE"/>
        </w:rPr>
        <w:t>Global</w:t>
      </w:r>
      <w:proofErr w:type="spellEnd"/>
      <w:r w:rsidRPr="00E13C4A">
        <w:rPr>
          <w:sz w:val="24"/>
          <w:lang w:val="et-EE"/>
        </w:rPr>
        <w:t xml:space="preserve"> </w:t>
      </w:r>
      <w:proofErr w:type="spellStart"/>
      <w:r w:rsidRPr="00E13C4A">
        <w:rPr>
          <w:sz w:val="24"/>
          <w:lang w:val="et-EE"/>
        </w:rPr>
        <w:t>Stewardship</w:t>
      </w:r>
      <w:proofErr w:type="spellEnd"/>
      <w:r w:rsidRPr="00E13C4A">
        <w:rPr>
          <w:sz w:val="24"/>
          <w:lang w:val="et-EE"/>
        </w:rPr>
        <w:t>“ (</w:t>
      </w:r>
      <w:proofErr w:type="spellStart"/>
      <w:r w:rsidRPr="00E13C4A">
        <w:rPr>
          <w:sz w:val="24"/>
          <w:lang w:val="et-EE"/>
        </w:rPr>
        <w:t>Tolmeldajad</w:t>
      </w:r>
      <w:proofErr w:type="spellEnd"/>
      <w:r w:rsidRPr="00E13C4A">
        <w:rPr>
          <w:sz w:val="24"/>
          <w:lang w:val="et-EE"/>
        </w:rPr>
        <w:t xml:space="preserve"> ja ülemaailmne toiduga kindlustatus: vajadus tervikliku globaalse juhtimise järele), </w:t>
      </w:r>
      <w:proofErr w:type="spellStart"/>
      <w:r w:rsidRPr="00E13C4A">
        <w:rPr>
          <w:sz w:val="24"/>
          <w:lang w:val="et-EE"/>
        </w:rPr>
        <w:t>Food</w:t>
      </w:r>
      <w:proofErr w:type="spellEnd"/>
      <w:r w:rsidRPr="00E13C4A">
        <w:rPr>
          <w:sz w:val="24"/>
          <w:lang w:val="et-EE"/>
        </w:rPr>
        <w:t xml:space="preserve"> </w:t>
      </w:r>
      <w:proofErr w:type="spellStart"/>
      <w:r w:rsidRPr="00E13C4A">
        <w:rPr>
          <w:sz w:val="24"/>
          <w:lang w:val="et-EE"/>
        </w:rPr>
        <w:t>ethics</w:t>
      </w:r>
      <w:proofErr w:type="spellEnd"/>
      <w:r w:rsidRPr="00E13C4A">
        <w:rPr>
          <w:sz w:val="24"/>
          <w:lang w:val="et-EE"/>
        </w:rPr>
        <w:t xml:space="preserve"> 1, 75–91 (2016), </w:t>
      </w:r>
      <w:hyperlink r:id="rId5" w:history="1">
        <w:r w:rsidRPr="00E13C4A">
          <w:rPr>
            <w:rStyle w:val="Hyperlink"/>
            <w:sz w:val="24"/>
            <w:lang w:val="et-EE"/>
          </w:rPr>
          <w:t>https://doi.org/10.1007/s41055-016-0003-z</w:t>
        </w:r>
      </w:hyperlink>
      <w:r w:rsidRPr="00E13C4A">
        <w:rPr>
          <w:sz w:val="24"/>
          <w:lang w:val="et-EE"/>
        </w:rPr>
        <w:t>.</w:t>
      </w:r>
    </w:p>
  </w:footnote>
  <w:footnote w:id="15">
    <w:p w:rsidR="00EC1636" w:rsidRPr="00E13C4A" w:rsidRDefault="00EC1636" w:rsidP="00E13C4A">
      <w:pPr>
        <w:pStyle w:val="FootnoteText"/>
        <w:ind w:left="567" w:hanging="567"/>
        <w:rPr>
          <w:iCs/>
          <w:sz w:val="24"/>
          <w:szCs w:val="22"/>
          <w:lang w:val="et-EE"/>
        </w:rPr>
      </w:pPr>
      <w:r w:rsidRPr="00E13C4A">
        <w:rPr>
          <w:iCs/>
          <w:sz w:val="24"/>
          <w:szCs w:val="22"/>
          <w:vertAlign w:val="superscript"/>
          <w:lang w:val="et-EE"/>
        </w:rPr>
        <w:footnoteRef/>
      </w:r>
      <w:r w:rsidR="00E13C4A" w:rsidRPr="00E13C4A">
        <w:rPr>
          <w:sz w:val="24"/>
          <w:lang w:val="et-EE"/>
        </w:rPr>
        <w:t xml:space="preserve"> </w:t>
      </w:r>
      <w:r w:rsidR="00E13C4A" w:rsidRPr="00E13C4A">
        <w:rPr>
          <w:sz w:val="24"/>
          <w:lang w:val="et-EE"/>
        </w:rPr>
        <w:tab/>
      </w:r>
      <w:r w:rsidRPr="00E13C4A">
        <w:rPr>
          <w:sz w:val="24"/>
          <w:lang w:val="et-EE"/>
        </w:rPr>
        <w:t>COM(2020)0381.</w:t>
      </w:r>
    </w:p>
  </w:footnote>
  <w:footnote w:id="16">
    <w:p w:rsidR="00EC1636" w:rsidRPr="00E13C4A" w:rsidRDefault="00EC1636" w:rsidP="00E13C4A">
      <w:pPr>
        <w:pStyle w:val="FootnoteText"/>
        <w:ind w:left="567" w:hanging="567"/>
        <w:rPr>
          <w:sz w:val="24"/>
          <w:szCs w:val="22"/>
          <w:lang w:val="et-EE"/>
        </w:rPr>
      </w:pPr>
      <w:r w:rsidRPr="00E13C4A">
        <w:rPr>
          <w:rStyle w:val="FootnoteReference"/>
          <w:sz w:val="24"/>
          <w:szCs w:val="22"/>
          <w:lang w:val="et-EE"/>
        </w:rPr>
        <w:footnoteRef/>
      </w:r>
      <w:r w:rsidR="00E13C4A" w:rsidRPr="00E13C4A">
        <w:rPr>
          <w:sz w:val="24"/>
          <w:lang w:val="et-EE"/>
        </w:rPr>
        <w:t xml:space="preserve"> </w:t>
      </w:r>
      <w:r w:rsidR="00E13C4A" w:rsidRPr="00E13C4A">
        <w:rPr>
          <w:sz w:val="24"/>
          <w:lang w:val="et-EE"/>
        </w:rPr>
        <w:tab/>
      </w:r>
      <w:r w:rsidRPr="00E13C4A">
        <w:rPr>
          <w:sz w:val="24"/>
          <w:lang w:val="et-EE"/>
        </w:rPr>
        <w:t>Komisjoni 2. ve</w:t>
      </w:r>
      <w:r w:rsidR="00A856C2">
        <w:rPr>
          <w:sz w:val="24"/>
          <w:lang w:val="et-EE"/>
        </w:rPr>
        <w:t>ebruari 2023. aasta määrus (EL) </w:t>
      </w:r>
      <w:r w:rsidRPr="00E13C4A">
        <w:rPr>
          <w:sz w:val="24"/>
          <w:lang w:val="et-EE"/>
        </w:rPr>
        <w:t xml:space="preserve">2023/334, millega muudetakse Euroopa Parlamendi ja nõukogu määruse (EÜ) </w:t>
      </w:r>
      <w:r w:rsidR="00A856C2">
        <w:rPr>
          <w:sz w:val="24"/>
          <w:lang w:val="et-EE"/>
        </w:rPr>
        <w:t>nr 396/2005 II ja V </w:t>
      </w:r>
      <w:r w:rsidRPr="00E13C4A">
        <w:rPr>
          <w:sz w:val="24"/>
          <w:lang w:val="et-EE"/>
        </w:rPr>
        <w:t xml:space="preserve">lisa seoses </w:t>
      </w:r>
      <w:proofErr w:type="spellStart"/>
      <w:r w:rsidRPr="00E13C4A">
        <w:rPr>
          <w:sz w:val="24"/>
          <w:lang w:val="et-EE"/>
        </w:rPr>
        <w:t>klotianidiini</w:t>
      </w:r>
      <w:proofErr w:type="spellEnd"/>
      <w:r w:rsidRPr="00E13C4A">
        <w:rPr>
          <w:sz w:val="24"/>
          <w:lang w:val="et-EE"/>
        </w:rPr>
        <w:t xml:space="preserve"> ja </w:t>
      </w:r>
      <w:proofErr w:type="spellStart"/>
      <w:r w:rsidRPr="00E13C4A">
        <w:rPr>
          <w:sz w:val="24"/>
          <w:lang w:val="et-EE"/>
        </w:rPr>
        <w:t>tiametoksaami</w:t>
      </w:r>
      <w:proofErr w:type="spellEnd"/>
      <w:r w:rsidRPr="00E13C4A">
        <w:rPr>
          <w:sz w:val="24"/>
          <w:lang w:val="et-EE"/>
        </w:rPr>
        <w:t xml:space="preserve"> jääkide piirnormidega teatavates toodetes või nende pinnal (ELT L 47, 15.2.2023, lk 29).</w:t>
      </w:r>
    </w:p>
  </w:footnote>
  <w:footnote w:id="17">
    <w:p w:rsidR="00EC1636" w:rsidRPr="00E13C4A" w:rsidRDefault="00EC1636" w:rsidP="00E13C4A">
      <w:pPr>
        <w:pStyle w:val="FootnoteText"/>
        <w:ind w:left="567" w:hanging="567"/>
        <w:rPr>
          <w:sz w:val="24"/>
          <w:szCs w:val="22"/>
          <w:lang w:val="et-EE"/>
        </w:rPr>
      </w:pPr>
      <w:r w:rsidRPr="00E13C4A">
        <w:rPr>
          <w:rStyle w:val="FootnoteReference"/>
          <w:sz w:val="24"/>
          <w:szCs w:val="22"/>
          <w:lang w:val="et-EE"/>
        </w:rPr>
        <w:footnoteRef/>
      </w:r>
      <w:r w:rsidR="00E13C4A" w:rsidRPr="00E13C4A">
        <w:rPr>
          <w:sz w:val="24"/>
          <w:lang w:val="et-EE"/>
        </w:rPr>
        <w:t xml:space="preserve"> </w:t>
      </w:r>
      <w:r w:rsidR="00E13C4A" w:rsidRPr="00E13C4A">
        <w:rPr>
          <w:sz w:val="24"/>
          <w:lang w:val="et-EE"/>
        </w:rPr>
        <w:tab/>
      </w:r>
      <w:r w:rsidRPr="00E13C4A">
        <w:rPr>
          <w:sz w:val="24"/>
          <w:lang w:val="et-EE"/>
        </w:rPr>
        <w:t>Samas.</w:t>
      </w:r>
    </w:p>
  </w:footnote>
  <w:footnote w:id="18">
    <w:p w:rsidR="00EC1636" w:rsidRPr="00E13C4A" w:rsidRDefault="00EC1636" w:rsidP="00E13C4A">
      <w:pPr>
        <w:pStyle w:val="FootnoteText"/>
        <w:ind w:left="567" w:hanging="567"/>
        <w:rPr>
          <w:sz w:val="24"/>
          <w:szCs w:val="22"/>
          <w:lang w:val="et-EE"/>
        </w:rPr>
      </w:pPr>
      <w:r w:rsidRPr="00E13C4A">
        <w:rPr>
          <w:rStyle w:val="FootnoteReference"/>
          <w:sz w:val="24"/>
          <w:szCs w:val="22"/>
          <w:lang w:val="et-EE"/>
        </w:rPr>
        <w:footnoteRef/>
      </w:r>
      <w:r w:rsidR="00E13C4A" w:rsidRPr="00E13C4A">
        <w:rPr>
          <w:sz w:val="24"/>
          <w:lang w:val="et-EE"/>
        </w:rPr>
        <w:t xml:space="preserve"> </w:t>
      </w:r>
      <w:r w:rsidR="00E13C4A" w:rsidRPr="00E13C4A">
        <w:rPr>
          <w:sz w:val="24"/>
          <w:lang w:val="et-EE"/>
        </w:rPr>
        <w:tab/>
      </w:r>
      <w:r w:rsidRPr="00E13C4A">
        <w:rPr>
          <w:sz w:val="24"/>
          <w:lang w:val="et-EE"/>
        </w:rPr>
        <w:t>Alalise taime-, looma-,</w:t>
      </w:r>
      <w:r w:rsidR="00A856C2">
        <w:rPr>
          <w:sz w:val="24"/>
          <w:lang w:val="et-EE"/>
        </w:rPr>
        <w:t xml:space="preserve"> toidu- ja söödakomitee 10.–11. </w:t>
      </w:r>
      <w:r w:rsidRPr="00E13C4A">
        <w:rPr>
          <w:sz w:val="24"/>
          <w:lang w:val="et-EE"/>
        </w:rPr>
        <w:t>mai 2023. </w:t>
      </w:r>
      <w:r w:rsidRPr="00E13C4A">
        <w:rPr>
          <w:sz w:val="24"/>
          <w:lang w:val="et-EE"/>
        </w:rPr>
        <w:t xml:space="preserve">aasta koosoleku kokkuvõttev aruanne, </w:t>
      </w:r>
      <w:hyperlink r:id="rId6" w:history="1">
        <w:r w:rsidRPr="00E13C4A">
          <w:rPr>
            <w:rStyle w:val="Hyperlink"/>
            <w:sz w:val="24"/>
            <w:lang w:val="et-EE"/>
          </w:rPr>
          <w:t>https://ec.europa.eu/transparency/comitology-register/screen/documents/090500/1/consult?lang=et</w:t>
        </w:r>
      </w:hyperlink>
      <w:r w:rsidRPr="00E13C4A">
        <w:rPr>
          <w:sz w:val="24"/>
          <w:lang w:val="et-EE"/>
        </w:rPr>
        <w:t>.</w:t>
      </w:r>
    </w:p>
  </w:footnote>
  <w:footnote w:id="19">
    <w:p w:rsidR="00EC1636" w:rsidRPr="00E13C4A" w:rsidRDefault="00EC1636" w:rsidP="00E13C4A">
      <w:pPr>
        <w:pStyle w:val="FootnoteText"/>
        <w:ind w:left="567" w:hanging="567"/>
        <w:rPr>
          <w:sz w:val="24"/>
          <w:szCs w:val="22"/>
          <w:lang w:val="et-EE"/>
        </w:rPr>
      </w:pPr>
      <w:r w:rsidRPr="00E13C4A">
        <w:rPr>
          <w:rStyle w:val="FootnoteReference"/>
          <w:sz w:val="24"/>
          <w:szCs w:val="22"/>
          <w:lang w:val="et-EE"/>
        </w:rPr>
        <w:footnoteRef/>
      </w:r>
      <w:r w:rsidR="00E13C4A" w:rsidRPr="00E13C4A">
        <w:rPr>
          <w:sz w:val="24"/>
          <w:lang w:val="et-EE"/>
        </w:rPr>
        <w:t xml:space="preserve"> </w:t>
      </w:r>
      <w:r w:rsidR="00E13C4A" w:rsidRPr="00E13C4A">
        <w:rPr>
          <w:sz w:val="24"/>
          <w:lang w:val="et-EE"/>
        </w:rPr>
        <w:tab/>
      </w:r>
      <w:r w:rsidRPr="00E13C4A">
        <w:rPr>
          <w:sz w:val="24"/>
          <w:lang w:val="et-EE"/>
        </w:rPr>
        <w:t xml:space="preserve">Ellis, C., Park, K.J., </w:t>
      </w:r>
      <w:proofErr w:type="spellStart"/>
      <w:r w:rsidRPr="00E13C4A">
        <w:rPr>
          <w:sz w:val="24"/>
          <w:lang w:val="et-EE"/>
        </w:rPr>
        <w:t>Whitehorn</w:t>
      </w:r>
      <w:proofErr w:type="spellEnd"/>
      <w:r w:rsidRPr="00E13C4A">
        <w:rPr>
          <w:sz w:val="24"/>
          <w:lang w:val="et-EE"/>
        </w:rPr>
        <w:t xml:space="preserve">, P., David, A., </w:t>
      </w:r>
      <w:proofErr w:type="spellStart"/>
      <w:r w:rsidRPr="00E13C4A">
        <w:rPr>
          <w:sz w:val="24"/>
          <w:lang w:val="et-EE"/>
        </w:rPr>
        <w:t>Goulson</w:t>
      </w:r>
      <w:proofErr w:type="spellEnd"/>
      <w:r w:rsidRPr="00E13C4A">
        <w:rPr>
          <w:sz w:val="24"/>
          <w:lang w:val="et-EE"/>
        </w:rPr>
        <w:t>, D., „</w:t>
      </w:r>
      <w:proofErr w:type="spellStart"/>
      <w:r w:rsidRPr="00E13C4A">
        <w:rPr>
          <w:sz w:val="24"/>
          <w:lang w:val="et-EE"/>
        </w:rPr>
        <w:t>The</w:t>
      </w:r>
      <w:proofErr w:type="spellEnd"/>
      <w:r w:rsidRPr="00E13C4A">
        <w:rPr>
          <w:sz w:val="24"/>
          <w:lang w:val="et-EE"/>
        </w:rPr>
        <w:t xml:space="preserve"> </w:t>
      </w:r>
      <w:proofErr w:type="spellStart"/>
      <w:r w:rsidRPr="00E13C4A">
        <w:rPr>
          <w:sz w:val="24"/>
          <w:lang w:val="et-EE"/>
        </w:rPr>
        <w:t>Neonicotinoid</w:t>
      </w:r>
      <w:proofErr w:type="spellEnd"/>
      <w:r w:rsidRPr="00E13C4A">
        <w:rPr>
          <w:sz w:val="24"/>
          <w:lang w:val="et-EE"/>
        </w:rPr>
        <w:t xml:space="preserve"> </w:t>
      </w:r>
      <w:proofErr w:type="spellStart"/>
      <w:r w:rsidRPr="00E13C4A">
        <w:rPr>
          <w:sz w:val="24"/>
          <w:lang w:val="et-EE"/>
        </w:rPr>
        <w:t>Insecticide</w:t>
      </w:r>
      <w:proofErr w:type="spellEnd"/>
      <w:r w:rsidRPr="00E13C4A">
        <w:rPr>
          <w:sz w:val="24"/>
          <w:lang w:val="et-EE"/>
        </w:rPr>
        <w:t xml:space="preserve"> </w:t>
      </w:r>
      <w:proofErr w:type="spellStart"/>
      <w:r w:rsidRPr="00E13C4A">
        <w:rPr>
          <w:sz w:val="24"/>
          <w:lang w:val="et-EE"/>
        </w:rPr>
        <w:t>Thiacloprid</w:t>
      </w:r>
      <w:proofErr w:type="spellEnd"/>
      <w:r w:rsidRPr="00E13C4A">
        <w:rPr>
          <w:sz w:val="24"/>
          <w:lang w:val="et-EE"/>
        </w:rPr>
        <w:t xml:space="preserve"> </w:t>
      </w:r>
      <w:proofErr w:type="spellStart"/>
      <w:r w:rsidRPr="00E13C4A">
        <w:rPr>
          <w:sz w:val="24"/>
          <w:lang w:val="et-EE"/>
        </w:rPr>
        <w:t>Impacts</w:t>
      </w:r>
      <w:proofErr w:type="spellEnd"/>
      <w:r w:rsidRPr="00E13C4A">
        <w:rPr>
          <w:sz w:val="24"/>
          <w:lang w:val="et-EE"/>
        </w:rPr>
        <w:t xml:space="preserve"> on </w:t>
      </w:r>
      <w:proofErr w:type="spellStart"/>
      <w:r w:rsidRPr="00E13C4A">
        <w:rPr>
          <w:sz w:val="24"/>
          <w:lang w:val="et-EE"/>
        </w:rPr>
        <w:t>Bumblebee</w:t>
      </w:r>
      <w:proofErr w:type="spellEnd"/>
      <w:r w:rsidRPr="00E13C4A">
        <w:rPr>
          <w:sz w:val="24"/>
          <w:lang w:val="et-EE"/>
        </w:rPr>
        <w:t xml:space="preserve"> </w:t>
      </w:r>
      <w:proofErr w:type="spellStart"/>
      <w:r w:rsidRPr="00E13C4A">
        <w:rPr>
          <w:sz w:val="24"/>
          <w:lang w:val="et-EE"/>
        </w:rPr>
        <w:t>Colony</w:t>
      </w:r>
      <w:proofErr w:type="spellEnd"/>
      <w:r w:rsidRPr="00E13C4A">
        <w:rPr>
          <w:sz w:val="24"/>
          <w:lang w:val="et-EE"/>
        </w:rPr>
        <w:t xml:space="preserve"> </w:t>
      </w:r>
      <w:proofErr w:type="spellStart"/>
      <w:r w:rsidRPr="00E13C4A">
        <w:rPr>
          <w:sz w:val="24"/>
          <w:lang w:val="et-EE"/>
        </w:rPr>
        <w:t>Development</w:t>
      </w:r>
      <w:proofErr w:type="spellEnd"/>
      <w:r w:rsidRPr="00E13C4A">
        <w:rPr>
          <w:sz w:val="24"/>
          <w:lang w:val="et-EE"/>
        </w:rPr>
        <w:t xml:space="preserve"> </w:t>
      </w:r>
      <w:proofErr w:type="spellStart"/>
      <w:r w:rsidRPr="00E13C4A">
        <w:rPr>
          <w:sz w:val="24"/>
          <w:lang w:val="et-EE"/>
        </w:rPr>
        <w:t>under</w:t>
      </w:r>
      <w:proofErr w:type="spellEnd"/>
      <w:r w:rsidRPr="00E13C4A">
        <w:rPr>
          <w:sz w:val="24"/>
          <w:lang w:val="et-EE"/>
        </w:rPr>
        <w:t xml:space="preserve"> </w:t>
      </w:r>
      <w:proofErr w:type="spellStart"/>
      <w:r w:rsidRPr="00E13C4A">
        <w:rPr>
          <w:sz w:val="24"/>
          <w:lang w:val="et-EE"/>
        </w:rPr>
        <w:t>Field</w:t>
      </w:r>
      <w:proofErr w:type="spellEnd"/>
      <w:r w:rsidRPr="00E13C4A">
        <w:rPr>
          <w:sz w:val="24"/>
          <w:lang w:val="et-EE"/>
        </w:rPr>
        <w:t xml:space="preserve"> </w:t>
      </w:r>
      <w:proofErr w:type="spellStart"/>
      <w:r w:rsidRPr="00E13C4A">
        <w:rPr>
          <w:sz w:val="24"/>
          <w:lang w:val="et-EE"/>
        </w:rPr>
        <w:t>Conditions</w:t>
      </w:r>
      <w:proofErr w:type="spellEnd"/>
      <w:r w:rsidRPr="00E13C4A">
        <w:rPr>
          <w:sz w:val="24"/>
          <w:lang w:val="et-EE"/>
        </w:rPr>
        <w:t>“ (</w:t>
      </w:r>
      <w:proofErr w:type="spellStart"/>
      <w:r w:rsidRPr="00E13C4A">
        <w:rPr>
          <w:sz w:val="24"/>
          <w:lang w:val="et-EE"/>
        </w:rPr>
        <w:t>Neonikotinoidide</w:t>
      </w:r>
      <w:proofErr w:type="spellEnd"/>
      <w:r w:rsidRPr="00E13C4A">
        <w:rPr>
          <w:sz w:val="24"/>
          <w:lang w:val="et-EE"/>
        </w:rPr>
        <w:t xml:space="preserve"> hulka kuuluv insektitsiid </w:t>
      </w:r>
      <w:proofErr w:type="spellStart"/>
      <w:r w:rsidRPr="00E13C4A">
        <w:rPr>
          <w:sz w:val="24"/>
          <w:lang w:val="et-EE"/>
        </w:rPr>
        <w:t>tiaklopriid</w:t>
      </w:r>
      <w:proofErr w:type="spellEnd"/>
      <w:r w:rsidRPr="00E13C4A">
        <w:rPr>
          <w:sz w:val="24"/>
          <w:lang w:val="et-EE"/>
        </w:rPr>
        <w:t xml:space="preserve"> mõjutab kimalaste kolooniate arengut looduslikes tingimustes), </w:t>
      </w:r>
      <w:proofErr w:type="spellStart"/>
      <w:r w:rsidRPr="00E13C4A">
        <w:rPr>
          <w:sz w:val="24"/>
          <w:lang w:val="et-EE"/>
        </w:rPr>
        <w:t>Environmental</w:t>
      </w:r>
      <w:proofErr w:type="spellEnd"/>
      <w:r w:rsidRPr="00E13C4A">
        <w:rPr>
          <w:sz w:val="24"/>
          <w:lang w:val="et-EE"/>
        </w:rPr>
        <w:t xml:space="preserve"> </w:t>
      </w:r>
      <w:proofErr w:type="spellStart"/>
      <w:r w:rsidRPr="00E13C4A">
        <w:rPr>
          <w:sz w:val="24"/>
          <w:lang w:val="et-EE"/>
        </w:rPr>
        <w:t>Science</w:t>
      </w:r>
      <w:proofErr w:type="spellEnd"/>
      <w:r w:rsidRPr="00E13C4A">
        <w:rPr>
          <w:sz w:val="24"/>
          <w:lang w:val="et-EE"/>
        </w:rPr>
        <w:t xml:space="preserve"> &amp; </w:t>
      </w:r>
      <w:proofErr w:type="spellStart"/>
      <w:r w:rsidRPr="00E13C4A">
        <w:rPr>
          <w:sz w:val="24"/>
          <w:lang w:val="et-EE"/>
        </w:rPr>
        <w:t>Technology</w:t>
      </w:r>
      <w:proofErr w:type="spellEnd"/>
      <w:r w:rsidRPr="00E13C4A">
        <w:rPr>
          <w:sz w:val="24"/>
          <w:lang w:val="et-EE"/>
        </w:rPr>
        <w:t xml:space="preserve"> 2017, 51, 3, 1727–1732, </w:t>
      </w:r>
      <w:hyperlink r:id="rId7" w:history="1">
        <w:r w:rsidRPr="00E13C4A">
          <w:rPr>
            <w:rStyle w:val="Hyperlink"/>
            <w:sz w:val="24"/>
            <w:lang w:val="et-EE"/>
          </w:rPr>
          <w:t>https://pubs.acs.org/doi/10.1021/acs.est.6b04791</w:t>
        </w:r>
      </w:hyperlink>
      <w:r w:rsidRPr="00E13C4A">
        <w:rPr>
          <w:sz w:val="24"/>
          <w:lang w:val="et-EE"/>
        </w:rPr>
        <w:t>.</w:t>
      </w:r>
    </w:p>
  </w:footnote>
  <w:footnote w:id="20">
    <w:p w:rsidR="00EC1636" w:rsidRPr="00E13C4A" w:rsidRDefault="00EC1636" w:rsidP="00E13C4A">
      <w:pPr>
        <w:pStyle w:val="FootnoteText"/>
        <w:ind w:left="567" w:hanging="567"/>
        <w:rPr>
          <w:sz w:val="24"/>
          <w:szCs w:val="22"/>
          <w:lang w:val="et-EE"/>
        </w:rPr>
      </w:pPr>
      <w:r w:rsidRPr="00E13C4A">
        <w:rPr>
          <w:rStyle w:val="FootnoteReference"/>
          <w:sz w:val="24"/>
          <w:szCs w:val="22"/>
          <w:lang w:val="et-EE"/>
        </w:rPr>
        <w:footnoteRef/>
      </w:r>
      <w:r w:rsidR="00E13C4A" w:rsidRPr="00E13C4A">
        <w:rPr>
          <w:sz w:val="24"/>
          <w:lang w:val="et-EE"/>
        </w:rPr>
        <w:t xml:space="preserve"> </w:t>
      </w:r>
      <w:r w:rsidR="00E13C4A" w:rsidRPr="00E13C4A">
        <w:rPr>
          <w:sz w:val="24"/>
          <w:lang w:val="et-EE"/>
        </w:rPr>
        <w:tab/>
      </w:r>
      <w:r w:rsidRPr="00E13C4A">
        <w:rPr>
          <w:sz w:val="24"/>
          <w:lang w:val="et-EE"/>
        </w:rPr>
        <w:t>Samas.</w:t>
      </w:r>
    </w:p>
  </w:footnote>
  <w:footnote w:id="21">
    <w:p w:rsidR="00EC1636" w:rsidRPr="00E13C4A" w:rsidRDefault="00EC1636" w:rsidP="00E13C4A">
      <w:pPr>
        <w:pStyle w:val="FootnoteText"/>
        <w:ind w:left="567" w:hanging="567"/>
        <w:rPr>
          <w:sz w:val="24"/>
          <w:szCs w:val="22"/>
          <w:lang w:val="et-EE"/>
        </w:rPr>
      </w:pPr>
      <w:r w:rsidRPr="00E13C4A">
        <w:rPr>
          <w:rStyle w:val="FootnoteReference"/>
          <w:sz w:val="24"/>
          <w:szCs w:val="22"/>
          <w:lang w:val="et-EE"/>
        </w:rPr>
        <w:footnoteRef/>
      </w:r>
      <w:r w:rsidR="00E13C4A" w:rsidRPr="00E13C4A">
        <w:rPr>
          <w:sz w:val="24"/>
          <w:lang w:val="et-EE"/>
        </w:rPr>
        <w:t xml:space="preserve"> </w:t>
      </w:r>
      <w:r w:rsidR="00E13C4A" w:rsidRPr="00E13C4A">
        <w:rPr>
          <w:sz w:val="24"/>
          <w:lang w:val="et-EE"/>
        </w:rPr>
        <w:tab/>
      </w:r>
      <w:proofErr w:type="spellStart"/>
      <w:r w:rsidRPr="00E13C4A">
        <w:rPr>
          <w:sz w:val="24"/>
          <w:lang w:val="et-EE"/>
        </w:rPr>
        <w:t>Brandt</w:t>
      </w:r>
      <w:proofErr w:type="spellEnd"/>
      <w:r w:rsidRPr="00E13C4A">
        <w:rPr>
          <w:sz w:val="24"/>
          <w:lang w:val="et-EE"/>
        </w:rPr>
        <w:t xml:space="preserve">, A., </w:t>
      </w:r>
      <w:proofErr w:type="spellStart"/>
      <w:r w:rsidRPr="00E13C4A">
        <w:rPr>
          <w:sz w:val="24"/>
          <w:lang w:val="et-EE"/>
        </w:rPr>
        <w:t>Gorenflo</w:t>
      </w:r>
      <w:proofErr w:type="spellEnd"/>
      <w:r w:rsidRPr="00E13C4A">
        <w:rPr>
          <w:sz w:val="24"/>
          <w:lang w:val="et-EE"/>
        </w:rPr>
        <w:t xml:space="preserve">, A., </w:t>
      </w:r>
      <w:proofErr w:type="spellStart"/>
      <w:r w:rsidRPr="00E13C4A">
        <w:rPr>
          <w:sz w:val="24"/>
          <w:lang w:val="et-EE"/>
        </w:rPr>
        <w:t>Siede</w:t>
      </w:r>
      <w:proofErr w:type="spellEnd"/>
      <w:r w:rsidRPr="00E13C4A">
        <w:rPr>
          <w:sz w:val="24"/>
          <w:lang w:val="et-EE"/>
        </w:rPr>
        <w:t xml:space="preserve">, R., </w:t>
      </w:r>
      <w:proofErr w:type="spellStart"/>
      <w:r w:rsidRPr="00E13C4A">
        <w:rPr>
          <w:sz w:val="24"/>
          <w:lang w:val="et-EE"/>
        </w:rPr>
        <w:t>Meixner</w:t>
      </w:r>
      <w:proofErr w:type="spellEnd"/>
      <w:r w:rsidRPr="00E13C4A">
        <w:rPr>
          <w:sz w:val="24"/>
          <w:lang w:val="et-EE"/>
        </w:rPr>
        <w:t xml:space="preserve">, M., </w:t>
      </w:r>
      <w:proofErr w:type="spellStart"/>
      <w:r w:rsidRPr="00E13C4A">
        <w:rPr>
          <w:sz w:val="24"/>
          <w:lang w:val="et-EE"/>
        </w:rPr>
        <w:t>Büchler</w:t>
      </w:r>
      <w:proofErr w:type="spellEnd"/>
      <w:r w:rsidRPr="00E13C4A">
        <w:rPr>
          <w:sz w:val="24"/>
          <w:lang w:val="et-EE"/>
        </w:rPr>
        <w:t>, R., „</w:t>
      </w:r>
      <w:proofErr w:type="spellStart"/>
      <w:r w:rsidRPr="00E13C4A">
        <w:rPr>
          <w:sz w:val="24"/>
          <w:lang w:val="et-EE"/>
        </w:rPr>
        <w:t>The</w:t>
      </w:r>
      <w:proofErr w:type="spellEnd"/>
      <w:r w:rsidRPr="00E13C4A">
        <w:rPr>
          <w:sz w:val="24"/>
          <w:lang w:val="et-EE"/>
        </w:rPr>
        <w:t xml:space="preserve"> </w:t>
      </w:r>
      <w:proofErr w:type="spellStart"/>
      <w:r w:rsidRPr="00E13C4A">
        <w:rPr>
          <w:sz w:val="24"/>
          <w:lang w:val="et-EE"/>
        </w:rPr>
        <w:t>neonicotinoids</w:t>
      </w:r>
      <w:proofErr w:type="spellEnd"/>
      <w:r w:rsidRPr="00E13C4A">
        <w:rPr>
          <w:sz w:val="24"/>
          <w:lang w:val="et-EE"/>
        </w:rPr>
        <w:t xml:space="preserve"> </w:t>
      </w:r>
      <w:proofErr w:type="spellStart"/>
      <w:r w:rsidRPr="00E13C4A">
        <w:rPr>
          <w:sz w:val="24"/>
          <w:lang w:val="et-EE"/>
        </w:rPr>
        <w:t>thiacloprid</w:t>
      </w:r>
      <w:proofErr w:type="spellEnd"/>
      <w:r w:rsidRPr="00E13C4A">
        <w:rPr>
          <w:sz w:val="24"/>
          <w:lang w:val="et-EE"/>
        </w:rPr>
        <w:t xml:space="preserve">, </w:t>
      </w:r>
      <w:proofErr w:type="spellStart"/>
      <w:r w:rsidRPr="00E13C4A">
        <w:rPr>
          <w:sz w:val="24"/>
          <w:lang w:val="et-EE"/>
        </w:rPr>
        <w:t>immidaclopriid</w:t>
      </w:r>
      <w:proofErr w:type="spellEnd"/>
      <w:r w:rsidRPr="00E13C4A">
        <w:rPr>
          <w:sz w:val="24"/>
          <w:lang w:val="et-EE"/>
        </w:rPr>
        <w:t xml:space="preserve">, and </w:t>
      </w:r>
      <w:proofErr w:type="spellStart"/>
      <w:r w:rsidRPr="00E13C4A">
        <w:rPr>
          <w:sz w:val="24"/>
          <w:lang w:val="et-EE"/>
        </w:rPr>
        <w:t>clothianidin</w:t>
      </w:r>
      <w:proofErr w:type="spellEnd"/>
      <w:r w:rsidRPr="00E13C4A">
        <w:rPr>
          <w:sz w:val="24"/>
          <w:lang w:val="et-EE"/>
        </w:rPr>
        <w:t xml:space="preserve"> </w:t>
      </w:r>
      <w:proofErr w:type="spellStart"/>
      <w:r w:rsidRPr="00E13C4A">
        <w:rPr>
          <w:sz w:val="24"/>
          <w:lang w:val="et-EE"/>
        </w:rPr>
        <w:t>affect</w:t>
      </w:r>
      <w:proofErr w:type="spellEnd"/>
      <w:r w:rsidRPr="00E13C4A">
        <w:rPr>
          <w:sz w:val="24"/>
          <w:lang w:val="et-EE"/>
        </w:rPr>
        <w:t xml:space="preserve"> </w:t>
      </w:r>
      <w:proofErr w:type="spellStart"/>
      <w:r w:rsidRPr="00E13C4A">
        <w:rPr>
          <w:sz w:val="24"/>
          <w:lang w:val="et-EE"/>
        </w:rPr>
        <w:t>the</w:t>
      </w:r>
      <w:proofErr w:type="spellEnd"/>
      <w:r w:rsidRPr="00E13C4A">
        <w:rPr>
          <w:sz w:val="24"/>
          <w:lang w:val="et-EE"/>
        </w:rPr>
        <w:t xml:space="preserve"> </w:t>
      </w:r>
      <w:proofErr w:type="spellStart"/>
      <w:r w:rsidRPr="00E13C4A">
        <w:rPr>
          <w:sz w:val="24"/>
          <w:lang w:val="et-EE"/>
        </w:rPr>
        <w:t>immunocompetence</w:t>
      </w:r>
      <w:proofErr w:type="spellEnd"/>
      <w:r w:rsidRPr="00E13C4A">
        <w:rPr>
          <w:sz w:val="24"/>
          <w:lang w:val="et-EE"/>
        </w:rPr>
        <w:t xml:space="preserve"> of </w:t>
      </w:r>
      <w:proofErr w:type="spellStart"/>
      <w:r w:rsidRPr="00E13C4A">
        <w:rPr>
          <w:sz w:val="24"/>
          <w:lang w:val="et-EE"/>
        </w:rPr>
        <w:t>honey</w:t>
      </w:r>
      <w:proofErr w:type="spellEnd"/>
      <w:r w:rsidRPr="00E13C4A">
        <w:rPr>
          <w:sz w:val="24"/>
          <w:lang w:val="et-EE"/>
        </w:rPr>
        <w:t xml:space="preserve"> </w:t>
      </w:r>
      <w:proofErr w:type="spellStart"/>
      <w:r w:rsidRPr="00E13C4A">
        <w:rPr>
          <w:sz w:val="24"/>
          <w:lang w:val="et-EE"/>
        </w:rPr>
        <w:t>bees</w:t>
      </w:r>
      <w:proofErr w:type="spellEnd"/>
      <w:r w:rsidRPr="00E13C4A">
        <w:rPr>
          <w:sz w:val="24"/>
          <w:lang w:val="et-EE"/>
        </w:rPr>
        <w:t xml:space="preserve"> (</w:t>
      </w:r>
      <w:proofErr w:type="spellStart"/>
      <w:r w:rsidRPr="00E13C4A">
        <w:rPr>
          <w:i/>
          <w:sz w:val="24"/>
          <w:lang w:val="et-EE"/>
        </w:rPr>
        <w:t>Apis</w:t>
      </w:r>
      <w:proofErr w:type="spellEnd"/>
      <w:r w:rsidRPr="00E13C4A">
        <w:rPr>
          <w:i/>
          <w:sz w:val="24"/>
          <w:lang w:val="et-EE"/>
        </w:rPr>
        <w:t xml:space="preserve"> </w:t>
      </w:r>
      <w:proofErr w:type="spellStart"/>
      <w:r w:rsidRPr="00E13C4A">
        <w:rPr>
          <w:i/>
          <w:sz w:val="24"/>
          <w:lang w:val="et-EE"/>
        </w:rPr>
        <w:t>mellifera</w:t>
      </w:r>
      <w:proofErr w:type="spellEnd"/>
      <w:r w:rsidRPr="00E13C4A">
        <w:rPr>
          <w:sz w:val="24"/>
          <w:lang w:val="et-EE"/>
        </w:rPr>
        <w:t xml:space="preserve"> L.)“ (</w:t>
      </w:r>
      <w:proofErr w:type="spellStart"/>
      <w:r w:rsidRPr="00E13C4A">
        <w:rPr>
          <w:sz w:val="24"/>
          <w:lang w:val="et-EE"/>
        </w:rPr>
        <w:t>Neonikotinoidid</w:t>
      </w:r>
      <w:proofErr w:type="spellEnd"/>
      <w:r w:rsidRPr="00E13C4A">
        <w:rPr>
          <w:sz w:val="24"/>
          <w:lang w:val="et-EE"/>
        </w:rPr>
        <w:t xml:space="preserve"> </w:t>
      </w:r>
      <w:proofErr w:type="spellStart"/>
      <w:r w:rsidRPr="00E13C4A">
        <w:rPr>
          <w:sz w:val="24"/>
          <w:lang w:val="et-EE"/>
        </w:rPr>
        <w:t>tiaklopriid</w:t>
      </w:r>
      <w:proofErr w:type="spellEnd"/>
      <w:r w:rsidRPr="00E13C4A">
        <w:rPr>
          <w:sz w:val="24"/>
          <w:lang w:val="et-EE"/>
        </w:rPr>
        <w:t xml:space="preserve">, </w:t>
      </w:r>
      <w:proofErr w:type="spellStart"/>
      <w:r w:rsidRPr="00E13C4A">
        <w:rPr>
          <w:sz w:val="24"/>
          <w:lang w:val="et-EE"/>
        </w:rPr>
        <w:t>imidaklopriid</w:t>
      </w:r>
      <w:proofErr w:type="spellEnd"/>
      <w:r w:rsidRPr="00E13C4A">
        <w:rPr>
          <w:sz w:val="24"/>
          <w:lang w:val="et-EE"/>
        </w:rPr>
        <w:t xml:space="preserve"> ja </w:t>
      </w:r>
      <w:proofErr w:type="spellStart"/>
      <w:r w:rsidRPr="00E13C4A">
        <w:rPr>
          <w:sz w:val="24"/>
          <w:lang w:val="et-EE"/>
        </w:rPr>
        <w:t>klotianidiin</w:t>
      </w:r>
      <w:proofErr w:type="spellEnd"/>
      <w:r w:rsidRPr="00E13C4A">
        <w:rPr>
          <w:sz w:val="24"/>
          <w:lang w:val="et-EE"/>
        </w:rPr>
        <w:t xml:space="preserve"> mõjutavad mesilaste (</w:t>
      </w:r>
      <w:proofErr w:type="spellStart"/>
      <w:r w:rsidRPr="00E13C4A">
        <w:rPr>
          <w:i/>
          <w:sz w:val="24"/>
          <w:lang w:val="et-EE"/>
        </w:rPr>
        <w:t>Apis</w:t>
      </w:r>
      <w:proofErr w:type="spellEnd"/>
      <w:r w:rsidRPr="00E13C4A">
        <w:rPr>
          <w:i/>
          <w:sz w:val="24"/>
          <w:lang w:val="et-EE"/>
        </w:rPr>
        <w:t xml:space="preserve"> </w:t>
      </w:r>
      <w:proofErr w:type="spellStart"/>
      <w:r w:rsidRPr="00E13C4A">
        <w:rPr>
          <w:i/>
          <w:sz w:val="24"/>
          <w:lang w:val="et-EE"/>
        </w:rPr>
        <w:t>mellifera</w:t>
      </w:r>
      <w:proofErr w:type="spellEnd"/>
      <w:r w:rsidRPr="00E13C4A">
        <w:rPr>
          <w:sz w:val="24"/>
          <w:lang w:val="et-EE"/>
        </w:rPr>
        <w:t xml:space="preserve"> L.) immuunsust), </w:t>
      </w:r>
      <w:proofErr w:type="spellStart"/>
      <w:r w:rsidRPr="00E13C4A">
        <w:rPr>
          <w:sz w:val="24"/>
          <w:lang w:val="et-EE"/>
        </w:rPr>
        <w:t>Journal</w:t>
      </w:r>
      <w:proofErr w:type="spellEnd"/>
      <w:r w:rsidRPr="00E13C4A">
        <w:rPr>
          <w:sz w:val="24"/>
          <w:lang w:val="et-EE"/>
        </w:rPr>
        <w:t xml:space="preserve"> of </w:t>
      </w:r>
      <w:proofErr w:type="spellStart"/>
      <w:r w:rsidRPr="00E13C4A">
        <w:rPr>
          <w:sz w:val="24"/>
          <w:lang w:val="et-EE"/>
        </w:rPr>
        <w:t>Insect</w:t>
      </w:r>
      <w:proofErr w:type="spellEnd"/>
      <w:r w:rsidRPr="00E13C4A">
        <w:rPr>
          <w:sz w:val="24"/>
          <w:lang w:val="et-EE"/>
        </w:rPr>
        <w:t xml:space="preserve"> </w:t>
      </w:r>
      <w:proofErr w:type="spellStart"/>
      <w:r w:rsidRPr="00E13C4A">
        <w:rPr>
          <w:sz w:val="24"/>
          <w:lang w:val="et-EE"/>
        </w:rPr>
        <w:t>Phy</w:t>
      </w:r>
      <w:r w:rsidR="00A856C2">
        <w:rPr>
          <w:sz w:val="24"/>
          <w:lang w:val="et-EE"/>
        </w:rPr>
        <w:t>siology</w:t>
      </w:r>
      <w:proofErr w:type="spellEnd"/>
      <w:r w:rsidR="00A856C2">
        <w:rPr>
          <w:sz w:val="24"/>
          <w:lang w:val="et-EE"/>
        </w:rPr>
        <w:t xml:space="preserve">, 86. </w:t>
      </w:r>
      <w:r w:rsidR="00A856C2">
        <w:rPr>
          <w:sz w:val="24"/>
          <w:lang w:val="et-EE"/>
        </w:rPr>
        <w:t>köide, märts </w:t>
      </w:r>
      <w:r w:rsidRPr="00E13C4A">
        <w:rPr>
          <w:sz w:val="24"/>
          <w:lang w:val="et-EE"/>
        </w:rPr>
        <w:t xml:space="preserve">2016, lk 40–47, </w:t>
      </w:r>
      <w:hyperlink r:id="rId8" w:history="1">
        <w:r w:rsidRPr="00E13C4A">
          <w:rPr>
            <w:rStyle w:val="Hyperlink"/>
            <w:sz w:val="24"/>
            <w:lang w:val="et-EE"/>
          </w:rPr>
          <w:t>https://www.sciencedirect.com/science/article/pii/S0022191016300014</w:t>
        </w:r>
      </w:hyperlink>
      <w:r w:rsidRPr="00E13C4A">
        <w:rPr>
          <w:sz w:val="24"/>
          <w:lang w:val="et-EE"/>
        </w:rPr>
        <w:t>.</w:t>
      </w:r>
    </w:p>
  </w:footnote>
  <w:footnote w:id="22">
    <w:p w:rsidR="00EC1636" w:rsidRPr="00E13C4A" w:rsidRDefault="00EC1636" w:rsidP="00E13C4A">
      <w:pPr>
        <w:pStyle w:val="FootnoteText"/>
        <w:keepNext/>
        <w:ind w:left="567" w:hanging="567"/>
        <w:rPr>
          <w:sz w:val="24"/>
          <w:szCs w:val="22"/>
          <w:lang w:val="et-EE"/>
        </w:rPr>
      </w:pPr>
      <w:r w:rsidRPr="00E13C4A">
        <w:rPr>
          <w:rStyle w:val="FootnoteReference"/>
          <w:sz w:val="24"/>
          <w:szCs w:val="22"/>
          <w:lang w:val="et-EE"/>
        </w:rPr>
        <w:footnoteRef/>
      </w:r>
      <w:r w:rsidR="00E13C4A" w:rsidRPr="00E13C4A">
        <w:rPr>
          <w:sz w:val="24"/>
          <w:lang w:val="et-EE"/>
        </w:rPr>
        <w:t xml:space="preserve"> </w:t>
      </w:r>
      <w:r w:rsidR="00E13C4A" w:rsidRPr="00E13C4A">
        <w:rPr>
          <w:sz w:val="24"/>
          <w:lang w:val="et-EE"/>
        </w:rPr>
        <w:tab/>
      </w:r>
      <w:proofErr w:type="spellStart"/>
      <w:r w:rsidRPr="00E13C4A">
        <w:rPr>
          <w:sz w:val="24"/>
          <w:lang w:val="et-EE"/>
        </w:rPr>
        <w:t>Tison</w:t>
      </w:r>
      <w:proofErr w:type="spellEnd"/>
      <w:r w:rsidRPr="00E13C4A">
        <w:rPr>
          <w:sz w:val="24"/>
          <w:lang w:val="et-EE"/>
        </w:rPr>
        <w:t xml:space="preserve">, L., </w:t>
      </w:r>
      <w:proofErr w:type="spellStart"/>
      <w:r w:rsidRPr="00E13C4A">
        <w:rPr>
          <w:sz w:val="24"/>
          <w:lang w:val="et-EE"/>
        </w:rPr>
        <w:t>Hahn</w:t>
      </w:r>
      <w:proofErr w:type="spellEnd"/>
      <w:r w:rsidRPr="00E13C4A">
        <w:rPr>
          <w:sz w:val="24"/>
          <w:lang w:val="et-EE"/>
        </w:rPr>
        <w:t xml:space="preserve">, M.-L., </w:t>
      </w:r>
      <w:proofErr w:type="spellStart"/>
      <w:r w:rsidRPr="00E13C4A">
        <w:rPr>
          <w:sz w:val="24"/>
          <w:lang w:val="et-EE"/>
        </w:rPr>
        <w:t>Holtz</w:t>
      </w:r>
      <w:proofErr w:type="spellEnd"/>
      <w:r w:rsidRPr="00E13C4A">
        <w:rPr>
          <w:sz w:val="24"/>
          <w:lang w:val="et-EE"/>
        </w:rPr>
        <w:t xml:space="preserve">, S., </w:t>
      </w:r>
      <w:proofErr w:type="spellStart"/>
      <w:r w:rsidRPr="00E13C4A">
        <w:rPr>
          <w:sz w:val="24"/>
          <w:lang w:val="et-EE"/>
        </w:rPr>
        <w:t>Rößner</w:t>
      </w:r>
      <w:proofErr w:type="spellEnd"/>
      <w:r w:rsidRPr="00E13C4A">
        <w:rPr>
          <w:sz w:val="24"/>
          <w:lang w:val="et-EE"/>
        </w:rPr>
        <w:t xml:space="preserve"> A., </w:t>
      </w:r>
      <w:proofErr w:type="spellStart"/>
      <w:r w:rsidRPr="00E13C4A">
        <w:rPr>
          <w:sz w:val="24"/>
          <w:lang w:val="et-EE"/>
        </w:rPr>
        <w:t>Greggers</w:t>
      </w:r>
      <w:proofErr w:type="spellEnd"/>
      <w:r w:rsidRPr="00E13C4A">
        <w:rPr>
          <w:sz w:val="24"/>
          <w:lang w:val="et-EE"/>
        </w:rPr>
        <w:t xml:space="preserve">, U., </w:t>
      </w:r>
      <w:proofErr w:type="spellStart"/>
      <w:r w:rsidRPr="00E13C4A">
        <w:rPr>
          <w:sz w:val="24"/>
          <w:lang w:val="et-EE"/>
        </w:rPr>
        <w:t>Bischoff</w:t>
      </w:r>
      <w:proofErr w:type="spellEnd"/>
      <w:r w:rsidRPr="00E13C4A">
        <w:rPr>
          <w:sz w:val="24"/>
          <w:lang w:val="et-EE"/>
        </w:rPr>
        <w:t xml:space="preserve">, G. </w:t>
      </w:r>
      <w:r w:rsidRPr="00E13C4A">
        <w:rPr>
          <w:sz w:val="24"/>
          <w:lang w:val="et-EE"/>
        </w:rPr>
        <w:t xml:space="preserve">ja </w:t>
      </w:r>
      <w:proofErr w:type="spellStart"/>
      <w:r w:rsidRPr="00E13C4A">
        <w:rPr>
          <w:sz w:val="24"/>
          <w:lang w:val="et-EE"/>
        </w:rPr>
        <w:t>Menzel</w:t>
      </w:r>
      <w:proofErr w:type="spellEnd"/>
      <w:r w:rsidRPr="00E13C4A">
        <w:rPr>
          <w:sz w:val="24"/>
          <w:lang w:val="et-EE"/>
        </w:rPr>
        <w:t>, R., „„</w:t>
      </w:r>
      <w:proofErr w:type="spellStart"/>
      <w:r w:rsidRPr="00E13C4A">
        <w:rPr>
          <w:sz w:val="24"/>
          <w:lang w:val="et-EE"/>
        </w:rPr>
        <w:t>Honey</w:t>
      </w:r>
      <w:proofErr w:type="spellEnd"/>
      <w:r w:rsidRPr="00E13C4A">
        <w:rPr>
          <w:sz w:val="24"/>
          <w:lang w:val="et-EE"/>
        </w:rPr>
        <w:t xml:space="preserve"> </w:t>
      </w:r>
      <w:proofErr w:type="spellStart"/>
      <w:r w:rsidRPr="00E13C4A">
        <w:rPr>
          <w:sz w:val="24"/>
          <w:lang w:val="et-EE"/>
        </w:rPr>
        <w:t>Bees</w:t>
      </w:r>
      <w:proofErr w:type="spellEnd"/>
      <w:r w:rsidRPr="00E13C4A">
        <w:rPr>
          <w:sz w:val="24"/>
          <w:lang w:val="et-EE"/>
        </w:rPr>
        <w:t xml:space="preserve">“ </w:t>
      </w:r>
      <w:proofErr w:type="spellStart"/>
      <w:r w:rsidRPr="00E13C4A">
        <w:rPr>
          <w:sz w:val="24"/>
          <w:lang w:val="et-EE"/>
        </w:rPr>
        <w:t>Behavior</w:t>
      </w:r>
      <w:proofErr w:type="spellEnd"/>
      <w:r w:rsidRPr="00E13C4A">
        <w:rPr>
          <w:sz w:val="24"/>
          <w:lang w:val="et-EE"/>
        </w:rPr>
        <w:t xml:space="preserve"> </w:t>
      </w:r>
      <w:proofErr w:type="spellStart"/>
      <w:r w:rsidRPr="00E13C4A">
        <w:rPr>
          <w:sz w:val="24"/>
          <w:lang w:val="et-EE"/>
        </w:rPr>
        <w:t>Is</w:t>
      </w:r>
      <w:proofErr w:type="spellEnd"/>
      <w:r w:rsidRPr="00E13C4A">
        <w:rPr>
          <w:sz w:val="24"/>
          <w:lang w:val="et-EE"/>
        </w:rPr>
        <w:t xml:space="preserve"> </w:t>
      </w:r>
      <w:proofErr w:type="spellStart"/>
      <w:r w:rsidRPr="00E13C4A">
        <w:rPr>
          <w:sz w:val="24"/>
          <w:lang w:val="et-EE"/>
        </w:rPr>
        <w:t>Impaired</w:t>
      </w:r>
      <w:proofErr w:type="spellEnd"/>
      <w:r w:rsidRPr="00E13C4A">
        <w:rPr>
          <w:sz w:val="24"/>
          <w:lang w:val="et-EE"/>
        </w:rPr>
        <w:t xml:space="preserve"> </w:t>
      </w:r>
      <w:proofErr w:type="spellStart"/>
      <w:r w:rsidRPr="00E13C4A">
        <w:rPr>
          <w:sz w:val="24"/>
          <w:lang w:val="et-EE"/>
        </w:rPr>
        <w:t>by</w:t>
      </w:r>
      <w:proofErr w:type="spellEnd"/>
      <w:r w:rsidRPr="00E13C4A">
        <w:rPr>
          <w:sz w:val="24"/>
          <w:lang w:val="et-EE"/>
        </w:rPr>
        <w:t xml:space="preserve"> </w:t>
      </w:r>
      <w:proofErr w:type="spellStart"/>
      <w:r w:rsidRPr="00E13C4A">
        <w:rPr>
          <w:sz w:val="24"/>
          <w:lang w:val="et-EE"/>
        </w:rPr>
        <w:t>Chronicotinoid</w:t>
      </w:r>
      <w:proofErr w:type="spellEnd"/>
      <w:r w:rsidRPr="00E13C4A">
        <w:rPr>
          <w:sz w:val="24"/>
          <w:lang w:val="et-EE"/>
        </w:rPr>
        <w:t xml:space="preserve"> </w:t>
      </w:r>
      <w:proofErr w:type="spellStart"/>
      <w:r w:rsidRPr="00E13C4A">
        <w:rPr>
          <w:sz w:val="24"/>
          <w:lang w:val="et-EE"/>
        </w:rPr>
        <w:t>Thiacloprid</w:t>
      </w:r>
      <w:proofErr w:type="spellEnd"/>
      <w:r w:rsidRPr="00E13C4A">
        <w:rPr>
          <w:sz w:val="24"/>
          <w:lang w:val="et-EE"/>
        </w:rPr>
        <w:t xml:space="preserve"> in </w:t>
      </w:r>
      <w:proofErr w:type="spellStart"/>
      <w:r w:rsidRPr="00E13C4A">
        <w:rPr>
          <w:sz w:val="24"/>
          <w:lang w:val="et-EE"/>
        </w:rPr>
        <w:t>the</w:t>
      </w:r>
      <w:proofErr w:type="spellEnd"/>
      <w:r w:rsidRPr="00E13C4A">
        <w:rPr>
          <w:sz w:val="24"/>
          <w:lang w:val="et-EE"/>
        </w:rPr>
        <w:t xml:space="preserve"> </w:t>
      </w:r>
      <w:proofErr w:type="spellStart"/>
      <w:r w:rsidRPr="00E13C4A">
        <w:rPr>
          <w:sz w:val="24"/>
          <w:lang w:val="et-EE"/>
        </w:rPr>
        <w:t>Field</w:t>
      </w:r>
      <w:proofErr w:type="spellEnd"/>
      <w:r w:rsidRPr="00E13C4A">
        <w:rPr>
          <w:sz w:val="24"/>
          <w:lang w:val="et-EE"/>
        </w:rPr>
        <w:t xml:space="preserve">“ (Mesilaste käitumist kahjustab krooniline kokkupuude </w:t>
      </w:r>
      <w:proofErr w:type="spellStart"/>
      <w:r w:rsidRPr="00E13C4A">
        <w:rPr>
          <w:sz w:val="24"/>
          <w:lang w:val="et-EE"/>
        </w:rPr>
        <w:t>neonikotinoidi</w:t>
      </w:r>
      <w:proofErr w:type="spellEnd"/>
      <w:r w:rsidRPr="00E13C4A">
        <w:rPr>
          <w:sz w:val="24"/>
          <w:lang w:val="et-EE"/>
        </w:rPr>
        <w:t xml:space="preserve"> </w:t>
      </w:r>
      <w:proofErr w:type="spellStart"/>
      <w:r w:rsidRPr="00E13C4A">
        <w:rPr>
          <w:sz w:val="24"/>
          <w:lang w:val="et-EE"/>
        </w:rPr>
        <w:t>tiaklopriidiga</w:t>
      </w:r>
      <w:proofErr w:type="spellEnd"/>
      <w:r w:rsidRPr="00E13C4A">
        <w:rPr>
          <w:sz w:val="24"/>
          <w:lang w:val="et-EE"/>
        </w:rPr>
        <w:t xml:space="preserve"> looduses), </w:t>
      </w:r>
      <w:proofErr w:type="spellStart"/>
      <w:r w:rsidRPr="00E13C4A">
        <w:rPr>
          <w:sz w:val="24"/>
          <w:lang w:val="et-EE"/>
        </w:rPr>
        <w:t>Environmental</w:t>
      </w:r>
      <w:proofErr w:type="spellEnd"/>
      <w:r w:rsidRPr="00E13C4A">
        <w:rPr>
          <w:sz w:val="24"/>
          <w:lang w:val="et-EE"/>
        </w:rPr>
        <w:t xml:space="preserve"> </w:t>
      </w:r>
      <w:proofErr w:type="spellStart"/>
      <w:r w:rsidRPr="00E13C4A">
        <w:rPr>
          <w:sz w:val="24"/>
          <w:lang w:val="et-EE"/>
        </w:rPr>
        <w:t>Science</w:t>
      </w:r>
      <w:proofErr w:type="spellEnd"/>
      <w:r w:rsidRPr="00E13C4A">
        <w:rPr>
          <w:sz w:val="24"/>
          <w:lang w:val="et-EE"/>
        </w:rPr>
        <w:t xml:space="preserve"> &amp; </w:t>
      </w:r>
      <w:proofErr w:type="spellStart"/>
      <w:r w:rsidRPr="00E13C4A">
        <w:rPr>
          <w:sz w:val="24"/>
          <w:lang w:val="et-EE"/>
        </w:rPr>
        <w:t>Technology</w:t>
      </w:r>
      <w:proofErr w:type="spellEnd"/>
      <w:r w:rsidRPr="00E13C4A">
        <w:rPr>
          <w:sz w:val="24"/>
          <w:lang w:val="et-EE"/>
        </w:rPr>
        <w:t xml:space="preserve"> 2016, 50, 13, 7218–7227, </w:t>
      </w:r>
      <w:hyperlink r:id="rId9" w:history="1">
        <w:r w:rsidRPr="00E13C4A">
          <w:rPr>
            <w:rStyle w:val="Hyperlink"/>
            <w:sz w:val="24"/>
            <w:lang w:val="et-EE"/>
          </w:rPr>
          <w:t>https://pubs.acs.org/doi/full/10.1021/acs.est.6b02658</w:t>
        </w:r>
      </w:hyperlink>
      <w:r w:rsidRPr="00E13C4A">
        <w:rPr>
          <w:sz w:val="24"/>
          <w:lang w:val="et-EE"/>
        </w:rPr>
        <w:t xml:space="preserve">. </w:t>
      </w:r>
    </w:p>
  </w:footnote>
  <w:footnote w:id="23">
    <w:p w:rsidR="00EC1636" w:rsidRPr="00E13C4A" w:rsidRDefault="00EC1636" w:rsidP="00E13C4A">
      <w:pPr>
        <w:pStyle w:val="FootnoteText"/>
        <w:ind w:left="567" w:hanging="567"/>
        <w:rPr>
          <w:iCs/>
          <w:sz w:val="24"/>
          <w:szCs w:val="22"/>
          <w:lang w:val="et-EE"/>
        </w:rPr>
      </w:pPr>
      <w:r w:rsidRPr="00E13C4A">
        <w:rPr>
          <w:iCs/>
          <w:sz w:val="24"/>
          <w:szCs w:val="22"/>
          <w:vertAlign w:val="superscript"/>
          <w:lang w:val="et-EE"/>
        </w:rPr>
        <w:footnoteRef/>
      </w:r>
      <w:r w:rsidR="00E13C4A" w:rsidRPr="00E13C4A">
        <w:rPr>
          <w:sz w:val="24"/>
          <w:lang w:val="et-EE"/>
        </w:rPr>
        <w:t xml:space="preserve"> </w:t>
      </w:r>
      <w:r w:rsidR="00E13C4A" w:rsidRPr="00E13C4A">
        <w:rPr>
          <w:sz w:val="24"/>
          <w:lang w:val="et-EE"/>
        </w:rPr>
        <w:tab/>
      </w:r>
      <w:r w:rsidRPr="00E13C4A">
        <w:rPr>
          <w:sz w:val="24"/>
          <w:lang w:val="et-EE"/>
        </w:rPr>
        <w:t xml:space="preserve">PISA, L., </w:t>
      </w:r>
      <w:proofErr w:type="spellStart"/>
      <w:r w:rsidRPr="00E13C4A">
        <w:rPr>
          <w:sz w:val="24"/>
          <w:lang w:val="et-EE"/>
        </w:rPr>
        <w:t>Goulson</w:t>
      </w:r>
      <w:proofErr w:type="spellEnd"/>
      <w:r w:rsidRPr="00E13C4A">
        <w:rPr>
          <w:sz w:val="24"/>
          <w:lang w:val="et-EE"/>
        </w:rPr>
        <w:t xml:space="preserve">, D., </w:t>
      </w:r>
      <w:proofErr w:type="spellStart"/>
      <w:r w:rsidRPr="00E13C4A">
        <w:rPr>
          <w:sz w:val="24"/>
          <w:lang w:val="et-EE"/>
        </w:rPr>
        <w:t>Yang</w:t>
      </w:r>
      <w:proofErr w:type="spellEnd"/>
      <w:r w:rsidRPr="00E13C4A">
        <w:rPr>
          <w:sz w:val="24"/>
          <w:lang w:val="et-EE"/>
        </w:rPr>
        <w:t>, E.C. jt, „</w:t>
      </w:r>
      <w:proofErr w:type="spellStart"/>
      <w:r w:rsidRPr="00E13C4A">
        <w:rPr>
          <w:sz w:val="24"/>
          <w:lang w:val="et-EE"/>
        </w:rPr>
        <w:t>An</w:t>
      </w:r>
      <w:proofErr w:type="spellEnd"/>
      <w:r w:rsidRPr="00E13C4A">
        <w:rPr>
          <w:sz w:val="24"/>
          <w:lang w:val="et-EE"/>
        </w:rPr>
        <w:t xml:space="preserve"> </w:t>
      </w:r>
      <w:proofErr w:type="spellStart"/>
      <w:r w:rsidRPr="00E13C4A">
        <w:rPr>
          <w:sz w:val="24"/>
          <w:lang w:val="et-EE"/>
        </w:rPr>
        <w:t>update</w:t>
      </w:r>
      <w:proofErr w:type="spellEnd"/>
      <w:r w:rsidRPr="00E13C4A">
        <w:rPr>
          <w:sz w:val="24"/>
          <w:lang w:val="et-EE"/>
        </w:rPr>
        <w:t xml:space="preserve"> of </w:t>
      </w:r>
      <w:proofErr w:type="spellStart"/>
      <w:r w:rsidRPr="00E13C4A">
        <w:rPr>
          <w:sz w:val="24"/>
          <w:lang w:val="et-EE"/>
        </w:rPr>
        <w:t>the</w:t>
      </w:r>
      <w:proofErr w:type="spellEnd"/>
      <w:r w:rsidRPr="00E13C4A">
        <w:rPr>
          <w:sz w:val="24"/>
          <w:lang w:val="et-EE"/>
        </w:rPr>
        <w:t xml:space="preserve"> </w:t>
      </w:r>
      <w:proofErr w:type="spellStart"/>
      <w:r w:rsidRPr="00E13C4A">
        <w:rPr>
          <w:sz w:val="24"/>
          <w:lang w:val="et-EE"/>
        </w:rPr>
        <w:t>Worldwide</w:t>
      </w:r>
      <w:proofErr w:type="spellEnd"/>
      <w:r w:rsidRPr="00E13C4A">
        <w:rPr>
          <w:sz w:val="24"/>
          <w:lang w:val="et-EE"/>
        </w:rPr>
        <w:t xml:space="preserve"> </w:t>
      </w:r>
      <w:proofErr w:type="spellStart"/>
      <w:r w:rsidRPr="00E13C4A">
        <w:rPr>
          <w:sz w:val="24"/>
          <w:lang w:val="et-EE"/>
        </w:rPr>
        <w:t>Integrated</w:t>
      </w:r>
      <w:proofErr w:type="spellEnd"/>
      <w:r w:rsidRPr="00E13C4A">
        <w:rPr>
          <w:sz w:val="24"/>
          <w:lang w:val="et-EE"/>
        </w:rPr>
        <w:t xml:space="preserve"> </w:t>
      </w:r>
      <w:proofErr w:type="spellStart"/>
      <w:r w:rsidRPr="00E13C4A">
        <w:rPr>
          <w:sz w:val="24"/>
          <w:lang w:val="et-EE"/>
        </w:rPr>
        <w:t>Assessment</w:t>
      </w:r>
      <w:proofErr w:type="spellEnd"/>
      <w:r w:rsidRPr="00E13C4A">
        <w:rPr>
          <w:sz w:val="24"/>
          <w:lang w:val="et-EE"/>
        </w:rPr>
        <w:t xml:space="preserve"> (WIA) on </w:t>
      </w:r>
      <w:proofErr w:type="spellStart"/>
      <w:r w:rsidRPr="00E13C4A">
        <w:rPr>
          <w:sz w:val="24"/>
          <w:lang w:val="et-EE"/>
        </w:rPr>
        <w:t>System</w:t>
      </w:r>
      <w:proofErr w:type="spellEnd"/>
      <w:r w:rsidRPr="00E13C4A">
        <w:rPr>
          <w:sz w:val="24"/>
          <w:lang w:val="et-EE"/>
        </w:rPr>
        <w:t xml:space="preserve"> </w:t>
      </w:r>
      <w:proofErr w:type="spellStart"/>
      <w:r w:rsidRPr="00E13C4A">
        <w:rPr>
          <w:sz w:val="24"/>
          <w:lang w:val="et-EE"/>
        </w:rPr>
        <w:t>insecticides</w:t>
      </w:r>
      <w:proofErr w:type="spellEnd"/>
      <w:r w:rsidRPr="00E13C4A">
        <w:rPr>
          <w:sz w:val="24"/>
          <w:lang w:val="et-EE"/>
        </w:rPr>
        <w:t xml:space="preserve">. Part 2: </w:t>
      </w:r>
      <w:proofErr w:type="spellStart"/>
      <w:r w:rsidRPr="00E13C4A">
        <w:rPr>
          <w:sz w:val="24"/>
          <w:lang w:val="et-EE"/>
        </w:rPr>
        <w:t>impacts</w:t>
      </w:r>
      <w:proofErr w:type="spellEnd"/>
      <w:r w:rsidRPr="00E13C4A">
        <w:rPr>
          <w:sz w:val="24"/>
          <w:lang w:val="et-EE"/>
        </w:rPr>
        <w:t xml:space="preserve"> on </w:t>
      </w:r>
      <w:proofErr w:type="spellStart"/>
      <w:r w:rsidRPr="00E13C4A">
        <w:rPr>
          <w:sz w:val="24"/>
          <w:lang w:val="et-EE"/>
        </w:rPr>
        <w:t>organisms</w:t>
      </w:r>
      <w:proofErr w:type="spellEnd"/>
      <w:r w:rsidRPr="00E13C4A">
        <w:rPr>
          <w:sz w:val="24"/>
          <w:lang w:val="et-EE"/>
        </w:rPr>
        <w:t xml:space="preserve"> and </w:t>
      </w:r>
      <w:proofErr w:type="spellStart"/>
      <w:r w:rsidRPr="00E13C4A">
        <w:rPr>
          <w:sz w:val="24"/>
          <w:lang w:val="et-EE"/>
        </w:rPr>
        <w:t>ecosystems</w:t>
      </w:r>
      <w:proofErr w:type="spellEnd"/>
      <w:r w:rsidRPr="00E13C4A">
        <w:rPr>
          <w:sz w:val="24"/>
          <w:lang w:val="et-EE"/>
        </w:rPr>
        <w:t xml:space="preserve">“ (Ülemaailmne integreeritud hinnang (WIA) süsteemsete insektitsiidide kohta. 2. </w:t>
      </w:r>
      <w:r w:rsidRPr="00E13C4A">
        <w:rPr>
          <w:sz w:val="24"/>
          <w:lang w:val="et-EE"/>
        </w:rPr>
        <w:t xml:space="preserve">osa: mõju organismidele ja ökosüsteemidele), </w:t>
      </w:r>
      <w:proofErr w:type="spellStart"/>
      <w:r w:rsidRPr="00E13C4A">
        <w:rPr>
          <w:sz w:val="24"/>
          <w:lang w:val="et-EE"/>
        </w:rPr>
        <w:t>Environmental</w:t>
      </w:r>
      <w:proofErr w:type="spellEnd"/>
      <w:r w:rsidRPr="00E13C4A">
        <w:rPr>
          <w:sz w:val="24"/>
          <w:lang w:val="et-EE"/>
        </w:rPr>
        <w:t xml:space="preserve"> </w:t>
      </w:r>
      <w:proofErr w:type="spellStart"/>
      <w:r w:rsidRPr="00E13C4A">
        <w:rPr>
          <w:sz w:val="24"/>
          <w:lang w:val="et-EE"/>
        </w:rPr>
        <w:t>Science</w:t>
      </w:r>
      <w:proofErr w:type="spellEnd"/>
      <w:r w:rsidRPr="00E13C4A">
        <w:rPr>
          <w:sz w:val="24"/>
          <w:lang w:val="et-EE"/>
        </w:rPr>
        <w:t xml:space="preserve"> and </w:t>
      </w:r>
      <w:proofErr w:type="spellStart"/>
      <w:r w:rsidRPr="00E13C4A">
        <w:rPr>
          <w:sz w:val="24"/>
          <w:lang w:val="et-EE"/>
        </w:rPr>
        <w:t>Pollution</w:t>
      </w:r>
      <w:proofErr w:type="spellEnd"/>
      <w:r w:rsidRPr="00E13C4A">
        <w:rPr>
          <w:sz w:val="24"/>
          <w:lang w:val="et-EE"/>
        </w:rPr>
        <w:t xml:space="preserve"> </w:t>
      </w:r>
      <w:proofErr w:type="spellStart"/>
      <w:r w:rsidRPr="00E13C4A">
        <w:rPr>
          <w:sz w:val="24"/>
          <w:lang w:val="et-EE"/>
        </w:rPr>
        <w:t>Research</w:t>
      </w:r>
      <w:proofErr w:type="spellEnd"/>
      <w:r w:rsidRPr="00E13C4A">
        <w:rPr>
          <w:sz w:val="24"/>
          <w:lang w:val="et-EE"/>
        </w:rPr>
        <w:t xml:space="preserve"> 28, 11749–11797 (2021), </w:t>
      </w:r>
      <w:hyperlink r:id="rId10" w:history="1">
        <w:r w:rsidRPr="00E13C4A">
          <w:rPr>
            <w:rStyle w:val="Hyperlink"/>
            <w:sz w:val="24"/>
            <w:lang w:val="et-EE"/>
          </w:rPr>
          <w:t>https://doi.org/10.1007/s11356-017-0341-3</w:t>
        </w:r>
      </w:hyperlink>
      <w:r w:rsidRPr="00E13C4A">
        <w:rPr>
          <w:sz w:val="24"/>
          <w:lang w:val="et-EE"/>
        </w:rPr>
        <w:t>.</w:t>
      </w:r>
    </w:p>
  </w:footnote>
  <w:footnote w:id="24">
    <w:p w:rsidR="00EC1636" w:rsidRPr="00E13C4A" w:rsidRDefault="00EC1636" w:rsidP="00E13C4A">
      <w:pPr>
        <w:pStyle w:val="FootnoteText"/>
        <w:ind w:left="567" w:hanging="567"/>
        <w:rPr>
          <w:sz w:val="24"/>
          <w:szCs w:val="22"/>
          <w:lang w:val="et-EE"/>
        </w:rPr>
      </w:pPr>
      <w:r w:rsidRPr="00E13C4A">
        <w:rPr>
          <w:rStyle w:val="FootnoteReference"/>
          <w:sz w:val="24"/>
          <w:szCs w:val="22"/>
          <w:lang w:val="et-EE"/>
        </w:rPr>
        <w:footnoteRef/>
      </w:r>
      <w:r w:rsidR="00E13C4A" w:rsidRPr="00E13C4A">
        <w:rPr>
          <w:sz w:val="24"/>
          <w:lang w:val="et-EE"/>
        </w:rPr>
        <w:t xml:space="preserve"> </w:t>
      </w:r>
      <w:r w:rsidR="00E13C4A" w:rsidRPr="00E13C4A">
        <w:rPr>
          <w:sz w:val="24"/>
          <w:lang w:val="et-EE"/>
        </w:rPr>
        <w:tab/>
      </w:r>
      <w:hyperlink r:id="rId11" w:history="1">
        <w:r w:rsidRPr="00E13C4A">
          <w:rPr>
            <w:rStyle w:val="Hyperlink"/>
            <w:sz w:val="24"/>
            <w:lang w:val="et-EE"/>
          </w:rPr>
          <w:t>https://ec.europa.eu/food/plant/pesticides/eu-pesticides-database/start/screen/active-substances/details/841</w:t>
        </w:r>
      </w:hyperlink>
      <w:r w:rsidRPr="00E13C4A">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3C4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3C4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3C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7/2024"/>
    <w:docVar w:name="dvlangue" w:val="ET"/>
    <w:docVar w:name="dvnumam" w:val="0"/>
    <w:docVar w:name="dvpe" w:val="757.277"/>
    <w:docVar w:name="dvtitre" w:val="Euroopa Parlamendi .... 2024. aasta resolutsioon ettepaneku kohta võtta vastu nõukogu määrus, millega muudetakse Euroopa Parlamendi ja nõukogu määruse (EÜ) nr 396/2005 II lisa seoses teatavates toodetes või nende pinnal esinevate tiaklopriidi jääkide piirnormidega(COM(2023)0739 – 2023/3005(RPS))"/>
  </w:docVars>
  <w:rsids>
    <w:rsidRoot w:val="00ED16AA"/>
    <w:rsid w:val="00002272"/>
    <w:rsid w:val="00064002"/>
    <w:rsid w:val="000677B9"/>
    <w:rsid w:val="000831BA"/>
    <w:rsid w:val="000A42CC"/>
    <w:rsid w:val="000E7DD9"/>
    <w:rsid w:val="0010095E"/>
    <w:rsid w:val="00125B37"/>
    <w:rsid w:val="00187494"/>
    <w:rsid w:val="001F32AE"/>
    <w:rsid w:val="002621B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56C2"/>
    <w:rsid w:val="00AA3F3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0AB8"/>
    <w:rsid w:val="00D56C11"/>
    <w:rsid w:val="00D834A0"/>
    <w:rsid w:val="00D872DF"/>
    <w:rsid w:val="00D91E21"/>
    <w:rsid w:val="00DA7FCD"/>
    <w:rsid w:val="00E13C4A"/>
    <w:rsid w:val="00E365E1"/>
    <w:rsid w:val="00E820A4"/>
    <w:rsid w:val="00EB006A"/>
    <w:rsid w:val="00EB4772"/>
    <w:rsid w:val="00EC1636"/>
    <w:rsid w:val="00ED169E"/>
    <w:rsid w:val="00ED16AA"/>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284AB34-DE63-46F8-B4C0-A42C2CD7D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C1636"/>
    <w:pPr>
      <w:spacing w:before="480" w:after="240"/>
    </w:pPr>
  </w:style>
  <w:style w:type="paragraph" w:customStyle="1" w:styleId="NormalHanging12a">
    <w:name w:val="NormalHanging12a"/>
    <w:basedOn w:val="Normal"/>
    <w:rsid w:val="00EC1636"/>
    <w:pPr>
      <w:spacing w:after="240"/>
      <w:ind w:left="567" w:hanging="567"/>
    </w:pPr>
  </w:style>
  <w:style w:type="character" w:styleId="Hyperlink">
    <w:name w:val="Hyperlink"/>
    <w:basedOn w:val="DefaultParagraphFont"/>
    <w:uiPriority w:val="99"/>
    <w:unhideWhenUsed/>
    <w:rsid w:val="00EC1636"/>
    <w:rPr>
      <w:color w:val="0563C1" w:themeColor="hyperlink"/>
      <w:u w:val="single"/>
    </w:rPr>
  </w:style>
  <w:style w:type="paragraph" w:styleId="BalloonText">
    <w:name w:val="Balloon Text"/>
    <w:basedOn w:val="Normal"/>
    <w:link w:val="BalloonTextChar"/>
    <w:rsid w:val="00A856C2"/>
    <w:rPr>
      <w:rFonts w:ascii="Segoe UI" w:hAnsi="Segoe UI" w:cs="Segoe UI"/>
      <w:sz w:val="18"/>
      <w:szCs w:val="18"/>
    </w:rPr>
  </w:style>
  <w:style w:type="character" w:customStyle="1" w:styleId="BalloonTextChar">
    <w:name w:val="Balloon Text Char"/>
    <w:basedOn w:val="DefaultParagraphFont"/>
    <w:link w:val="BalloonText"/>
    <w:rsid w:val="00A856C2"/>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0022191016300014" TargetMode="External"/><Relationship Id="rId3" Type="http://schemas.openxmlformats.org/officeDocument/2006/relationships/hyperlink" Target="https://echa.europa.eu/registry-of-clh-intentions-until-outcome/-/dislist/details/0b0236e180638ff8" TargetMode="External"/><Relationship Id="rId7" Type="http://schemas.openxmlformats.org/officeDocument/2006/relationships/hyperlink" Target="https://pubs.acs.org/doi/10.1021/acs.est.6b04791" TargetMode="External"/><Relationship Id="rId2" Type="http://schemas.openxmlformats.org/officeDocument/2006/relationships/hyperlink" Target="https://doi.org/10.2903/j.efsa.2019.5595" TargetMode="External"/><Relationship Id="rId1" Type="http://schemas.openxmlformats.org/officeDocument/2006/relationships/hyperlink" Target="https://doi.org/10.2903/j.efsa.2023.7888" TargetMode="External"/><Relationship Id="rId6" Type="http://schemas.openxmlformats.org/officeDocument/2006/relationships/hyperlink" Target="https://ec.europa.eu/transparency/comitology-register/screen/documents/090500/1/consult?lang=et" TargetMode="External"/><Relationship Id="rId11" Type="http://schemas.openxmlformats.org/officeDocument/2006/relationships/hyperlink" Target="https://ec.europa.eu/food/plant/pesticides/eu-pesticides-database/start/screen/active-substances/details/841" TargetMode="External"/><Relationship Id="rId5" Type="http://schemas.openxmlformats.org/officeDocument/2006/relationships/hyperlink" Target="https://doi.org/10.1007/s41055-016-0003-z" TargetMode="External"/><Relationship Id="rId10" Type="http://schemas.openxmlformats.org/officeDocument/2006/relationships/hyperlink" Target="https://doi.org/10.1007/s11356-017-0341-3" TargetMode="External"/><Relationship Id="rId4" Type="http://schemas.openxmlformats.org/officeDocument/2006/relationships/hyperlink" Target="https://ec.europa.eu/transparency/comitology-register/screen/documents/092486/1/consult?lang=en" TargetMode="External"/><Relationship Id="rId9" Type="http://schemas.openxmlformats.org/officeDocument/2006/relationships/hyperlink" Target="https://pubs.acs.org/doi/full/10.1021/acs.est.6b026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84F74-07F7-4B48-AC4C-C960ED68C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1918</Words>
  <Characters>13494</Characters>
  <Application>Microsoft Office Word</Application>
  <DocSecurity>0</DocSecurity>
  <Lines>112</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2024-01-17T15:11:00Z</dcterms:created>
  <dcterms:modified xsi:type="dcterms:W3CDTF">2024-01-17T15:11:00Z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B9-0057/2024</vt:lpwstr>
  </property>
  <property fmtid="{D5CDD505-2E9C-101B-9397-08002B2CF9AE}" pid="4" name="&lt;Type&gt;">
    <vt:lpwstr>RR</vt:lpwstr>
  </property>
</Properties>
</file>