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4A9A" w:rsidTr="0010095E">
        <w:trPr>
          <w:trHeight w:hRule="exact" w:val="1418"/>
        </w:trPr>
        <w:tc>
          <w:tcPr>
            <w:tcW w:w="6804" w:type="dxa"/>
            <w:shd w:val="clear" w:color="auto" w:fill="auto"/>
            <w:vAlign w:val="center"/>
          </w:tcPr>
          <w:p w:rsidR="00751A4A" w:rsidRPr="00474A9A" w:rsidRDefault="00F85424" w:rsidP="0010095E">
            <w:pPr>
              <w:pStyle w:val="EPName"/>
            </w:pPr>
            <w:r w:rsidRPr="00474A9A">
              <w:t>Euroopan parlamentti</w:t>
            </w:r>
          </w:p>
          <w:p w:rsidR="00751A4A" w:rsidRPr="00474A9A" w:rsidRDefault="00817416" w:rsidP="00756632">
            <w:pPr>
              <w:pStyle w:val="EPTerm"/>
              <w:rPr>
                <w:rStyle w:val="HideTWBExt"/>
                <w:noProof w:val="0"/>
                <w:vanish w:val="0"/>
                <w:color w:val="auto"/>
              </w:rPr>
            </w:pPr>
            <w:r w:rsidRPr="00474A9A">
              <w:t>2019-2024</w:t>
            </w:r>
          </w:p>
        </w:tc>
        <w:tc>
          <w:tcPr>
            <w:tcW w:w="2268" w:type="dxa"/>
            <w:shd w:val="clear" w:color="auto" w:fill="auto"/>
          </w:tcPr>
          <w:p w:rsidR="00751A4A" w:rsidRPr="00474A9A" w:rsidRDefault="00187494" w:rsidP="0010095E">
            <w:pPr>
              <w:pStyle w:val="EPLogo"/>
            </w:pPr>
            <w:r w:rsidRPr="00474A9A">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4A9A" w:rsidRDefault="00D058B8" w:rsidP="004C5D52">
      <w:pPr>
        <w:pStyle w:val="LineTop"/>
      </w:pPr>
    </w:p>
    <w:p w:rsidR="00680577" w:rsidRPr="00474A9A" w:rsidRDefault="00F85424" w:rsidP="00680577">
      <w:pPr>
        <w:pStyle w:val="EPBodyTA1"/>
      </w:pPr>
      <w:r w:rsidRPr="00474A9A">
        <w:t>HYVÄKSYTYT TEKSTIT</w:t>
      </w:r>
    </w:p>
    <w:p w:rsidR="00D058B8" w:rsidRPr="00474A9A" w:rsidRDefault="00D058B8" w:rsidP="00D058B8">
      <w:pPr>
        <w:pStyle w:val="LineBottom"/>
      </w:pPr>
    </w:p>
    <w:p w:rsidR="00F85424" w:rsidRPr="00474A9A" w:rsidRDefault="00F85424" w:rsidP="00F85424">
      <w:pPr>
        <w:pStyle w:val="ATHeading1"/>
      </w:pPr>
      <w:bookmarkStart w:id="0" w:name="TANumber"/>
      <w:r w:rsidRPr="00474A9A">
        <w:t>P9_TA(2024)00</w:t>
      </w:r>
      <w:r w:rsidR="00E905E7">
        <w:t>16</w:t>
      </w:r>
      <w:bookmarkEnd w:id="0"/>
    </w:p>
    <w:p w:rsidR="00F85424" w:rsidRPr="00474A9A" w:rsidRDefault="00A533DA" w:rsidP="00F85424">
      <w:pPr>
        <w:pStyle w:val="ATHeading2"/>
      </w:pPr>
      <w:bookmarkStart w:id="1" w:name="title"/>
      <w:r w:rsidRPr="00A533DA">
        <w:t>Täytäntöönpanosäädöksen v</w:t>
      </w:r>
      <w:r w:rsidR="00F85424" w:rsidRPr="00A533DA">
        <w:t>astustaminen: tiaklopridin jäämien enimmäismäär</w:t>
      </w:r>
      <w:r w:rsidRPr="00A533DA">
        <w:t>ät</w:t>
      </w:r>
      <w:bookmarkEnd w:id="1"/>
    </w:p>
    <w:p w:rsidR="00F85424" w:rsidRPr="00474A9A" w:rsidRDefault="00F85424" w:rsidP="00F85424">
      <w:pPr>
        <w:rPr>
          <w:i/>
          <w:vanish/>
        </w:rPr>
      </w:pPr>
      <w:r w:rsidRPr="00474A9A">
        <w:rPr>
          <w:i/>
        </w:rPr>
        <w:fldChar w:fldCharType="begin"/>
      </w:r>
      <w:r w:rsidRPr="00474A9A">
        <w:rPr>
          <w:i/>
        </w:rPr>
        <w:instrText xml:space="preserve"> TC"(</w:instrText>
      </w:r>
      <w:bookmarkStart w:id="2" w:name="DocNumber"/>
      <w:r w:rsidRPr="00474A9A">
        <w:rPr>
          <w:i/>
        </w:rPr>
        <w:instrText>B9-0057/2024</w:instrText>
      </w:r>
      <w:bookmarkEnd w:id="2"/>
      <w:r w:rsidRPr="00474A9A">
        <w:rPr>
          <w:i/>
        </w:rPr>
        <w:instrText xml:space="preserve">)"\l3 \n&gt; \* MERGEFORMAT </w:instrText>
      </w:r>
      <w:r w:rsidRPr="00474A9A">
        <w:rPr>
          <w:i/>
        </w:rPr>
        <w:fldChar w:fldCharType="end"/>
      </w:r>
    </w:p>
    <w:p w:rsidR="00F85424" w:rsidRPr="00474A9A" w:rsidRDefault="00F85424" w:rsidP="00F85424">
      <w:pPr>
        <w:rPr>
          <w:vanish/>
        </w:rPr>
      </w:pPr>
      <w:bookmarkStart w:id="3" w:name="PE"/>
      <w:r w:rsidRPr="00474A9A">
        <w:rPr>
          <w:vanish/>
        </w:rPr>
        <w:t>PE757.277</w:t>
      </w:r>
      <w:bookmarkEnd w:id="3"/>
    </w:p>
    <w:p w:rsidR="00F85424" w:rsidRPr="00474A9A" w:rsidRDefault="00F85424" w:rsidP="00F85424">
      <w:pPr>
        <w:pStyle w:val="ATHeading3"/>
      </w:pPr>
      <w:bookmarkStart w:id="4" w:name="Sujet"/>
      <w:r w:rsidRPr="00474A9A">
        <w:t xml:space="preserve">Euroopan parlamentin päätöslauselma 17. tammikuuta 2024 ehdotuksesta neuvoston asetukseksi Euroopan parlamentin ja neuvoston asetuksen (EY) </w:t>
      </w:r>
      <w:proofErr w:type="gramStart"/>
      <w:r w:rsidRPr="00474A9A">
        <w:t>N:o</w:t>
      </w:r>
      <w:proofErr w:type="gramEnd"/>
      <w:r w:rsidRPr="00474A9A">
        <w:t xml:space="preserve"> 396/2005 liitteen II muuttamisesta siltä osin kuin on kyse tiaklopridin jäämien enimmäismääristä tietyissä tuotteissa tai niiden pinnalla</w:t>
      </w:r>
      <w:bookmarkEnd w:id="4"/>
      <w:r w:rsidRPr="00474A9A">
        <w:t xml:space="preserve"> </w:t>
      </w:r>
      <w:bookmarkStart w:id="5" w:name="References"/>
      <w:r w:rsidRPr="00474A9A">
        <w:t>(COM(2023)0739 – 2023/3005(RPS))</w:t>
      </w:r>
      <w:bookmarkEnd w:id="5"/>
    </w:p>
    <w:p w:rsidR="00862F14" w:rsidRPr="00474A9A" w:rsidRDefault="00862F14" w:rsidP="00862F14">
      <w:pPr>
        <w:pStyle w:val="EPComma"/>
        <w:widowControl/>
      </w:pPr>
      <w:bookmarkStart w:id="6" w:name="TextBodyBegin"/>
      <w:bookmarkEnd w:id="6"/>
      <w:r w:rsidRPr="00474A9A">
        <w:rPr>
          <w:i/>
          <w:iCs/>
        </w:rPr>
        <w:t>Euroopan parlamentti</w:t>
      </w:r>
      <w:r w:rsidRPr="00474A9A">
        <w:t>, joka</w:t>
      </w:r>
    </w:p>
    <w:p w:rsidR="00862F14" w:rsidRPr="00474A9A" w:rsidRDefault="00862F14" w:rsidP="00862F14">
      <w:pPr>
        <w:pStyle w:val="NormalHanging12a"/>
        <w:widowControl/>
      </w:pPr>
      <w:r w:rsidRPr="00474A9A">
        <w:t>–</w:t>
      </w:r>
      <w:r w:rsidRPr="00474A9A">
        <w:tab/>
        <w:t xml:space="preserve">ottaa huomioon ehdotuksen neuvoston asetukseksi Euroopan parlamentin ja neuvoston asetuksen (EY) </w:t>
      </w:r>
      <w:proofErr w:type="gramStart"/>
      <w:r w:rsidRPr="00474A9A">
        <w:t>N:o</w:t>
      </w:r>
      <w:proofErr w:type="gramEnd"/>
      <w:r w:rsidRPr="00474A9A">
        <w:t xml:space="preserve"> 396/2005 liitteen II muuttamisesta siltä osin kuin on kyse tiaklopridin jäämien enimmäismääristä tietyissä tuotteissa tai niiden pinnalla (COM(2023)0739),</w:t>
      </w:r>
    </w:p>
    <w:p w:rsidR="00862F14" w:rsidRPr="00474A9A" w:rsidRDefault="00862F14" w:rsidP="00862F14">
      <w:pPr>
        <w:pStyle w:val="NormalHanging12a"/>
        <w:widowControl/>
        <w:rPr>
          <w:szCs w:val="24"/>
        </w:rPr>
      </w:pPr>
      <w:r w:rsidRPr="00474A9A">
        <w:t>–</w:t>
      </w:r>
      <w:r w:rsidRPr="00474A9A">
        <w:tab/>
        <w:t>ottaa huomioon torjunta-ainejäämien enimmäismääristä kasvi- ja eläinperäisissä elintarvikkeissa ja rehuissa tai niiden pinnalla sekä neuvoston direktiivin 91/414/ETY muuttamisesta 23. helmikuuta 2005 annetun Euroopan parlamentin ja neuvoston asetuksen (EY) N:o 396/2005</w:t>
      </w:r>
      <w:r w:rsidRPr="00474A9A">
        <w:rPr>
          <w:rStyle w:val="FootnoteReference"/>
        </w:rPr>
        <w:footnoteReference w:id="1"/>
      </w:r>
      <w:r w:rsidRPr="00474A9A">
        <w:t xml:space="preserve"> ja erityisesti sen 14 artiklan 1 kohdan a alakohdan ja 49 artiklan 2 kohdan, </w:t>
      </w:r>
    </w:p>
    <w:p w:rsidR="00862F14" w:rsidRPr="00474A9A" w:rsidRDefault="00862F14" w:rsidP="00862F14">
      <w:pPr>
        <w:pStyle w:val="NormalHanging12a"/>
        <w:widowControl/>
        <w:rPr>
          <w:szCs w:val="24"/>
        </w:rPr>
      </w:pPr>
      <w:r w:rsidRPr="00474A9A">
        <w:t>–</w:t>
      </w:r>
      <w:r w:rsidRPr="00474A9A">
        <w:tab/>
        <w:t>ottaa huomioon kasvinsuojeluaineiden markkinoille saattamisesta sekä neuvoston direktiivien 79/117/ETY ja 91/414/ETY kumoamisesta 21. lokakuuta 2009 annetun Euroopan parlamentin ja neuvoston asetuksen (EY) N:o 1107/2009</w:t>
      </w:r>
      <w:r w:rsidRPr="00474A9A">
        <w:rPr>
          <w:rStyle w:val="FootnoteReference"/>
          <w:szCs w:val="24"/>
        </w:rPr>
        <w:footnoteReference w:id="2"/>
      </w:r>
      <w:r w:rsidRPr="00474A9A">
        <w:t xml:space="preserve"> ja erityisesti sen 4 artiklan 1 kohdan ja 4 artiklan 2 kohdan ensimmäisen alakohdan a alakohdan sekä liitteessä II olevan 3.6.4 kohdan,</w:t>
      </w:r>
    </w:p>
    <w:p w:rsidR="00862F14" w:rsidRPr="00474A9A" w:rsidRDefault="00862F14" w:rsidP="00862F14">
      <w:pPr>
        <w:pStyle w:val="NormalHanging12a"/>
        <w:widowControl/>
        <w:rPr>
          <w:szCs w:val="24"/>
        </w:rPr>
      </w:pPr>
      <w:r w:rsidRPr="00474A9A">
        <w:t>–</w:t>
      </w:r>
      <w:r w:rsidRPr="00474A9A">
        <w:tab/>
        <w:t>ottaa huomioon elintarvikelainsäädäntöä koskevista yleisistä periaatteista ja vaatimuksista, Euroopan elintarviketurvallisuusviranomaisen perustamisesta sekä elintarvikkeiden turvallisuuteen liittyvistä menettelyistä 28. tammikuuta 2002 annetun Euroopan parlamentin ja neuvoston asetuksen (EY) N:o 178/2002</w:t>
      </w:r>
      <w:r w:rsidRPr="00474A9A">
        <w:rPr>
          <w:rStyle w:val="FootnoteReference"/>
          <w:szCs w:val="24"/>
        </w:rPr>
        <w:footnoteReference w:id="3"/>
      </w:r>
      <w:r w:rsidRPr="00474A9A">
        <w:t xml:space="preserve"> ja erityisesti sen 5 artiklan 1 kohdan,</w:t>
      </w:r>
    </w:p>
    <w:p w:rsidR="00862F14" w:rsidRPr="00474A9A" w:rsidRDefault="00862F14" w:rsidP="00862F14">
      <w:pPr>
        <w:pStyle w:val="NormalHanging12a"/>
        <w:widowControl/>
        <w:rPr>
          <w:szCs w:val="24"/>
        </w:rPr>
      </w:pPr>
      <w:r w:rsidRPr="00474A9A">
        <w:t>–</w:t>
      </w:r>
      <w:r w:rsidRPr="00474A9A">
        <w:tab/>
        <w:t>ottaa huomioon Euroopan unionin toiminnasta tehdyn sopimuksen 11, 13, 168 ja 191 artiklan,</w:t>
      </w:r>
    </w:p>
    <w:p w:rsidR="00862F14" w:rsidRPr="00474A9A" w:rsidRDefault="00862F14" w:rsidP="00862F14">
      <w:pPr>
        <w:pStyle w:val="NormalHanging12a"/>
        <w:widowControl/>
      </w:pPr>
      <w:r w:rsidRPr="00474A9A">
        <w:lastRenderedPageBreak/>
        <w:t>–</w:t>
      </w:r>
      <w:r w:rsidRPr="00474A9A">
        <w:tab/>
        <w:t>ottaa huomioon Euroopan elintarviketurvallisuusviranomaisen (EFSA) 9. helmikuuta 2023 antaman perustellun lausunnon, joka julkaistiin 15. maaliskuuta 2023</w:t>
      </w:r>
      <w:r w:rsidRPr="00474A9A">
        <w:rPr>
          <w:rStyle w:val="FootnoteReference"/>
        </w:rPr>
        <w:footnoteReference w:id="4"/>
      </w:r>
      <w:r w:rsidRPr="00474A9A">
        <w:t>,</w:t>
      </w:r>
    </w:p>
    <w:p w:rsidR="00862F14" w:rsidRPr="00474A9A" w:rsidRDefault="00862F14" w:rsidP="00862F14">
      <w:pPr>
        <w:pStyle w:val="NormalHanging12a"/>
        <w:widowControl/>
        <w:rPr>
          <w:szCs w:val="24"/>
        </w:rPr>
      </w:pPr>
      <w:r w:rsidRPr="00474A9A">
        <w:t>–</w:t>
      </w:r>
      <w:r w:rsidRPr="00474A9A">
        <w:tab/>
        <w:t>ottaa huomioon EFSAn 17. tammikuuta 2019 hyväksymän torjunta-aineisiin liittyvää vertaisarviointia koskevan päätelmän, joka julkaistiin 14. maaliskuuta 2019</w:t>
      </w:r>
      <w:r w:rsidRPr="00474A9A">
        <w:rPr>
          <w:rStyle w:val="FootnoteReference"/>
          <w:szCs w:val="24"/>
        </w:rPr>
        <w:footnoteReference w:id="5"/>
      </w:r>
      <w:r w:rsidRPr="00474A9A">
        <w:t>,</w:t>
      </w:r>
    </w:p>
    <w:p w:rsidR="00862F14" w:rsidRPr="00474A9A" w:rsidRDefault="00862F14" w:rsidP="00862F14">
      <w:pPr>
        <w:pStyle w:val="NormalHanging12a"/>
        <w:widowControl/>
        <w:rPr>
          <w:szCs w:val="24"/>
        </w:rPr>
      </w:pPr>
      <w:r w:rsidRPr="00474A9A">
        <w:t>–</w:t>
      </w:r>
      <w:r w:rsidRPr="00474A9A">
        <w:tab/>
        <w:t>ottaa huomioon Euroopan kemikaaliviraston (ECHA) riskinarviointikomitean (RAC) 12. maaliskuuta 2015 antaman lausunnon</w:t>
      </w:r>
      <w:r w:rsidRPr="00474A9A">
        <w:rPr>
          <w:rStyle w:val="FootnoteReference"/>
          <w:szCs w:val="24"/>
        </w:rPr>
        <w:footnoteReference w:id="6"/>
      </w:r>
      <w:r w:rsidRPr="00474A9A">
        <w:t>,</w:t>
      </w:r>
    </w:p>
    <w:p w:rsidR="00862F14" w:rsidRPr="00474A9A" w:rsidRDefault="00862F14" w:rsidP="00862F14">
      <w:pPr>
        <w:pStyle w:val="NormalHanging12a"/>
        <w:widowControl/>
        <w:rPr>
          <w:szCs w:val="24"/>
        </w:rPr>
      </w:pPr>
      <w:r w:rsidRPr="00474A9A">
        <w:t>–</w:t>
      </w:r>
      <w:r w:rsidRPr="00474A9A">
        <w:tab/>
        <w:t>ottaa huomioon menettelystä komissiolle siirrettyä täytäntöönpanovaltaa käytettäessä 28. kesäkuuta 1999 tehdyn neuvoston päätöksen 1999/468/EY</w:t>
      </w:r>
      <w:r w:rsidRPr="00474A9A">
        <w:rPr>
          <w:rStyle w:val="FootnoteReference"/>
          <w:szCs w:val="24"/>
        </w:rPr>
        <w:footnoteReference w:id="7"/>
      </w:r>
      <w:r w:rsidRPr="00474A9A">
        <w:t xml:space="preserve"> 5a artiklan 4 kohdan e alakohdan ja 5a artiklan 5 kohdan,</w:t>
      </w:r>
    </w:p>
    <w:p w:rsidR="00862F14" w:rsidRPr="00474A9A" w:rsidRDefault="00862F14" w:rsidP="00862F14">
      <w:pPr>
        <w:pStyle w:val="NormalHanging12a"/>
        <w:widowControl/>
      </w:pPr>
      <w:r w:rsidRPr="00474A9A">
        <w:t>–</w:t>
      </w:r>
      <w:r w:rsidRPr="00474A9A">
        <w:tab/>
        <w:t>ottaa huomioon työjärjestyksen 112 artiklan 2 ja 3 kohdan sekä 4 kohdan c alakohdan,</w:t>
      </w:r>
    </w:p>
    <w:p w:rsidR="00862F14" w:rsidRPr="00474A9A" w:rsidRDefault="00862F14" w:rsidP="00862F14">
      <w:pPr>
        <w:pStyle w:val="NormalHanging12a"/>
        <w:widowControl/>
      </w:pPr>
      <w:r w:rsidRPr="00474A9A">
        <w:t>–</w:t>
      </w:r>
      <w:r w:rsidRPr="00474A9A">
        <w:tab/>
        <w:t>ottaa huomioon ympäristön, kansanterveyden ja elintarvikkeiden turvallisuuden valiokunnan päätöslauselmaesityksen,</w:t>
      </w:r>
    </w:p>
    <w:p w:rsidR="00862F14" w:rsidRPr="00474A9A" w:rsidRDefault="00862F14" w:rsidP="00862F14">
      <w:pPr>
        <w:pStyle w:val="NormalHanging12a"/>
        <w:widowControl/>
      </w:pPr>
      <w:r w:rsidRPr="00474A9A">
        <w:t>A.</w:t>
      </w:r>
      <w:r w:rsidRPr="00474A9A">
        <w:tab/>
        <w:t>ottaa huomioon, että tiaklopridi on pääasiassa puuvillaan, siemenhedelmiin, vihanneksiin ja perunoihin käytettävien hyönteismyrkkyjen tehoaine;</w:t>
      </w:r>
    </w:p>
    <w:p w:rsidR="00862F14" w:rsidRPr="00474A9A" w:rsidRDefault="00862F14" w:rsidP="00862F14">
      <w:pPr>
        <w:pStyle w:val="NormalHanging12a"/>
        <w:widowControl/>
      </w:pPr>
      <w:r w:rsidRPr="00474A9A">
        <w:t>B.</w:t>
      </w:r>
      <w:r w:rsidRPr="00474A9A">
        <w:tab/>
        <w:t>ottaa huomioon, että tehoaineen tiaklopridi hyväksynnän voimassaolo päättyi 3. helmikuuta 2020 ja että komission täytäntöönpanoasetuksen (EU) 2020/23</w:t>
      </w:r>
      <w:r w:rsidRPr="00474A9A">
        <w:rPr>
          <w:rStyle w:val="FootnoteReference"/>
        </w:rPr>
        <w:footnoteReference w:id="8"/>
      </w:r>
      <w:r w:rsidRPr="00474A9A">
        <w:t xml:space="preserve"> mukaisesti hyväksyntää ei uusittu; ottaa huomioon, että tiaklopridia sisältäviä kasvinsuojeluaineita koskeva siirtymäaika päättyi 3. helmikuuta 2021;</w:t>
      </w:r>
    </w:p>
    <w:p w:rsidR="00862F14" w:rsidRPr="00474A9A" w:rsidRDefault="00862F14" w:rsidP="00862F14">
      <w:pPr>
        <w:pStyle w:val="NormalHanging12a"/>
        <w:widowControl/>
      </w:pPr>
      <w:r w:rsidRPr="00474A9A">
        <w:t>C.</w:t>
      </w:r>
      <w:r w:rsidRPr="00474A9A">
        <w:tab/>
        <w:t>ottaa huomioon, että tehoaineen tiaklopridi hyväksyntää ei uusittu, koska asetuksen (EY) N:o 1107/2009 4 artiklassa säädettyjen hyväksymiskriteerien täyttymistä ei voitu osoittaa vähintään yhden kasvinsuojeluaineen yhden tai useamman edustavan käyttötarkoituksen osalta; ottaa huomioon, että EFSA yksilöi erityisesti kaksi kriittistä huolenaihetta; ottaa huomioon, että ensimmäinen kriittinen huolenaihe liittyi viitteisiin pohjaveden saastumisesta useilla merkityksellisillä tiaklopridin metaboliiteilla, joiden karsinogeenisuutta ei voitu sulkea pois, (M30, M34 ja M46) yli juomavedelle asetetun parametriarvon 0,1 μg/l kaikkien edustavien käyttötarkoitusten osalta</w:t>
      </w:r>
      <w:r w:rsidRPr="00474A9A">
        <w:rPr>
          <w:rStyle w:val="FootnoteReference"/>
        </w:rPr>
        <w:footnoteReference w:id="9"/>
      </w:r>
      <w:r w:rsidRPr="00474A9A">
        <w:t>; ottaa huomioon, että toinen kriittinen huolenaihe liittyi ECHAn tiaklopridille antamaan yhdenmukaistettuun luokitukseen, jonka mukaan sen oletetaan heikentävän hedelmällisyyttä ja vaurioittavan sikiötä (lisääntymiselle vaarallinen, kategoria 1B) Euroopan parlamentin ja neuvoston asetuksen (EY) N:o 1272/2008</w:t>
      </w:r>
      <w:r w:rsidRPr="00474A9A">
        <w:rPr>
          <w:rStyle w:val="FootnoteReference"/>
        </w:rPr>
        <w:footnoteReference w:id="10"/>
      </w:r>
      <w:r w:rsidRPr="00474A9A">
        <w:t xml:space="preserve"> mukaisesti, minkä vuoksi tiaklopridi on ”poissuljettava aine” asetuksen (EY) N:o 1107/2009 4 artiklan 1 kohdan mukaisesti; </w:t>
      </w:r>
    </w:p>
    <w:p w:rsidR="00862F14" w:rsidRPr="00474A9A" w:rsidRDefault="00862F14" w:rsidP="00862F14">
      <w:pPr>
        <w:pStyle w:val="NormalHanging12a"/>
        <w:widowControl/>
      </w:pPr>
      <w:r w:rsidRPr="00474A9A">
        <w:t>D.</w:t>
      </w:r>
      <w:r w:rsidRPr="00474A9A">
        <w:tab/>
        <w:t>panee merkille EFSAn todenneen myös, että mehiläisille ja muille kuin kohdelajina oleville maakasveille aiheutuvien riskien arviointia ei voitu saattaa päätökseen;</w:t>
      </w:r>
    </w:p>
    <w:p w:rsidR="00862F14" w:rsidRPr="00474A9A" w:rsidRDefault="00862F14" w:rsidP="00862F14">
      <w:pPr>
        <w:pStyle w:val="NormalHanging12a"/>
        <w:widowControl/>
      </w:pPr>
      <w:r w:rsidRPr="00474A9A">
        <w:t>E.</w:t>
      </w:r>
      <w:r w:rsidRPr="00474A9A">
        <w:tab/>
        <w:t xml:space="preserve">ottaa huomioon, että tiaklopridi on lisäksi luokiteltu asetuksen (EY) </w:t>
      </w:r>
      <w:proofErr w:type="gramStart"/>
      <w:r w:rsidRPr="00474A9A">
        <w:t>N:o</w:t>
      </w:r>
      <w:proofErr w:type="gramEnd"/>
      <w:r w:rsidRPr="00474A9A">
        <w:t xml:space="preserve"> 1272/2008 mukaisesti aineeksi, jonka epäillään aiheuttavan syöpää (kategoria 2), vesieliöille erittäin myrkylliseksi aineeksi (välittömän vaaran kategoria 1) ja vesieliöille erittäin myrkylliseksi ja pitkäaikaisia haittavaikutuksia omaavaksi aineeksi (kroonisen vaaran kategoria 1);</w:t>
      </w:r>
    </w:p>
    <w:p w:rsidR="00862F14" w:rsidRPr="00474A9A" w:rsidRDefault="00862F14" w:rsidP="00862F14">
      <w:pPr>
        <w:pStyle w:val="NormalHanging12a"/>
        <w:widowControl/>
      </w:pPr>
      <w:r w:rsidRPr="00474A9A">
        <w:t>F.</w:t>
      </w:r>
      <w:r w:rsidRPr="00474A9A">
        <w:tab/>
        <w:t xml:space="preserve">ottaa huomioon, että pysyvä kasvi-, eläin-, elintarvike- ja rehukomitea (PAFF-komitea) ei ole antanut lausuntoa ehdotuksesta neuvoston asetukseksi; ottaa huomioon, että PAFF-komitean kokouksessa 18.–19. syyskuuta 2023 ”kahdeksan jäsenvaltiota ei kannattanut asetusesitystä. Kuusi niistä ilmaisi ennen kaikkea huolensa CXL-arvojen ja tuonnissa sallittujen enimmäismäärien säilyttämisestä tämän aineen osalta, jota ei ole hyväksytty ja joka täyttää asetuksen (EY) </w:t>
      </w:r>
      <w:proofErr w:type="gramStart"/>
      <w:r w:rsidRPr="00474A9A">
        <w:t>N:o</w:t>
      </w:r>
      <w:proofErr w:type="gramEnd"/>
      <w:r w:rsidRPr="00474A9A">
        <w:t xml:space="preserve"> 1107/2009 mukaiset poissulkemisperusteet (lisääntymiselle vaarallinen). Lisäksi yksi jäsenvaltio, joka ei kannattanut asetusesitystä, ilmaisi huolensa siitä, että EFSA oli ilmoittanut akuutin altistumisen viiteannoksen ylittyneen joidenkin tuotteiden tapauksessa tietyissä epätyypillisissä olosuhteissa, ja toinen jäsenvaltio viittasi EU:n viljelijöiden syrjintään, sillä he eivät saisi enää käyttää kyseistä tehoainetta sisältäviä kasvinsuojeluaineita, vaikka kolmansien maiden viljelijät voisivat edelleen tehdä niin, mikä johtaisi epäreiluun kilpailuun”</w:t>
      </w:r>
      <w:r w:rsidRPr="00474A9A">
        <w:rPr>
          <w:rStyle w:val="FootnoteReference"/>
        </w:rPr>
        <w:footnoteReference w:id="11"/>
      </w:r>
      <w:r w:rsidRPr="00474A9A">
        <w:t>;</w:t>
      </w:r>
    </w:p>
    <w:p w:rsidR="00862F14" w:rsidRPr="00474A9A" w:rsidRDefault="00862F14" w:rsidP="00862F14">
      <w:pPr>
        <w:pStyle w:val="NormalHanging12a"/>
        <w:widowControl/>
      </w:pPr>
      <w:r w:rsidRPr="00474A9A">
        <w:t>G.</w:t>
      </w:r>
      <w:r w:rsidRPr="00474A9A">
        <w:tab/>
        <w:t xml:space="preserve">panee merkille Saksan pyytäneen, että 18.–19. syyskuuta 2023 pidetyn PAFF-komitean kokouksen yhteenvetoraporttiin sisällytettäisiin seuraava lausuma: ”Tiaklopridi on asetuksen (EY) </w:t>
      </w:r>
      <w:proofErr w:type="gramStart"/>
      <w:r w:rsidRPr="00474A9A">
        <w:t>N:o</w:t>
      </w:r>
      <w:proofErr w:type="gramEnd"/>
      <w:r w:rsidRPr="00474A9A">
        <w:t xml:space="preserve"> 1107/2009 mukaisesti poissuljettava tehoaine. Tehoaineen hyväksynnän uusintamenettelyn aikana todettiin, että se täyttää poissulkemisperusteet, koska se on luokiteltu kategoriaan 1B kuuluvaksi lisääntymiselle vaaralliseksi aineeksi. Näin ollen tehoaineen hyväksyntää ei uusittu. Saksa ei yleensä kannata [jäämien enimmäismäärien (MRL)] vahvistamista tehoaineille, joita ei ole hyväksytty EU:ssa terveyteen liittyvien huolenaiheiden vuoksi. Ratkaisevaa on, että poissulkemisperusteet on vahvistettu tehoaineen hyväksyntää (hyväksynnän uusimista) koskevan menettelyn yhteydessä asetuksen (EY) N:o 1107/2009 mukaisesti.”</w:t>
      </w:r>
      <w:r w:rsidRPr="00474A9A">
        <w:rPr>
          <w:rStyle w:val="FootnoteReference"/>
        </w:rPr>
        <w:footnoteReference w:id="12"/>
      </w:r>
      <w:r w:rsidRPr="00474A9A">
        <w:t>;</w:t>
      </w:r>
    </w:p>
    <w:p w:rsidR="00862F14" w:rsidRPr="00474A9A" w:rsidRDefault="00862F14" w:rsidP="00862F14">
      <w:pPr>
        <w:pStyle w:val="NormalHanging12a"/>
        <w:widowControl/>
      </w:pPr>
      <w:r w:rsidRPr="00474A9A">
        <w:t>H.</w:t>
      </w:r>
      <w:r w:rsidRPr="00474A9A">
        <w:tab/>
        <w:t xml:space="preserve">pitää sen vuoksi aiheellisena poistaa tiaklopridille asetuksen (EY) </w:t>
      </w:r>
      <w:proofErr w:type="gramStart"/>
      <w:r w:rsidRPr="00474A9A">
        <w:t>N:o</w:t>
      </w:r>
      <w:proofErr w:type="gramEnd"/>
      <w:r w:rsidRPr="00474A9A">
        <w:t xml:space="preserve"> 396/2005 liitteessä II vahvistetut voimassa olevat jäämien enimmäismäärät </w:t>
      </w:r>
      <w:r w:rsidR="000149CF">
        <w:t xml:space="preserve">mainitun </w:t>
      </w:r>
      <w:r w:rsidRPr="00474A9A">
        <w:t xml:space="preserve">asetuksen 17 artiklan mukaisesti luettuna yhdessä </w:t>
      </w:r>
      <w:r w:rsidR="000149CF">
        <w:t>sen</w:t>
      </w:r>
      <w:r w:rsidRPr="00474A9A">
        <w:t xml:space="preserve"> 14 artiklan 1 kohdan a alakohdan kanssa;</w:t>
      </w:r>
    </w:p>
    <w:p w:rsidR="00862F14" w:rsidRPr="00474A9A" w:rsidRDefault="00862F14" w:rsidP="00862F14">
      <w:pPr>
        <w:pStyle w:val="NormalHanging12a"/>
        <w:widowControl/>
      </w:pPr>
      <w:r w:rsidRPr="00474A9A">
        <w:t>I.</w:t>
      </w:r>
      <w:r w:rsidRPr="00474A9A">
        <w:tab/>
        <w:t>ottaa huomioon, että ehdotuksessa neuvoston asetukseksi komissio kuitenkin ehdottaa EFSAn perustellun lausunnon perusteella, että tiaklopridin jäämien enimmäismäärät säilytetään määritysrajan yläpuolella tuontitarkoituksia varten yli 30 tuotteen tapauksessa</w:t>
      </w:r>
      <w:r w:rsidRPr="00474A9A">
        <w:rPr>
          <w:rStyle w:val="FootnoteReference"/>
        </w:rPr>
        <w:footnoteReference w:id="13"/>
      </w:r>
      <w:r w:rsidRPr="00474A9A">
        <w:t>;</w:t>
      </w:r>
    </w:p>
    <w:p w:rsidR="00862F14" w:rsidRPr="00474A9A" w:rsidRDefault="00862F14" w:rsidP="00862F14">
      <w:pPr>
        <w:pStyle w:val="NormalHanging12a"/>
        <w:widowControl/>
      </w:pPr>
      <w:r w:rsidRPr="00474A9A">
        <w:t>J.</w:t>
      </w:r>
      <w:r w:rsidRPr="00474A9A">
        <w:tab/>
        <w:t>ottaa huomioon, että käyttötarkoituksiin, joissa määritysrajan yläpuolella olevat jäämien enimmäismäärät katsotaan turvallisiksi, kuuluu tiaklopridin käyttö papaijoissa, teessä, pähkinöissä, kvitteneissä, mispeleissä, lokvateissa/japaninmispeleissä, aprikooseissa, kirsikoissa, luumuissa, mansikoissa, karhunvatukoissa, sinivatukoissa, muissa pienissä hedelmissä ja marjoissa, kiiveissä, perunoissa, tomaateissa, munakoisoissa, meloneissa, vesimeloneissa, riisissä, vehnässä, eläinten (siat, naudat, lampaat, hevoset, siipikarja ja muut tuotantoeläimet) kudoksista (lihas, maksa, munuaiset ja muut syötävät eläimenosat) saatavissa eläintuotteissa, maidossa ja munissa, vadelmissa, kurkuissa, kesäkurpitsoissa, rapsinsiemenissä, sinapinsiemenissä ja puuvillansiemenissä; ottaa huomioon, että kyseisiä käyttötarkoituksia varten ehdotetut jäämien enimmäismäärät vaihtelevat kaksikertaisesta määritysrajasta tuhatkertaiseen määritysrajaan (käyttö teessä);</w:t>
      </w:r>
    </w:p>
    <w:p w:rsidR="00862F14" w:rsidRPr="00474A9A" w:rsidRDefault="00862F14" w:rsidP="00862F14">
      <w:pPr>
        <w:pStyle w:val="NormalHanging12a"/>
        <w:widowControl/>
      </w:pPr>
      <w:r w:rsidRPr="00474A9A">
        <w:t>K.</w:t>
      </w:r>
      <w:r w:rsidRPr="00474A9A">
        <w:tab/>
        <w:t xml:space="preserve">ottaa huomioon, että tuonnissa sallittuja enimmäismääriä koskevat pyynnöt sen sijaan hylättiin vain kahden käyttötarkoituksen osalta (persikat ja paprikat), koska akuutin altistumisen viiteannoksen ylittymistä ei voida sulkea pois, minkä vuoksi komissio ehdotti tiaklopridin jäämien enimmäismäärien alentamista määritysrajan tasolle ainoastaan näiden käyttötarkoitusten osalta; </w:t>
      </w:r>
    </w:p>
    <w:p w:rsidR="00862F14" w:rsidRPr="00474A9A" w:rsidRDefault="00862F14" w:rsidP="00862F14">
      <w:pPr>
        <w:pStyle w:val="NormalHanging12a"/>
        <w:widowControl/>
      </w:pPr>
      <w:r w:rsidRPr="00474A9A">
        <w:t>L.</w:t>
      </w:r>
      <w:r w:rsidRPr="00474A9A">
        <w:tab/>
        <w:t xml:space="preserve">ottaa huomioon, että asetuksen (EY) </w:t>
      </w:r>
      <w:proofErr w:type="gramStart"/>
      <w:r w:rsidRPr="00474A9A">
        <w:t>N:o</w:t>
      </w:r>
      <w:proofErr w:type="gramEnd"/>
      <w:r w:rsidRPr="00474A9A">
        <w:t xml:space="preserve"> 396/2005 johdanto-osan 5 kappaleessa todetaan, että tällaisia jäämiä ei pidä olla määrinä, joista aiheutuu kohtuuton riski ihmisille </w:t>
      </w:r>
      <w:r w:rsidR="000149CF">
        <w:t>tai tapauksen mukaan eläimille;</w:t>
      </w:r>
    </w:p>
    <w:p w:rsidR="00862F14" w:rsidRPr="00474A9A" w:rsidRDefault="00862F14" w:rsidP="00862F14">
      <w:pPr>
        <w:pStyle w:val="NormalHanging12a"/>
        <w:widowControl/>
      </w:pPr>
      <w:r w:rsidRPr="00474A9A">
        <w:t>M.</w:t>
      </w:r>
      <w:r w:rsidRPr="00474A9A">
        <w:tab/>
        <w:t xml:space="preserve">ottaa huomioon, että asetuksen (EY) N:o 1107/2009 4 artiklan 2 kohdan a alakohdassa säädetään, että kasvinsuojeluaineiden jäämillä ei saa olla haitallisia vaikutuksia ihmisten terveyteen, herkät väestöryhmät mukaan luettuina, tai eläinten terveyteen, ottaen huomioon tunnetut kumulatiiviset ja yhteisvaikutukset; ottaa huomioon, että mainitun asetuksen liitteessä II olevassa 3.6.4 kohdan mukaan tehoainetta, joka on luokiteltu asetuksen (EY) N:o 1272/2008 mukaisesti kategoriaan 1A tai 1B kuuluvaksi lisääntymiselle vaaralliseksi aineeksi, ei hyväksytä, paitsi jos ”kyseisen tehoaineen[...] jäämät elintarvikkeissa ja rehuissa eivät ylitä asetuksen </w:t>
      </w:r>
      <w:r w:rsidR="000149CF">
        <w:t>(EY) N:o 396/2005 18 artiklan 1 </w:t>
      </w:r>
      <w:r w:rsidRPr="00474A9A">
        <w:t>kohdan b alakohdan mukaisesti vahvistettua oletusarvoa”; ottaa huomioon, että asetuksen (EY) N:o 396/2005 18 artiklan 1 kohdan b alakohdassa vahvistetaan oletusarvoksi 0,01 mg/kg;</w:t>
      </w:r>
    </w:p>
    <w:p w:rsidR="00862F14" w:rsidRPr="00474A9A" w:rsidRDefault="00862F14" w:rsidP="00862F14">
      <w:pPr>
        <w:pStyle w:val="NormalHanging12a"/>
        <w:widowControl/>
      </w:pPr>
      <w:r w:rsidRPr="00474A9A">
        <w:t>N.</w:t>
      </w:r>
      <w:r w:rsidRPr="00474A9A">
        <w:tab/>
        <w:t>ottaa huomioon, että asetuksen (EY) N:o 396/2005 3 artiklan 2 kohdan g alakohdan mukaan tuonnissa sallittavalla enimmäismäärällä tarkoitetaan tuontituotteissa esiintyvien jäämien enimmäismäärää, jos ”kasvinsuojeluaineen sisältämän tehoaineen käyttö tietyssä tuotteessa ei ole sallittua yhteisössä muista kuin kansanterveyteen liittyvistä syistä määrätyn tuotteen ja käytön osalta”; toteaa, että tiaklopridi ei täytä näitä vaatimuksia, koska se on kielletty terveyssyistä siksi, että se on luokiteltu kategoriaan 1B kuuluvaksi lisääntymiselle vaaralliseksi aineeksi;</w:t>
      </w:r>
    </w:p>
    <w:p w:rsidR="00862F14" w:rsidRPr="00474A9A" w:rsidRDefault="00862F14" w:rsidP="00862F14">
      <w:pPr>
        <w:pStyle w:val="NormalHanging12a"/>
        <w:widowControl/>
      </w:pPr>
      <w:r w:rsidRPr="00474A9A">
        <w:t>O.</w:t>
      </w:r>
      <w:r w:rsidRPr="00474A9A">
        <w:tab/>
        <w:t xml:space="preserve">ottaa huomioon, että asetuksen (EY) </w:t>
      </w:r>
      <w:proofErr w:type="gramStart"/>
      <w:r w:rsidRPr="00474A9A">
        <w:t>N:o</w:t>
      </w:r>
      <w:proofErr w:type="gramEnd"/>
      <w:r w:rsidRPr="00474A9A">
        <w:t xml:space="preserve"> 178/2002 5 artiklan 1 kohdan mukaisesti elintarvikelainsäädännöllä on pyrittävä yhteen tai useampaan ihmisten elämän ja terveyden suojelun korkeaan tasoon liittyvään yleiseen tavoitteeseen ja kuluttajien etujen suojeluun, mukaan lukien elintarvikekaupan rehelliset menettelytavat, ottaen huomioon tarpeen mukaan eläinten terveyden ja hyvinvoinnin suojelu, kasvien terveys ja ympäristönsuojelu;</w:t>
      </w:r>
    </w:p>
    <w:p w:rsidR="00862F14" w:rsidRPr="00474A9A" w:rsidRDefault="00862F14" w:rsidP="00862F14">
      <w:pPr>
        <w:pStyle w:val="NormalHanging12a"/>
        <w:widowControl/>
      </w:pPr>
      <w:r w:rsidRPr="00474A9A">
        <w:t>P.</w:t>
      </w:r>
      <w:r w:rsidRPr="00474A9A">
        <w:tab/>
        <w:t>ottaa huomioon, että nykyinen pölyttäjäkriisi on yksi suurimmista biologiseen monimuotoisuuteen sekä maailmanlaajuiseen ja paikalliseen elintarviketurvaan kohdistuvista uhkista; ottaa huomioon, että kriisi voi pahentaa piilonälän aiheuttamia ongelmia, heikentää ekosysteemien kestävyyttä ja horjuttaa elinehtojamme ylläpitävien ekosysteemien tasapainoa</w:t>
      </w:r>
      <w:r w:rsidRPr="00474A9A">
        <w:rPr>
          <w:rStyle w:val="FootnoteReference"/>
        </w:rPr>
        <w:footnoteReference w:id="14"/>
      </w:r>
      <w:r w:rsidRPr="00474A9A">
        <w:t>;</w:t>
      </w:r>
    </w:p>
    <w:p w:rsidR="00862F14" w:rsidRPr="00474A9A" w:rsidRDefault="00862F14" w:rsidP="00862F14">
      <w:pPr>
        <w:pStyle w:val="NormalHanging12a"/>
        <w:widowControl/>
      </w:pPr>
      <w:r w:rsidRPr="00474A9A">
        <w:t>Q.</w:t>
      </w:r>
      <w:r w:rsidRPr="00474A9A">
        <w:tab/>
        <w:t>ottaa huomioon, että komissio ilmoitti 20. toukokuuta 2020 antamassaan tiedonannossa ”Pellolta pöytään -strategia oikeudenmukaista, terveyttä edistävää ja ympäristöä säästävää elintarvikejärjestelmää varten”</w:t>
      </w:r>
      <w:r w:rsidRPr="00474A9A">
        <w:rPr>
          <w:rStyle w:val="FootnoteReference"/>
        </w:rPr>
        <w:footnoteReference w:id="15"/>
      </w:r>
      <w:r w:rsidRPr="00474A9A">
        <w:t>, että ”EU tukee maailmanlaajuista siirtymistä kestäviin maatalouselintarvikejärjestelmiin tämän strategian tavoitteiden ja kestävän kehityksen tavoitteiden mukaisesti” ja että ”EU:lla voi olla keskeinen rooli maailmanlaajuisten standardien asettamisessa tämän strategian avulla”; ottaa huomioon, että komissio totesi strategiassa nimenomaisesti, että ”kestävämpi EU:n elintarvikejärjestelmä edellyttää myös, että EU:n kauppakumppanit noudattavat yhä kestävämpiä käytäntöjä. Edistääkseen asteittaista siirtymistä turvallisempien kasvinsuojeluaineiden käyttöön EU harkitsee WTO:n sääntöjä noudattaen ja riskinarvioinnin jälkeen tuonnin sallittujen määrien tarkistamista sellaisten aineiden osalta, jotka täyttävät ”poissulkemiskriteerit” ja aiheuttavat suuren riskin ihmisten terveydelle”;</w:t>
      </w:r>
    </w:p>
    <w:p w:rsidR="00862F14" w:rsidRPr="00474A9A" w:rsidRDefault="00862F14" w:rsidP="00862F14">
      <w:pPr>
        <w:pStyle w:val="NormalHanging12a"/>
        <w:widowControl/>
      </w:pPr>
      <w:r w:rsidRPr="00474A9A">
        <w:t>R.</w:t>
      </w:r>
      <w:r w:rsidRPr="00474A9A">
        <w:tab/>
        <w:t>ottaa huomioon, että komissio alensi vuonna 2022</w:t>
      </w:r>
      <w:r w:rsidRPr="00474A9A">
        <w:rPr>
          <w:rStyle w:val="FootnoteReference"/>
        </w:rPr>
        <w:footnoteReference w:id="16"/>
      </w:r>
      <w:r w:rsidRPr="00474A9A">
        <w:t xml:space="preserve"> jäämien enimmäismääriä kahden pölyttäjille suuren riskin aiheuttavan neonikotinoidin osalta alimmalle uusimmalla tekniikalla mitattavissa olevalle tasolle niin, että tuontituotteet eivät enää saa sisältää klotianid</w:t>
      </w:r>
      <w:r w:rsidR="000149CF">
        <w:t>iinin ja tiametoksaamin jäämiä;</w:t>
      </w:r>
    </w:p>
    <w:p w:rsidR="00862F14" w:rsidRPr="00474A9A" w:rsidRDefault="00862F14" w:rsidP="00862F14">
      <w:pPr>
        <w:pStyle w:val="NormalHanging12a"/>
        <w:widowControl/>
      </w:pPr>
      <w:r w:rsidRPr="00474A9A">
        <w:t>S.</w:t>
      </w:r>
      <w:r w:rsidRPr="00474A9A">
        <w:tab/>
        <w:t xml:space="preserve">ottaa huomioon komission todenneen tässä yhteydessä, että ”kun otetaan huomioon kaikki tarkasteltavana olevan asian kannalta merkitykselliset tekijät asetuksen 14 artiklan 2 kohdan mukaisesti, luettuna yhdessä Euroopan unionin toiminnasta tehdyn sopimuksen 11 artiklan kanssa, jossa edellytetään, että ”ympäristönsuojelua koskevat vaatimukset on sisällytettävä unionin politiikan ja toiminnan määrittelyyn ja täytäntöönpanoon, erityisesti kestävän kehityksen edistämiseksi”, kaikki asetuksessa (EY) N:o 396/2005 vahvistetut </w:t>
      </w:r>
      <w:bookmarkStart w:id="7" w:name="_GoBack"/>
      <w:bookmarkEnd w:id="7"/>
      <w:r w:rsidRPr="00474A9A">
        <w:t>klotianidiinin ja/tai tiametoksaamin nykyiset jäämien enimmäismäärät olisi alennettava määritysrajan tasolle”</w:t>
      </w:r>
      <w:r w:rsidRPr="00474A9A">
        <w:rPr>
          <w:rStyle w:val="FootnoteReference"/>
        </w:rPr>
        <w:footnoteReference w:id="17"/>
      </w:r>
      <w:r w:rsidRPr="00474A9A">
        <w:t>;</w:t>
      </w:r>
    </w:p>
    <w:p w:rsidR="00862F14" w:rsidRPr="00474A9A" w:rsidRDefault="00862F14" w:rsidP="00862F14">
      <w:pPr>
        <w:pStyle w:val="NormalHanging12a"/>
        <w:widowControl/>
      </w:pPr>
      <w:r w:rsidRPr="00474A9A">
        <w:t>T.</w:t>
      </w:r>
      <w:r w:rsidRPr="00474A9A">
        <w:tab/>
        <w:t>ottaa huomioon, että 10.–11. toukokuuta 2023 pidetyssä PAFF-komitean kokouksessa komissio muistutti, että tiaklopridi kuuluu tehoaineena neonikotinoidien ryhmään, mutta koska se eroaa ominaisuuksiltaan klotianidiinista ja tiametoksaamista, tällä hetkellä siihen ei ole tarkoitus soveltaa samaa lähestymistapaa kuin klotianidiiniin ja tiametoksaamiin Pellolta pöytään -strategian täytäntöönpanossa, jonka mukaan kaikki jäämien enimmäismäärät laskettaisiin määritysrajan tasolle</w:t>
      </w:r>
      <w:r w:rsidRPr="00474A9A">
        <w:rPr>
          <w:rStyle w:val="FootnoteReference"/>
        </w:rPr>
        <w:footnoteReference w:id="18"/>
      </w:r>
      <w:r w:rsidRPr="00474A9A">
        <w:t>;</w:t>
      </w:r>
    </w:p>
    <w:p w:rsidR="00862F14" w:rsidRPr="00474A9A" w:rsidRDefault="00862F14" w:rsidP="00862F14">
      <w:pPr>
        <w:pStyle w:val="NormalHanging12a"/>
        <w:widowControl/>
      </w:pPr>
      <w:r w:rsidRPr="00474A9A">
        <w:t>U.</w:t>
      </w:r>
      <w:r w:rsidRPr="00474A9A">
        <w:tab/>
        <w:t>ottaa huomioon, että tieteellisessä kirjallisuudessa kyseenalaistetaan se, että tiaklopridin ominaisuudet eroaisivat muista neonikotinoideista, ja että saatujen tulosten perusteella käsitys tiaklopridista suhteellisen hyvänlaatuisena neonikotinoidina olisi syytä kyseenalaistaa</w:t>
      </w:r>
      <w:r w:rsidRPr="00474A9A">
        <w:rPr>
          <w:rStyle w:val="FootnoteReference"/>
        </w:rPr>
        <w:footnoteReference w:id="19"/>
      </w:r>
      <w:r w:rsidRPr="00474A9A">
        <w:t>;</w:t>
      </w:r>
    </w:p>
    <w:p w:rsidR="00862F14" w:rsidRPr="00474A9A" w:rsidRDefault="00862F14" w:rsidP="00862F14">
      <w:pPr>
        <w:pStyle w:val="NormalHanging12a"/>
        <w:widowControl/>
      </w:pPr>
      <w:r w:rsidRPr="00474A9A">
        <w:t>V.</w:t>
      </w:r>
      <w:r w:rsidRPr="00474A9A">
        <w:tab/>
        <w:t>toteaa erityisesti, että tiaklopridille altistuneiden kimalaisten yhdyskuntien on todettu kuolevan todennäköisemmin ennenaikaisesti ja että eloon jääneet yksilöt kärsivät subletaaleista vaikutuksesta</w:t>
      </w:r>
      <w:r w:rsidRPr="00474A9A">
        <w:rPr>
          <w:rStyle w:val="FootnoteReference"/>
        </w:rPr>
        <w:footnoteReference w:id="20"/>
      </w:r>
      <w:r w:rsidRPr="00474A9A">
        <w:t>; ottaa huomioon, että tiaklopridin on myös todettu vaikuttavan mehiläisten käyttäytymiseen ja immuunijärjestelmään samalla tavoin kuin imidaklopridi, klotianidiini ja tiametoksaami</w:t>
      </w:r>
      <w:r w:rsidRPr="00474A9A">
        <w:rPr>
          <w:rStyle w:val="FootnoteReference"/>
        </w:rPr>
        <w:footnoteReference w:id="21"/>
      </w:r>
      <w:r w:rsidRPr="00474A9A">
        <w:rPr>
          <w:rStyle w:val="FootnoteReference"/>
        </w:rPr>
        <w:footnoteReference w:id="22"/>
      </w:r>
      <w:r w:rsidRPr="00474A9A">
        <w:t>;</w:t>
      </w:r>
    </w:p>
    <w:p w:rsidR="00862F14" w:rsidRPr="00474A9A" w:rsidRDefault="00862F14" w:rsidP="00862F14">
      <w:pPr>
        <w:pStyle w:val="NormalHanging12a"/>
        <w:widowControl/>
      </w:pPr>
      <w:r w:rsidRPr="00474A9A">
        <w:t>W.</w:t>
      </w:r>
      <w:r w:rsidRPr="00474A9A">
        <w:tab/>
        <w:t>ottaa huomioon lisääntyvän näytön siitä, että tiaklopridin käytöllä on tuhoisa vaikutus biologiseen monimuotoisuuteen ja erityisesti mehiläisiin ja muihin pölyttäjiin</w:t>
      </w:r>
      <w:r w:rsidRPr="00474A9A">
        <w:rPr>
          <w:rStyle w:val="FootnoteReference"/>
          <w:szCs w:val="24"/>
        </w:rPr>
        <w:footnoteReference w:id="23"/>
      </w:r>
      <w:r w:rsidRPr="00474A9A">
        <w:t>;</w:t>
      </w:r>
    </w:p>
    <w:p w:rsidR="00862F14" w:rsidRPr="00474A9A" w:rsidRDefault="00862F14" w:rsidP="00862F14">
      <w:pPr>
        <w:pStyle w:val="NormalHanging12a"/>
        <w:widowControl/>
      </w:pPr>
      <w:r w:rsidRPr="00474A9A">
        <w:t>X.</w:t>
      </w:r>
      <w:r w:rsidRPr="00474A9A">
        <w:tab/>
        <w:t>ottaa huomioon, että EFSA totesi 22. lokakuuta 2019 antamassaan uusimatta jättämistä koskevassa kertomuksessa</w:t>
      </w:r>
      <w:r w:rsidRPr="00474A9A">
        <w:rPr>
          <w:rStyle w:val="FootnoteReference"/>
        </w:rPr>
        <w:footnoteReference w:id="24"/>
      </w:r>
      <w:r w:rsidRPr="00474A9A">
        <w:t>, että saatavilla olevat tiedot eivät riitä täyttämään asetuksen (EY) N:o 1107/2009 4 artiklan 1–3 kohdassa säädettyjä vaatimuksia, ja erityisesti, että mehiläisiä koskevaa riskinarviointia ei voitu saattaa päätökseen;</w:t>
      </w:r>
    </w:p>
    <w:p w:rsidR="00862F14" w:rsidRPr="00474A9A" w:rsidRDefault="00862F14" w:rsidP="00862F14">
      <w:pPr>
        <w:pStyle w:val="NormalHanging12a"/>
        <w:widowControl/>
      </w:pPr>
      <w:r w:rsidRPr="00474A9A">
        <w:t>Y.</w:t>
      </w:r>
      <w:r w:rsidRPr="00474A9A">
        <w:tab/>
        <w:t>ottaa huomioon, että tiaklopridiin olisi sen vuoksi sovellettava samoja perusteluja ja sääntöjä kuin klotianidiiniin ja tiametoksaamiin;</w:t>
      </w:r>
    </w:p>
    <w:p w:rsidR="00862F14" w:rsidRPr="00474A9A" w:rsidRDefault="00862F14" w:rsidP="00862F14">
      <w:pPr>
        <w:pStyle w:val="NormalHanging12a"/>
        <w:widowControl/>
      </w:pPr>
      <w:r w:rsidRPr="00474A9A">
        <w:t>Z.</w:t>
      </w:r>
      <w:r w:rsidRPr="00474A9A">
        <w:tab/>
        <w:t xml:space="preserve">ottaa huomioon, että komission on suojeltava ympäristöä ja unionin kansalaisia saatavilla olevan tieteellisen tiedon perusteella hyödyntäen asetuksissa (EY) </w:t>
      </w:r>
      <w:proofErr w:type="gramStart"/>
      <w:r w:rsidRPr="00474A9A">
        <w:t>N:o</w:t>
      </w:r>
      <w:proofErr w:type="gramEnd"/>
      <w:r w:rsidRPr="00474A9A">
        <w:t xml:space="preserve"> 396/2005 ja (EY) N:o 178/2002 säädettyjä velvoitteita ja oikeudellisia mahdollisuuksia ihmisten ja eläinten terveyden sekä ympäristön suojelun korkean tason varmistamiseksi;</w:t>
      </w:r>
    </w:p>
    <w:p w:rsidR="00862F14" w:rsidRPr="00474A9A" w:rsidRDefault="00862F14" w:rsidP="00862F14">
      <w:pPr>
        <w:pStyle w:val="NormalHanging12a"/>
        <w:widowControl/>
      </w:pPr>
      <w:r w:rsidRPr="00474A9A">
        <w:t>AA.</w:t>
      </w:r>
      <w:r w:rsidRPr="00474A9A">
        <w:tab/>
        <w:t xml:space="preserve">toteaa, että ehdotetut jäämien enimmäismäärät eivät suojele unionin kansalaisten terveyttä eivätkä ne takaa mehiläisten ja muiden pölyttäjien suojelun korkeaa tasoa ja että ne ovat näin ollen asetusten (EY) </w:t>
      </w:r>
      <w:proofErr w:type="gramStart"/>
      <w:r w:rsidRPr="00474A9A">
        <w:t>N:o</w:t>
      </w:r>
      <w:proofErr w:type="gramEnd"/>
      <w:r w:rsidRPr="00474A9A">
        <w:t xml:space="preserve"> 396/2005 ja (EY) N:o 178/2002 vastaisia;</w:t>
      </w:r>
    </w:p>
    <w:p w:rsidR="00862F14" w:rsidRPr="00474A9A" w:rsidRDefault="00862F14" w:rsidP="00862F14">
      <w:pPr>
        <w:pStyle w:val="NormalHanging12a"/>
        <w:widowControl/>
      </w:pPr>
      <w:r w:rsidRPr="00474A9A">
        <w:t>AB.</w:t>
      </w:r>
      <w:r w:rsidRPr="00474A9A">
        <w:tab/>
        <w:t xml:space="preserve">toteaa, että jäämien enimmäismääriä ei pitäisi vahvistaa tehoaineille, joita ei ole hyväksytty unionissa terveyteen liittyvien huolenaiheiden vuoksi; ottaa huomioon, että tästä syystä tiaklopridille ei pitäisi vahvistaa tuonnissa sallittuja enimmäismääriä, koska se on luokiteltu kategoriaan 1B kuuluvaksi lisääntymiselle vaaralliseksi aineeksi; ottaa huomioon, että tiaklopridin luokittelun kategoriaan 1B kuuluvaksi lisääntymiselle vaaralliseksi aineeksi olisi pitänyt olla riittävä peruste komissiolle hylätä tuonnissa sallittuja enimmäismääriä koskevat pyynnöt myös kolmansien maiden kansalaisten terveydelle aiheutuvien riskien tähden, </w:t>
      </w:r>
    </w:p>
    <w:p w:rsidR="00862F14" w:rsidRPr="00474A9A" w:rsidRDefault="00862F14" w:rsidP="00862F14">
      <w:pPr>
        <w:pStyle w:val="NormalHanging12a"/>
        <w:widowControl/>
      </w:pPr>
      <w:r w:rsidRPr="00474A9A">
        <w:t>1.</w:t>
      </w:r>
      <w:r w:rsidRPr="00474A9A">
        <w:tab/>
        <w:t>vastustaa ehdotuksen neuvoston asetukseksi hyväksymistä;</w:t>
      </w:r>
    </w:p>
    <w:p w:rsidR="00862F14" w:rsidRPr="00474A9A" w:rsidRDefault="00862F14" w:rsidP="00862F14">
      <w:pPr>
        <w:pStyle w:val="NormalHanging12a"/>
        <w:widowControl/>
      </w:pPr>
      <w:r w:rsidRPr="00474A9A">
        <w:t>2.</w:t>
      </w:r>
      <w:r w:rsidRPr="00474A9A">
        <w:tab/>
        <w:t xml:space="preserve">katsoo, että ehdotus neuvoston asetukseksi on ristiriidassa asetusten (EY) </w:t>
      </w:r>
      <w:proofErr w:type="gramStart"/>
      <w:r w:rsidRPr="00474A9A">
        <w:t>N:o</w:t>
      </w:r>
      <w:proofErr w:type="gramEnd"/>
      <w:r w:rsidRPr="00474A9A">
        <w:t xml:space="preserve"> 396/2005 ja (EY) N:o 178/2002 tavoitteen ja sisällön kanssa sekä asetuksen (EY) N:o 1107/2009 kanssa, mukaan lukien sen liitteessä II oleva 3.6.4 kohta;</w:t>
      </w:r>
    </w:p>
    <w:p w:rsidR="00862F14" w:rsidRPr="00474A9A" w:rsidRDefault="00862F14" w:rsidP="00862F14">
      <w:pPr>
        <w:pStyle w:val="NormalHanging12a"/>
        <w:widowControl/>
      </w:pPr>
      <w:r w:rsidRPr="00474A9A">
        <w:t>3.</w:t>
      </w:r>
      <w:r w:rsidRPr="00474A9A">
        <w:tab/>
        <w:t>pyytää komissiota peruuttamaan ehdotuksen asetukseksi;</w:t>
      </w:r>
    </w:p>
    <w:p w:rsidR="00862F14" w:rsidRPr="00474A9A" w:rsidRDefault="00862F14" w:rsidP="00862F14">
      <w:pPr>
        <w:pStyle w:val="NormalHanging12a"/>
        <w:widowControl/>
      </w:pPr>
      <w:r w:rsidRPr="00474A9A">
        <w:t>4.</w:t>
      </w:r>
      <w:r w:rsidRPr="00474A9A">
        <w:tab/>
        <w:t>kehottaa komissiota toimittamaan komitealle uuden ehdotuksen, jossa tiaklopridin kaikki jäämien enimmäismäärät lasketaan määritysrajan tasolle kaikkien käyttötarkoitusten osalta, ja hylkäämään kaikki tuonnissa sallittuja enimmäismääriä koskevat pyynnöt;</w:t>
      </w:r>
    </w:p>
    <w:p w:rsidR="00862F14" w:rsidRDefault="00862F14" w:rsidP="00A85B86">
      <w:pPr>
        <w:pStyle w:val="NormalHanging12a"/>
        <w:widowControl/>
      </w:pPr>
      <w:r w:rsidRPr="00474A9A">
        <w:t>5.</w:t>
      </w:r>
      <w:r w:rsidRPr="00474A9A">
        <w:tab/>
        <w:t>kehottaa puhemiestä välittämään tämän päätöslauselman neuvostolle ja komissiolle sekä jäsenvaltioiden hallituksille ja parlamenteille.</w:t>
      </w:r>
    </w:p>
    <w:p w:rsidR="00E365E1" w:rsidRPr="00474A9A" w:rsidRDefault="00E365E1" w:rsidP="00A85B86">
      <w:pPr>
        <w:pStyle w:val="NormalHanging12a"/>
        <w:widowControl/>
      </w:pPr>
      <w:bookmarkStart w:id="8" w:name="TextBodyEnd"/>
      <w:bookmarkEnd w:id="8"/>
    </w:p>
    <w:sectPr w:rsidR="00E365E1" w:rsidRPr="00474A9A" w:rsidSect="00474A9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424" w:rsidRPr="00474A9A" w:rsidRDefault="00F85424">
      <w:r w:rsidRPr="00474A9A">
        <w:separator/>
      </w:r>
    </w:p>
  </w:endnote>
  <w:endnote w:type="continuationSeparator" w:id="0">
    <w:p w:rsidR="00F85424" w:rsidRPr="00474A9A" w:rsidRDefault="00F85424">
      <w:r w:rsidRPr="00474A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424" w:rsidRPr="00474A9A" w:rsidRDefault="00F85424">
      <w:r w:rsidRPr="00474A9A">
        <w:separator/>
      </w:r>
    </w:p>
  </w:footnote>
  <w:footnote w:type="continuationSeparator" w:id="0">
    <w:p w:rsidR="00F85424" w:rsidRPr="00474A9A" w:rsidRDefault="00F85424">
      <w:r w:rsidRPr="00474A9A">
        <w:continuationSeparator/>
      </w:r>
    </w:p>
  </w:footnote>
  <w:footnote w:id="1">
    <w:p w:rsidR="00862F14" w:rsidRPr="00A85B86" w:rsidRDefault="00862F14" w:rsidP="00474A9A">
      <w:pPr>
        <w:pStyle w:val="FootnoteText"/>
        <w:ind w:left="567" w:hanging="567"/>
        <w:rPr>
          <w:sz w:val="24"/>
          <w:szCs w:val="22"/>
          <w:lang w:val="en-GB"/>
        </w:rPr>
      </w:pPr>
      <w:r w:rsidRPr="00474A9A">
        <w:rPr>
          <w:rStyle w:val="FootnoteReference"/>
          <w:sz w:val="24"/>
          <w:szCs w:val="22"/>
          <w:lang w:val="fi-FI"/>
        </w:rPr>
        <w:footnoteRef/>
      </w:r>
      <w:r w:rsidR="00474A9A" w:rsidRPr="00A85B86">
        <w:rPr>
          <w:sz w:val="24"/>
          <w:lang w:val="en-GB"/>
        </w:rPr>
        <w:t xml:space="preserve"> </w:t>
      </w:r>
      <w:r w:rsidR="00474A9A" w:rsidRPr="00A85B86">
        <w:rPr>
          <w:sz w:val="24"/>
          <w:lang w:val="en-GB"/>
        </w:rPr>
        <w:tab/>
      </w:r>
      <w:r w:rsidRPr="00A85B86">
        <w:rPr>
          <w:sz w:val="24"/>
          <w:lang w:val="en-GB"/>
        </w:rPr>
        <w:t>EUVL L 70, 16.3.2005, s. </w:t>
      </w:r>
      <w:proofErr w:type="gramStart"/>
      <w:r w:rsidRPr="00A85B86">
        <w:rPr>
          <w:sz w:val="24"/>
          <w:lang w:val="en-GB"/>
        </w:rPr>
        <w:t>1</w:t>
      </w:r>
      <w:proofErr w:type="gramEnd"/>
      <w:r w:rsidRPr="00A85B86">
        <w:rPr>
          <w:sz w:val="24"/>
          <w:lang w:val="en-GB"/>
        </w:rPr>
        <w:t>.</w:t>
      </w:r>
    </w:p>
  </w:footnote>
  <w:footnote w:id="2">
    <w:p w:rsidR="00862F14" w:rsidRPr="00A85B86" w:rsidRDefault="00862F14" w:rsidP="00474A9A">
      <w:pPr>
        <w:pStyle w:val="FootnoteText"/>
        <w:ind w:left="567" w:hanging="567"/>
        <w:rPr>
          <w:sz w:val="24"/>
          <w:szCs w:val="22"/>
          <w:lang w:val="en-GB"/>
        </w:rPr>
      </w:pPr>
      <w:r w:rsidRPr="00474A9A">
        <w:rPr>
          <w:rStyle w:val="FootnoteReference"/>
          <w:sz w:val="24"/>
          <w:szCs w:val="22"/>
          <w:lang w:val="fi-FI"/>
        </w:rPr>
        <w:footnoteRef/>
      </w:r>
      <w:r w:rsidR="00474A9A" w:rsidRPr="00A85B86">
        <w:rPr>
          <w:sz w:val="24"/>
          <w:lang w:val="en-GB"/>
        </w:rPr>
        <w:t xml:space="preserve"> </w:t>
      </w:r>
      <w:r w:rsidR="00474A9A" w:rsidRPr="00A85B86">
        <w:rPr>
          <w:sz w:val="24"/>
          <w:lang w:val="en-GB"/>
        </w:rPr>
        <w:tab/>
      </w:r>
      <w:r w:rsidRPr="00A85B86">
        <w:rPr>
          <w:sz w:val="24"/>
          <w:lang w:val="en-GB"/>
        </w:rPr>
        <w:t xml:space="preserve">EUVL L 309, 24.11.2009, s. </w:t>
      </w:r>
      <w:proofErr w:type="gramStart"/>
      <w:r w:rsidRPr="00A85B86">
        <w:rPr>
          <w:sz w:val="24"/>
          <w:lang w:val="en-GB"/>
        </w:rPr>
        <w:t>1</w:t>
      </w:r>
      <w:proofErr w:type="gramEnd"/>
      <w:r w:rsidRPr="00A85B86">
        <w:rPr>
          <w:sz w:val="24"/>
          <w:lang w:val="en-GB"/>
        </w:rPr>
        <w:t>.</w:t>
      </w:r>
    </w:p>
  </w:footnote>
  <w:footnote w:id="3">
    <w:p w:rsidR="00862F14" w:rsidRPr="00A85B86" w:rsidRDefault="00862F14" w:rsidP="00474A9A">
      <w:pPr>
        <w:pStyle w:val="FootnoteText"/>
        <w:ind w:left="567" w:hanging="567"/>
        <w:rPr>
          <w:sz w:val="24"/>
          <w:szCs w:val="22"/>
          <w:lang w:val="en-GB"/>
        </w:rPr>
      </w:pPr>
      <w:r w:rsidRPr="00474A9A">
        <w:rPr>
          <w:rStyle w:val="FootnoteReference"/>
          <w:sz w:val="24"/>
          <w:szCs w:val="22"/>
          <w:lang w:val="fi-FI"/>
        </w:rPr>
        <w:footnoteRef/>
      </w:r>
      <w:r w:rsidR="00474A9A" w:rsidRPr="00A85B86">
        <w:rPr>
          <w:sz w:val="24"/>
          <w:lang w:val="en-GB"/>
        </w:rPr>
        <w:t xml:space="preserve"> </w:t>
      </w:r>
      <w:r w:rsidR="00474A9A" w:rsidRPr="00A85B86">
        <w:rPr>
          <w:sz w:val="24"/>
          <w:lang w:val="en-GB"/>
        </w:rPr>
        <w:tab/>
      </w:r>
      <w:r w:rsidRPr="00A85B86">
        <w:rPr>
          <w:sz w:val="24"/>
          <w:lang w:val="en-GB"/>
        </w:rPr>
        <w:t>E</w:t>
      </w:r>
      <w:r w:rsidR="008448AE" w:rsidRPr="00A85B86">
        <w:rPr>
          <w:sz w:val="24"/>
          <w:lang w:val="en-GB"/>
        </w:rPr>
        <w:t>Y</w:t>
      </w:r>
      <w:r w:rsidRPr="00A85B86">
        <w:rPr>
          <w:sz w:val="24"/>
          <w:lang w:val="en-GB"/>
        </w:rPr>
        <w:t xml:space="preserve">VL L 31, 1.2.2002, s. </w:t>
      </w:r>
      <w:proofErr w:type="gramStart"/>
      <w:r w:rsidRPr="00A85B86">
        <w:rPr>
          <w:sz w:val="24"/>
          <w:lang w:val="en-GB"/>
        </w:rPr>
        <w:t>1</w:t>
      </w:r>
      <w:proofErr w:type="gramEnd"/>
      <w:r w:rsidRPr="00A85B86">
        <w:rPr>
          <w:sz w:val="24"/>
          <w:lang w:val="en-GB"/>
        </w:rPr>
        <w:t>.</w:t>
      </w:r>
    </w:p>
  </w:footnote>
  <w:footnote w:id="4">
    <w:p w:rsidR="00862F14" w:rsidRPr="00A85B86" w:rsidRDefault="00862F14" w:rsidP="00474A9A">
      <w:pPr>
        <w:pStyle w:val="FootnoteText"/>
        <w:ind w:left="567" w:hanging="567"/>
        <w:rPr>
          <w:sz w:val="24"/>
          <w:szCs w:val="22"/>
          <w:lang w:val="en-GB"/>
        </w:rPr>
      </w:pPr>
      <w:r w:rsidRPr="00474A9A">
        <w:rPr>
          <w:rStyle w:val="FootnoteReference"/>
          <w:sz w:val="24"/>
          <w:szCs w:val="22"/>
          <w:lang w:val="fi-FI"/>
        </w:rPr>
        <w:footnoteRef/>
      </w:r>
      <w:r w:rsidR="00474A9A" w:rsidRPr="00A85B86">
        <w:rPr>
          <w:sz w:val="24"/>
          <w:lang w:val="en-GB"/>
        </w:rPr>
        <w:t xml:space="preserve"> </w:t>
      </w:r>
      <w:r w:rsidR="00474A9A" w:rsidRPr="00A85B86">
        <w:rPr>
          <w:sz w:val="24"/>
          <w:lang w:val="en-GB"/>
        </w:rPr>
        <w:tab/>
      </w:r>
      <w:r w:rsidRPr="00A85B86">
        <w:rPr>
          <w:sz w:val="24"/>
          <w:lang w:val="en-GB"/>
        </w:rPr>
        <w:t>EFSA Statement on the short-term (acute) dietary risk assessment and evaluation of confirmatory data for certain maximum residue levels (MRLs) for thiacloprid, EFSA Journal 2023</w:t>
      </w:r>
      <w:proofErr w:type="gramStart"/>
      <w:r w:rsidRPr="00A85B86">
        <w:rPr>
          <w:sz w:val="24"/>
          <w:lang w:val="en-GB"/>
        </w:rPr>
        <w:t>;21</w:t>
      </w:r>
      <w:proofErr w:type="gramEnd"/>
      <w:r w:rsidRPr="00A85B86">
        <w:rPr>
          <w:sz w:val="24"/>
          <w:lang w:val="en-GB"/>
        </w:rPr>
        <w:t xml:space="preserve">(3):7888, </w:t>
      </w:r>
      <w:hyperlink r:id="rId1" w:history="1">
        <w:r w:rsidRPr="00A85B86">
          <w:rPr>
            <w:rStyle w:val="Hyperlink"/>
            <w:sz w:val="24"/>
            <w:lang w:val="en-GB"/>
          </w:rPr>
          <w:t>https://doi.org/10.2903/j.efsa.2023.7888</w:t>
        </w:r>
      </w:hyperlink>
      <w:r w:rsidRPr="00A85B86">
        <w:rPr>
          <w:sz w:val="24"/>
          <w:lang w:val="en-GB"/>
        </w:rPr>
        <w:t>.</w:t>
      </w:r>
    </w:p>
  </w:footnote>
  <w:footnote w:id="5">
    <w:p w:rsidR="00862F14" w:rsidRPr="00A85B86" w:rsidRDefault="00862F14" w:rsidP="00474A9A">
      <w:pPr>
        <w:pStyle w:val="FootnoteText"/>
        <w:ind w:left="567" w:hanging="567"/>
        <w:rPr>
          <w:sz w:val="24"/>
          <w:szCs w:val="22"/>
          <w:lang w:val="en-GB"/>
        </w:rPr>
      </w:pPr>
      <w:r w:rsidRPr="00474A9A">
        <w:rPr>
          <w:rStyle w:val="FootnoteReference"/>
          <w:sz w:val="24"/>
          <w:szCs w:val="22"/>
          <w:lang w:val="fi-FI"/>
        </w:rPr>
        <w:footnoteRef/>
      </w:r>
      <w:r w:rsidR="00474A9A" w:rsidRPr="00A85B86">
        <w:rPr>
          <w:sz w:val="24"/>
          <w:lang w:val="en-GB"/>
        </w:rPr>
        <w:t xml:space="preserve"> </w:t>
      </w:r>
      <w:r w:rsidR="00474A9A" w:rsidRPr="00A85B86">
        <w:rPr>
          <w:sz w:val="24"/>
          <w:lang w:val="en-GB"/>
        </w:rPr>
        <w:tab/>
      </w:r>
      <w:r w:rsidRPr="00A85B86">
        <w:rPr>
          <w:sz w:val="24"/>
          <w:lang w:val="en-GB"/>
        </w:rPr>
        <w:t>EFSA Conclusion on the peer review of the pesticide risk assessment of the active substance thiacloprid, EFSA Journal 2019</w:t>
      </w:r>
      <w:proofErr w:type="gramStart"/>
      <w:r w:rsidRPr="00A85B86">
        <w:rPr>
          <w:sz w:val="24"/>
          <w:lang w:val="en-GB"/>
        </w:rPr>
        <w:t>;17</w:t>
      </w:r>
      <w:proofErr w:type="gramEnd"/>
      <w:r w:rsidRPr="00A85B86">
        <w:rPr>
          <w:sz w:val="24"/>
          <w:lang w:val="en-GB"/>
        </w:rPr>
        <w:t xml:space="preserve">(3):5595, </w:t>
      </w:r>
      <w:hyperlink r:id="rId2" w:history="1">
        <w:r w:rsidRPr="00A85B86">
          <w:rPr>
            <w:rStyle w:val="Hyperlink"/>
            <w:sz w:val="24"/>
            <w:lang w:val="en-GB"/>
          </w:rPr>
          <w:t>https://doi.org/10.2903/j.efsa.2019.5595</w:t>
        </w:r>
      </w:hyperlink>
      <w:r w:rsidRPr="00A85B86">
        <w:rPr>
          <w:sz w:val="24"/>
          <w:lang w:val="en-GB"/>
        </w:rPr>
        <w:t>.</w:t>
      </w:r>
    </w:p>
  </w:footnote>
  <w:footnote w:id="6">
    <w:p w:rsidR="00862F14" w:rsidRPr="00A85B86" w:rsidRDefault="00862F14" w:rsidP="00474A9A">
      <w:pPr>
        <w:pStyle w:val="FootnoteText"/>
        <w:ind w:left="567" w:hanging="567"/>
        <w:rPr>
          <w:sz w:val="24"/>
          <w:szCs w:val="22"/>
          <w:lang w:val="en-GB"/>
        </w:rPr>
      </w:pPr>
      <w:r w:rsidRPr="00474A9A">
        <w:rPr>
          <w:rStyle w:val="FootnoteReference"/>
          <w:sz w:val="24"/>
          <w:szCs w:val="22"/>
          <w:lang w:val="fi-FI"/>
        </w:rPr>
        <w:footnoteRef/>
      </w:r>
      <w:r w:rsidR="00474A9A" w:rsidRPr="00A85B86">
        <w:rPr>
          <w:sz w:val="24"/>
          <w:lang w:val="en-GB"/>
        </w:rPr>
        <w:t xml:space="preserve"> </w:t>
      </w:r>
      <w:r w:rsidR="00474A9A" w:rsidRPr="00A85B86">
        <w:rPr>
          <w:sz w:val="24"/>
          <w:lang w:val="en-GB"/>
        </w:rPr>
        <w:tab/>
      </w:r>
      <w:r w:rsidRPr="00A85B86">
        <w:rPr>
          <w:sz w:val="24"/>
          <w:lang w:val="en-GB"/>
        </w:rPr>
        <w:t>RAC Opinion proposing harmonised classification and labelling at EU level of Thiacloprid (ISO); {(2Z)-3-[(6-chloropyridin-3-yl</w:t>
      </w:r>
      <w:proofErr w:type="gramStart"/>
      <w:r w:rsidRPr="00A85B86">
        <w:rPr>
          <w:sz w:val="24"/>
          <w:lang w:val="en-GB"/>
        </w:rPr>
        <w:t>)methyl</w:t>
      </w:r>
      <w:proofErr w:type="gramEnd"/>
      <w:r w:rsidRPr="00A85B86">
        <w:rPr>
          <w:sz w:val="24"/>
          <w:lang w:val="en-GB"/>
        </w:rPr>
        <w:t xml:space="preserve">]-1,3-thiaz olidin-2-ylidene}cyanamide, </w:t>
      </w:r>
      <w:hyperlink r:id="rId3" w:history="1">
        <w:r w:rsidRPr="00A85B86">
          <w:rPr>
            <w:rStyle w:val="Hyperlink"/>
            <w:sz w:val="24"/>
            <w:lang w:val="en-GB"/>
          </w:rPr>
          <w:t>https://echa.europa.eu/registry-of-clh-intentions-until-outcome/-/dislist/details/0b0236e180638ff8</w:t>
        </w:r>
      </w:hyperlink>
      <w:r w:rsidRPr="00A85B86">
        <w:rPr>
          <w:sz w:val="24"/>
          <w:lang w:val="en-GB"/>
        </w:rPr>
        <w:t>.</w:t>
      </w:r>
    </w:p>
  </w:footnote>
  <w:footnote w:id="7">
    <w:p w:rsidR="00862F14" w:rsidRPr="00474A9A" w:rsidRDefault="00862F14" w:rsidP="00474A9A">
      <w:pPr>
        <w:pStyle w:val="FootnoteText"/>
        <w:ind w:left="567" w:hanging="567"/>
        <w:rPr>
          <w:sz w:val="24"/>
          <w:szCs w:val="22"/>
          <w:lang w:val="fi-FI"/>
        </w:rPr>
      </w:pPr>
      <w:r w:rsidRPr="00474A9A">
        <w:rPr>
          <w:rStyle w:val="FootnoteReference"/>
          <w:sz w:val="24"/>
          <w:szCs w:val="22"/>
          <w:lang w:val="fi-FI"/>
        </w:rPr>
        <w:footnoteRef/>
      </w:r>
      <w:r w:rsidR="00474A9A" w:rsidRPr="00474A9A">
        <w:rPr>
          <w:sz w:val="24"/>
          <w:lang w:val="fi-FI"/>
        </w:rPr>
        <w:t xml:space="preserve"> </w:t>
      </w:r>
      <w:r w:rsidR="00474A9A" w:rsidRPr="00474A9A">
        <w:rPr>
          <w:sz w:val="24"/>
          <w:lang w:val="fi-FI"/>
        </w:rPr>
        <w:tab/>
      </w:r>
      <w:r w:rsidRPr="00474A9A">
        <w:rPr>
          <w:sz w:val="24"/>
          <w:lang w:val="fi-FI"/>
        </w:rPr>
        <w:t>EYVL L 184, 17.7.1999, s. 23.</w:t>
      </w:r>
    </w:p>
  </w:footnote>
  <w:footnote w:id="8">
    <w:p w:rsidR="00862F14" w:rsidRPr="00474A9A" w:rsidRDefault="00862F14" w:rsidP="00474A9A">
      <w:pPr>
        <w:pStyle w:val="FootnoteText"/>
        <w:ind w:left="567" w:hanging="567"/>
        <w:rPr>
          <w:sz w:val="24"/>
          <w:szCs w:val="22"/>
          <w:lang w:val="fi-FI"/>
        </w:rPr>
      </w:pPr>
      <w:r w:rsidRPr="00474A9A">
        <w:rPr>
          <w:rStyle w:val="FootnoteReference"/>
          <w:sz w:val="24"/>
          <w:szCs w:val="22"/>
          <w:lang w:val="fi-FI"/>
        </w:rPr>
        <w:footnoteRef/>
      </w:r>
      <w:r w:rsidR="00474A9A" w:rsidRPr="00474A9A">
        <w:rPr>
          <w:sz w:val="24"/>
          <w:lang w:val="fi-FI"/>
        </w:rPr>
        <w:t xml:space="preserve"> </w:t>
      </w:r>
      <w:r w:rsidR="00474A9A" w:rsidRPr="00474A9A">
        <w:rPr>
          <w:sz w:val="24"/>
          <w:lang w:val="fi-FI"/>
        </w:rPr>
        <w:tab/>
      </w:r>
      <w:r w:rsidRPr="00474A9A">
        <w:rPr>
          <w:sz w:val="24"/>
          <w:lang w:val="fi-FI"/>
        </w:rPr>
        <w:t xml:space="preserve">Komission täytäntöönpanoasetus (EU) 2020/23, annettu 13. tammikuuta 2020, tehoaineen tiaklopridi hyväksynnän uusimatta jättämisestä kasvinsuojeluaineiden markkinoille saattamisesta annetun Euroopan parlamentin ja neuvoston asetuksen (EY) </w:t>
      </w:r>
      <w:proofErr w:type="gramStart"/>
      <w:r w:rsidRPr="00474A9A">
        <w:rPr>
          <w:sz w:val="24"/>
          <w:lang w:val="fi-FI"/>
        </w:rPr>
        <w:t>N:o</w:t>
      </w:r>
      <w:proofErr w:type="gramEnd"/>
      <w:r w:rsidRPr="00474A9A">
        <w:rPr>
          <w:sz w:val="24"/>
          <w:lang w:val="fi-FI"/>
        </w:rPr>
        <w:t xml:space="preserve"> 1107/2009 mukaisesti ja komission täytäntöönpanoasetuksen (EU) N:o 540/2011 liitteen muuttamisesta (EUVL L 8, 14.1.2020, s. 8)</w:t>
      </w:r>
    </w:p>
  </w:footnote>
  <w:footnote w:id="9">
    <w:p w:rsidR="00862F14" w:rsidRPr="00474A9A" w:rsidRDefault="00862F14" w:rsidP="00474A9A">
      <w:pPr>
        <w:pStyle w:val="FootnoteText"/>
        <w:ind w:left="567" w:hanging="567"/>
        <w:rPr>
          <w:sz w:val="24"/>
          <w:szCs w:val="22"/>
          <w:lang w:val="fi-FI"/>
        </w:rPr>
      </w:pPr>
      <w:r w:rsidRPr="00474A9A">
        <w:rPr>
          <w:rStyle w:val="FootnoteReference"/>
          <w:sz w:val="24"/>
          <w:szCs w:val="22"/>
          <w:lang w:val="fi-FI"/>
        </w:rPr>
        <w:footnoteRef/>
      </w:r>
      <w:r w:rsidR="00474A9A" w:rsidRPr="00474A9A">
        <w:rPr>
          <w:sz w:val="24"/>
          <w:lang w:val="fi-FI"/>
        </w:rPr>
        <w:t xml:space="preserve"> </w:t>
      </w:r>
      <w:r w:rsidR="00474A9A" w:rsidRPr="00474A9A">
        <w:rPr>
          <w:sz w:val="24"/>
          <w:lang w:val="fi-FI"/>
        </w:rPr>
        <w:tab/>
      </w:r>
      <w:r w:rsidRPr="00474A9A">
        <w:rPr>
          <w:sz w:val="24"/>
          <w:lang w:val="fi-FI"/>
        </w:rPr>
        <w:t>EFSAn päätelmä 17. tammikuuta 2019.</w:t>
      </w:r>
    </w:p>
  </w:footnote>
  <w:footnote w:id="10">
    <w:p w:rsidR="00862F14" w:rsidRPr="00474A9A" w:rsidRDefault="00862F14" w:rsidP="00474A9A">
      <w:pPr>
        <w:pStyle w:val="FootnoteText"/>
        <w:ind w:left="567" w:hanging="567"/>
        <w:rPr>
          <w:sz w:val="24"/>
          <w:szCs w:val="22"/>
          <w:lang w:val="fi-FI"/>
        </w:rPr>
      </w:pPr>
      <w:r w:rsidRPr="00474A9A">
        <w:rPr>
          <w:rStyle w:val="FootnoteReference"/>
          <w:sz w:val="24"/>
          <w:szCs w:val="22"/>
          <w:lang w:val="fi-FI"/>
        </w:rPr>
        <w:footnoteRef/>
      </w:r>
      <w:r w:rsidR="00474A9A" w:rsidRPr="00474A9A">
        <w:rPr>
          <w:sz w:val="24"/>
          <w:lang w:val="fi-FI"/>
        </w:rPr>
        <w:t xml:space="preserve"> </w:t>
      </w:r>
      <w:r w:rsidR="00474A9A" w:rsidRPr="00474A9A">
        <w:rPr>
          <w:sz w:val="24"/>
          <w:lang w:val="fi-FI"/>
        </w:rPr>
        <w:tab/>
      </w:r>
      <w:r w:rsidRPr="00474A9A">
        <w:rPr>
          <w:sz w:val="24"/>
          <w:lang w:val="fi-FI"/>
        </w:rPr>
        <w:t xml:space="preserve">Euroopan parlamentin ja neuvoston asetus (EY) </w:t>
      </w:r>
      <w:proofErr w:type="gramStart"/>
      <w:r w:rsidRPr="00474A9A">
        <w:rPr>
          <w:sz w:val="24"/>
          <w:lang w:val="fi-FI"/>
        </w:rPr>
        <w:t>N:o</w:t>
      </w:r>
      <w:proofErr w:type="gramEnd"/>
      <w:r w:rsidRPr="00474A9A">
        <w:rPr>
          <w:sz w:val="24"/>
          <w:lang w:val="fi-FI"/>
        </w:rPr>
        <w:t xml:space="preserve"> 1272/2008, annettu 16 päivänä joulukuuta 2008, aineiden ja seosten luokituksesta, merkinnöistä ja pakkaamisesta sekä direktiivien 67/548/ETY ja 1999/45/EY muuttamisesta ja kumoamisesta ja asetuksen (EY) N:o 1907/2006 muuttamisesta (EUVL L 353, 31.12.2008, s. 1).</w:t>
      </w:r>
    </w:p>
  </w:footnote>
  <w:footnote w:id="11">
    <w:p w:rsidR="00862F14" w:rsidRPr="00474A9A" w:rsidRDefault="00862F14" w:rsidP="00474A9A">
      <w:pPr>
        <w:pStyle w:val="FootnoteText"/>
        <w:ind w:left="567" w:hanging="567"/>
        <w:rPr>
          <w:sz w:val="24"/>
          <w:szCs w:val="22"/>
          <w:lang w:val="fi-FI"/>
        </w:rPr>
      </w:pPr>
      <w:r w:rsidRPr="00474A9A">
        <w:rPr>
          <w:rStyle w:val="FootnoteReference"/>
          <w:sz w:val="24"/>
          <w:szCs w:val="22"/>
          <w:lang w:val="fi-FI"/>
        </w:rPr>
        <w:footnoteRef/>
      </w:r>
      <w:r w:rsidR="00474A9A" w:rsidRPr="00474A9A">
        <w:rPr>
          <w:sz w:val="24"/>
          <w:lang w:val="fi-FI"/>
        </w:rPr>
        <w:t xml:space="preserve"> </w:t>
      </w:r>
      <w:r w:rsidR="00474A9A" w:rsidRPr="00474A9A">
        <w:rPr>
          <w:sz w:val="24"/>
          <w:lang w:val="fi-FI"/>
        </w:rPr>
        <w:tab/>
      </w:r>
      <w:r w:rsidRPr="00474A9A">
        <w:rPr>
          <w:sz w:val="24"/>
          <w:lang w:val="fi-FI"/>
        </w:rPr>
        <w:t xml:space="preserve">Yhteenvetoraportti PAFF-komitean kokouksesta 18.–19. syyskuuta 2023, </w:t>
      </w:r>
      <w:hyperlink r:id="rId4" w:history="1">
        <w:r w:rsidRPr="00474A9A">
          <w:rPr>
            <w:rStyle w:val="Hyperlink"/>
            <w:sz w:val="24"/>
            <w:lang w:val="fi-FI"/>
          </w:rPr>
          <w:t>https://ec.europa.eu/transparency/comitology-register/screen/documents/092486/1/consult?lang=en</w:t>
        </w:r>
      </w:hyperlink>
      <w:r w:rsidRPr="00474A9A">
        <w:rPr>
          <w:sz w:val="24"/>
          <w:lang w:val="fi-FI"/>
        </w:rPr>
        <w:t>.</w:t>
      </w:r>
    </w:p>
  </w:footnote>
  <w:footnote w:id="12">
    <w:p w:rsidR="00862F14" w:rsidRPr="00474A9A" w:rsidRDefault="00862F14" w:rsidP="00474A9A">
      <w:pPr>
        <w:pStyle w:val="FootnoteText"/>
        <w:ind w:left="567" w:hanging="567"/>
        <w:rPr>
          <w:sz w:val="24"/>
          <w:szCs w:val="22"/>
          <w:lang w:val="fi-FI"/>
        </w:rPr>
      </w:pPr>
      <w:r w:rsidRPr="00474A9A">
        <w:rPr>
          <w:rStyle w:val="FootnoteReference"/>
          <w:sz w:val="24"/>
          <w:szCs w:val="22"/>
          <w:lang w:val="fi-FI"/>
        </w:rPr>
        <w:footnoteRef/>
      </w:r>
      <w:r w:rsidR="00474A9A" w:rsidRPr="00474A9A">
        <w:rPr>
          <w:sz w:val="24"/>
          <w:lang w:val="fi-FI"/>
        </w:rPr>
        <w:t xml:space="preserve"> </w:t>
      </w:r>
      <w:r w:rsidR="00474A9A" w:rsidRPr="00474A9A">
        <w:rPr>
          <w:sz w:val="24"/>
          <w:lang w:val="fi-FI"/>
        </w:rPr>
        <w:tab/>
      </w:r>
      <w:r w:rsidRPr="00474A9A">
        <w:rPr>
          <w:sz w:val="24"/>
          <w:lang w:val="fi-FI"/>
        </w:rPr>
        <w:t>Ks. edellinen alaviite.</w:t>
      </w:r>
    </w:p>
  </w:footnote>
  <w:footnote w:id="13">
    <w:p w:rsidR="00862F14" w:rsidRPr="00474A9A" w:rsidRDefault="00862F14" w:rsidP="00474A9A">
      <w:pPr>
        <w:pStyle w:val="FootnoteText"/>
        <w:ind w:left="567" w:hanging="567"/>
        <w:rPr>
          <w:sz w:val="24"/>
          <w:szCs w:val="22"/>
          <w:lang w:val="fi-FI"/>
        </w:rPr>
      </w:pPr>
      <w:r w:rsidRPr="00474A9A">
        <w:rPr>
          <w:rStyle w:val="FootnoteReference"/>
          <w:sz w:val="24"/>
          <w:szCs w:val="22"/>
          <w:lang w:val="fi-FI"/>
        </w:rPr>
        <w:footnoteRef/>
      </w:r>
      <w:r w:rsidR="00474A9A" w:rsidRPr="00474A9A">
        <w:rPr>
          <w:sz w:val="24"/>
          <w:lang w:val="fi-FI"/>
        </w:rPr>
        <w:t xml:space="preserve"> </w:t>
      </w:r>
      <w:r w:rsidR="00474A9A" w:rsidRPr="00474A9A">
        <w:rPr>
          <w:sz w:val="24"/>
          <w:lang w:val="fi-FI"/>
        </w:rPr>
        <w:tab/>
      </w:r>
      <w:r w:rsidRPr="00474A9A">
        <w:rPr>
          <w:sz w:val="24"/>
          <w:lang w:val="fi-FI"/>
        </w:rPr>
        <w:t>EFSAn perusteltu lausunto, 9. helmikuuta 2023.</w:t>
      </w:r>
    </w:p>
  </w:footnote>
  <w:footnote w:id="14">
    <w:p w:rsidR="00862F14" w:rsidRPr="00A85B86" w:rsidRDefault="00862F14" w:rsidP="00474A9A">
      <w:pPr>
        <w:pStyle w:val="FootnoteText"/>
        <w:ind w:left="567" w:hanging="567"/>
        <w:rPr>
          <w:sz w:val="24"/>
          <w:szCs w:val="22"/>
          <w:lang w:val="en-GB"/>
        </w:rPr>
      </w:pPr>
      <w:r w:rsidRPr="00474A9A">
        <w:rPr>
          <w:rStyle w:val="FootnoteReference"/>
          <w:sz w:val="24"/>
          <w:szCs w:val="22"/>
          <w:lang w:val="fi-FI"/>
        </w:rPr>
        <w:footnoteRef/>
      </w:r>
      <w:r w:rsidR="00474A9A" w:rsidRPr="00A85B86">
        <w:rPr>
          <w:sz w:val="24"/>
          <w:lang w:val="en-GB"/>
        </w:rPr>
        <w:t xml:space="preserve"> </w:t>
      </w:r>
      <w:r w:rsidR="00474A9A" w:rsidRPr="00A85B86">
        <w:rPr>
          <w:sz w:val="24"/>
          <w:lang w:val="en-GB"/>
        </w:rPr>
        <w:tab/>
      </w:r>
      <w:r w:rsidRPr="00A85B86">
        <w:rPr>
          <w:sz w:val="24"/>
          <w:lang w:val="en-GB"/>
        </w:rPr>
        <w:t>van der Sluijs, J.P., Vaage, N.S.</w:t>
      </w:r>
      <w:proofErr w:type="gramStart"/>
      <w:r w:rsidRPr="00A85B86">
        <w:rPr>
          <w:sz w:val="24"/>
          <w:lang w:val="en-GB"/>
        </w:rPr>
        <w:t>, ”</w:t>
      </w:r>
      <w:proofErr w:type="gramEnd"/>
      <w:r w:rsidRPr="00A85B86">
        <w:rPr>
          <w:sz w:val="24"/>
          <w:lang w:val="en-GB"/>
        </w:rPr>
        <w:t xml:space="preserve">Pollinators and Global Food Security: the Need for Holistic Global Stewardship”, Food ethics 1, 75–91 (2016), </w:t>
      </w:r>
      <w:hyperlink r:id="rId5" w:history="1">
        <w:r w:rsidRPr="00A85B86">
          <w:rPr>
            <w:rStyle w:val="Hyperlink"/>
            <w:sz w:val="24"/>
            <w:lang w:val="en-GB"/>
          </w:rPr>
          <w:t>https://doi.org/10.1007/s41055-016-0003-z</w:t>
        </w:r>
      </w:hyperlink>
      <w:r w:rsidRPr="00A85B86">
        <w:rPr>
          <w:sz w:val="24"/>
          <w:lang w:val="en-GB"/>
        </w:rPr>
        <w:t>.</w:t>
      </w:r>
    </w:p>
  </w:footnote>
  <w:footnote w:id="15">
    <w:p w:rsidR="00862F14" w:rsidRPr="00474A9A" w:rsidRDefault="00862F14" w:rsidP="00474A9A">
      <w:pPr>
        <w:pStyle w:val="FootnoteText"/>
        <w:ind w:left="567" w:hanging="567"/>
        <w:rPr>
          <w:iCs/>
          <w:sz w:val="24"/>
          <w:szCs w:val="22"/>
          <w:lang w:val="fi-FI"/>
        </w:rPr>
      </w:pPr>
      <w:r w:rsidRPr="00474A9A">
        <w:rPr>
          <w:iCs/>
          <w:sz w:val="24"/>
          <w:szCs w:val="22"/>
          <w:vertAlign w:val="superscript"/>
          <w:lang w:val="fi-FI"/>
        </w:rPr>
        <w:footnoteRef/>
      </w:r>
      <w:r w:rsidR="00474A9A" w:rsidRPr="00474A9A">
        <w:rPr>
          <w:sz w:val="24"/>
          <w:lang w:val="fi-FI"/>
        </w:rPr>
        <w:t xml:space="preserve"> </w:t>
      </w:r>
      <w:r w:rsidR="00474A9A" w:rsidRPr="00474A9A">
        <w:rPr>
          <w:sz w:val="24"/>
          <w:lang w:val="fi-FI"/>
        </w:rPr>
        <w:tab/>
      </w:r>
      <w:proofErr w:type="gramStart"/>
      <w:r w:rsidRPr="00474A9A">
        <w:rPr>
          <w:sz w:val="24"/>
          <w:lang w:val="fi-FI"/>
        </w:rPr>
        <w:t>COM(</w:t>
      </w:r>
      <w:proofErr w:type="gramEnd"/>
      <w:r w:rsidRPr="00474A9A">
        <w:rPr>
          <w:sz w:val="24"/>
          <w:lang w:val="fi-FI"/>
        </w:rPr>
        <w:t>2020)0381.</w:t>
      </w:r>
    </w:p>
  </w:footnote>
  <w:footnote w:id="16">
    <w:p w:rsidR="00862F14" w:rsidRPr="00474A9A" w:rsidRDefault="00862F14" w:rsidP="00474A9A">
      <w:pPr>
        <w:pStyle w:val="FootnoteText"/>
        <w:ind w:left="567" w:hanging="567"/>
        <w:rPr>
          <w:sz w:val="24"/>
          <w:szCs w:val="22"/>
          <w:lang w:val="fi-FI"/>
        </w:rPr>
      </w:pPr>
      <w:r w:rsidRPr="00474A9A">
        <w:rPr>
          <w:rStyle w:val="FootnoteReference"/>
          <w:sz w:val="24"/>
          <w:szCs w:val="22"/>
          <w:lang w:val="fi-FI"/>
        </w:rPr>
        <w:footnoteRef/>
      </w:r>
      <w:r w:rsidR="00474A9A" w:rsidRPr="00474A9A">
        <w:rPr>
          <w:sz w:val="24"/>
          <w:lang w:val="fi-FI"/>
        </w:rPr>
        <w:t xml:space="preserve"> </w:t>
      </w:r>
      <w:r w:rsidR="00474A9A" w:rsidRPr="00474A9A">
        <w:rPr>
          <w:sz w:val="24"/>
          <w:lang w:val="fi-FI"/>
        </w:rPr>
        <w:tab/>
      </w:r>
      <w:r w:rsidRPr="00474A9A">
        <w:rPr>
          <w:sz w:val="24"/>
          <w:lang w:val="fi-FI"/>
        </w:rPr>
        <w:t>Komission asetus</w:t>
      </w:r>
      <w:r w:rsidR="00D144BA">
        <w:rPr>
          <w:sz w:val="24"/>
          <w:lang w:val="fi-FI"/>
        </w:rPr>
        <w:t xml:space="preserve"> (EU) 2023/334, annettu 2. helmi</w:t>
      </w:r>
      <w:r w:rsidRPr="00474A9A">
        <w:rPr>
          <w:sz w:val="24"/>
          <w:lang w:val="fi-FI"/>
        </w:rPr>
        <w:t xml:space="preserve">kuuta 2023, Euroopan parlamentin ja neuvoston asetuksen (EY) </w:t>
      </w:r>
      <w:proofErr w:type="gramStart"/>
      <w:r w:rsidRPr="00474A9A">
        <w:rPr>
          <w:sz w:val="24"/>
          <w:lang w:val="fi-FI"/>
        </w:rPr>
        <w:t>N:o</w:t>
      </w:r>
      <w:proofErr w:type="gramEnd"/>
      <w:r w:rsidRPr="00474A9A">
        <w:rPr>
          <w:sz w:val="24"/>
          <w:lang w:val="fi-FI"/>
        </w:rPr>
        <w:t> 396/2005 liitteiden II ja V muuttamisesta siltä osin kuin on kyse klotianidiinin ja tiametoksaamin jäämien enimmäismääristä tietyissä tuotteissa tai niiden pinnalla (EUVL L 47, 15.2.2023, s. 29).</w:t>
      </w:r>
    </w:p>
  </w:footnote>
  <w:footnote w:id="17">
    <w:p w:rsidR="00862F14" w:rsidRPr="00474A9A" w:rsidRDefault="00862F14" w:rsidP="00474A9A">
      <w:pPr>
        <w:pStyle w:val="FootnoteText"/>
        <w:ind w:left="567" w:hanging="567"/>
        <w:rPr>
          <w:sz w:val="24"/>
          <w:szCs w:val="22"/>
          <w:lang w:val="fi-FI"/>
        </w:rPr>
      </w:pPr>
      <w:r w:rsidRPr="00474A9A">
        <w:rPr>
          <w:rStyle w:val="FootnoteReference"/>
          <w:sz w:val="24"/>
          <w:szCs w:val="22"/>
          <w:lang w:val="fi-FI"/>
        </w:rPr>
        <w:footnoteRef/>
      </w:r>
      <w:r w:rsidR="00474A9A" w:rsidRPr="00474A9A">
        <w:rPr>
          <w:sz w:val="24"/>
          <w:lang w:val="fi-FI"/>
        </w:rPr>
        <w:t xml:space="preserve"> </w:t>
      </w:r>
      <w:r w:rsidR="00474A9A" w:rsidRPr="00474A9A">
        <w:rPr>
          <w:sz w:val="24"/>
          <w:lang w:val="fi-FI"/>
        </w:rPr>
        <w:tab/>
      </w:r>
      <w:r w:rsidRPr="00474A9A">
        <w:rPr>
          <w:sz w:val="24"/>
          <w:lang w:val="fi-FI"/>
        </w:rPr>
        <w:t>Ks. edellinen alaviite.</w:t>
      </w:r>
    </w:p>
  </w:footnote>
  <w:footnote w:id="18">
    <w:p w:rsidR="00862F14" w:rsidRPr="00474A9A" w:rsidRDefault="00862F14" w:rsidP="00474A9A">
      <w:pPr>
        <w:pStyle w:val="FootnoteText"/>
        <w:ind w:left="567" w:hanging="567"/>
        <w:rPr>
          <w:sz w:val="24"/>
          <w:szCs w:val="22"/>
          <w:lang w:val="fi-FI"/>
        </w:rPr>
      </w:pPr>
      <w:r w:rsidRPr="00474A9A">
        <w:rPr>
          <w:rStyle w:val="FootnoteReference"/>
          <w:sz w:val="24"/>
          <w:szCs w:val="22"/>
          <w:lang w:val="fi-FI"/>
        </w:rPr>
        <w:footnoteRef/>
      </w:r>
      <w:r w:rsidR="00474A9A" w:rsidRPr="00474A9A">
        <w:rPr>
          <w:sz w:val="24"/>
          <w:lang w:val="fi-FI"/>
        </w:rPr>
        <w:t xml:space="preserve"> </w:t>
      </w:r>
      <w:r w:rsidR="00474A9A" w:rsidRPr="00474A9A">
        <w:rPr>
          <w:sz w:val="24"/>
          <w:lang w:val="fi-FI"/>
        </w:rPr>
        <w:tab/>
      </w:r>
      <w:r w:rsidRPr="00474A9A">
        <w:rPr>
          <w:sz w:val="24"/>
          <w:lang w:val="fi-FI"/>
        </w:rPr>
        <w:t xml:space="preserve">Yhteenvetoraportti PAFF-komitean kokouksesta 10.–11. toukokuuta 2023, </w:t>
      </w:r>
      <w:hyperlink r:id="rId6" w:history="1">
        <w:r w:rsidRPr="00474A9A">
          <w:rPr>
            <w:rStyle w:val="Hyperlink"/>
            <w:sz w:val="24"/>
            <w:lang w:val="fi-FI"/>
          </w:rPr>
          <w:t>https://ec.europa.eu/transparency/comitology-register/screen/documents/090500/1/consult?lang=fi</w:t>
        </w:r>
      </w:hyperlink>
      <w:r w:rsidRPr="00474A9A">
        <w:rPr>
          <w:sz w:val="24"/>
          <w:lang w:val="fi-FI"/>
        </w:rPr>
        <w:t>.</w:t>
      </w:r>
    </w:p>
  </w:footnote>
  <w:footnote w:id="19">
    <w:p w:rsidR="00862F14" w:rsidRPr="00474A9A" w:rsidRDefault="00862F14" w:rsidP="00474A9A">
      <w:pPr>
        <w:pStyle w:val="FootnoteText"/>
        <w:ind w:left="567" w:hanging="567"/>
        <w:rPr>
          <w:sz w:val="24"/>
          <w:szCs w:val="22"/>
          <w:lang w:val="fi-FI"/>
        </w:rPr>
      </w:pPr>
      <w:r w:rsidRPr="00474A9A">
        <w:rPr>
          <w:rStyle w:val="FootnoteReference"/>
          <w:sz w:val="24"/>
          <w:szCs w:val="22"/>
          <w:lang w:val="fi-FI"/>
        </w:rPr>
        <w:footnoteRef/>
      </w:r>
      <w:r w:rsidR="00474A9A" w:rsidRPr="00474A9A">
        <w:rPr>
          <w:sz w:val="24"/>
          <w:lang w:val="fi-FI"/>
        </w:rPr>
        <w:t xml:space="preserve"> </w:t>
      </w:r>
      <w:r w:rsidR="00474A9A" w:rsidRPr="00474A9A">
        <w:rPr>
          <w:sz w:val="24"/>
          <w:lang w:val="fi-FI"/>
        </w:rPr>
        <w:tab/>
      </w:r>
      <w:r w:rsidRPr="00474A9A">
        <w:rPr>
          <w:sz w:val="24"/>
          <w:lang w:val="fi-FI"/>
        </w:rPr>
        <w:t xml:space="preserve">Ellis, C., Park, K.J., Whitehorn, P., David, A., Goulson, D., ”The Neonicotinoid Insecticide Thiacloprid Impacts upon Bumblebee Colony Development under Field Conditions”, Environmental Science &amp; Technology 2017, 51, 3, 1727–1732, </w:t>
      </w:r>
      <w:hyperlink r:id="rId7" w:history="1">
        <w:r w:rsidRPr="00474A9A">
          <w:rPr>
            <w:rStyle w:val="Hyperlink"/>
            <w:sz w:val="24"/>
            <w:lang w:val="fi-FI"/>
          </w:rPr>
          <w:t>https://pubs.acs.org/doi/10.1021/acs.est.6b04791</w:t>
        </w:r>
      </w:hyperlink>
      <w:r w:rsidRPr="00474A9A">
        <w:rPr>
          <w:sz w:val="24"/>
          <w:lang w:val="fi-FI"/>
        </w:rPr>
        <w:t>.</w:t>
      </w:r>
    </w:p>
  </w:footnote>
  <w:footnote w:id="20">
    <w:p w:rsidR="00862F14" w:rsidRPr="00474A9A" w:rsidRDefault="00862F14" w:rsidP="00474A9A">
      <w:pPr>
        <w:pStyle w:val="FootnoteText"/>
        <w:ind w:left="567" w:hanging="567"/>
        <w:rPr>
          <w:sz w:val="24"/>
          <w:szCs w:val="22"/>
          <w:lang w:val="fi-FI"/>
        </w:rPr>
      </w:pPr>
      <w:r w:rsidRPr="00474A9A">
        <w:rPr>
          <w:rStyle w:val="FootnoteReference"/>
          <w:sz w:val="24"/>
          <w:szCs w:val="22"/>
          <w:lang w:val="fi-FI"/>
        </w:rPr>
        <w:footnoteRef/>
      </w:r>
      <w:r w:rsidR="00474A9A" w:rsidRPr="00474A9A">
        <w:rPr>
          <w:sz w:val="24"/>
          <w:lang w:val="fi-FI"/>
        </w:rPr>
        <w:t xml:space="preserve"> </w:t>
      </w:r>
      <w:r w:rsidR="00474A9A" w:rsidRPr="00474A9A">
        <w:rPr>
          <w:sz w:val="24"/>
          <w:lang w:val="fi-FI"/>
        </w:rPr>
        <w:tab/>
      </w:r>
      <w:r w:rsidRPr="00474A9A">
        <w:rPr>
          <w:sz w:val="24"/>
          <w:lang w:val="fi-FI"/>
        </w:rPr>
        <w:t>Ks. edellinen alaviite.</w:t>
      </w:r>
    </w:p>
  </w:footnote>
  <w:footnote w:id="21">
    <w:p w:rsidR="00862F14" w:rsidRPr="00474A9A" w:rsidRDefault="00862F14" w:rsidP="00474A9A">
      <w:pPr>
        <w:pStyle w:val="FootnoteText"/>
        <w:ind w:left="567" w:hanging="567"/>
        <w:rPr>
          <w:sz w:val="24"/>
          <w:szCs w:val="22"/>
          <w:lang w:val="fi-FI"/>
        </w:rPr>
      </w:pPr>
      <w:r w:rsidRPr="00474A9A">
        <w:rPr>
          <w:rStyle w:val="FootnoteReference"/>
          <w:sz w:val="24"/>
          <w:szCs w:val="22"/>
          <w:lang w:val="fi-FI"/>
        </w:rPr>
        <w:footnoteRef/>
      </w:r>
      <w:r w:rsidR="00474A9A" w:rsidRPr="00474A9A">
        <w:rPr>
          <w:sz w:val="24"/>
          <w:lang w:val="fi-FI"/>
        </w:rPr>
        <w:t xml:space="preserve"> </w:t>
      </w:r>
      <w:r w:rsidR="00474A9A" w:rsidRPr="00474A9A">
        <w:rPr>
          <w:sz w:val="24"/>
          <w:lang w:val="fi-FI"/>
        </w:rPr>
        <w:tab/>
      </w:r>
      <w:r w:rsidRPr="00474A9A">
        <w:rPr>
          <w:sz w:val="24"/>
          <w:lang w:val="fi-FI"/>
        </w:rPr>
        <w:t>Brandt, A., Gorenflo, A., Siede, R., Meixner, M. ja Büchler, R., ”The neonicotinoids thiacloprid, imidacloprid, and clothianidin affect the immunocompetence of honey bees (</w:t>
      </w:r>
      <w:r w:rsidRPr="00474A9A">
        <w:rPr>
          <w:i/>
          <w:sz w:val="24"/>
          <w:lang w:val="fi-FI"/>
        </w:rPr>
        <w:t>Apis mellifera</w:t>
      </w:r>
      <w:r w:rsidRPr="00474A9A">
        <w:rPr>
          <w:sz w:val="24"/>
          <w:lang w:val="fi-FI"/>
        </w:rPr>
        <w:t xml:space="preserve"> L.)”, Journal of Insect Physiology, Volume 86, maaliskuu 2016, s. 40–47, </w:t>
      </w:r>
      <w:hyperlink r:id="rId8" w:history="1">
        <w:r w:rsidRPr="00474A9A">
          <w:rPr>
            <w:rStyle w:val="Hyperlink"/>
            <w:sz w:val="24"/>
            <w:lang w:val="fi-FI"/>
          </w:rPr>
          <w:t>https://www.sciencedirect.com/science/article/pii/S0022191016300014</w:t>
        </w:r>
      </w:hyperlink>
      <w:r w:rsidRPr="00474A9A">
        <w:rPr>
          <w:sz w:val="24"/>
          <w:lang w:val="fi-FI"/>
        </w:rPr>
        <w:t>.</w:t>
      </w:r>
    </w:p>
  </w:footnote>
  <w:footnote w:id="22">
    <w:p w:rsidR="00862F14" w:rsidRPr="00A85B86" w:rsidRDefault="00862F14" w:rsidP="00474A9A">
      <w:pPr>
        <w:pStyle w:val="FootnoteText"/>
        <w:keepNext/>
        <w:ind w:left="567" w:hanging="567"/>
        <w:rPr>
          <w:sz w:val="24"/>
          <w:szCs w:val="22"/>
          <w:lang w:val="en-GB"/>
        </w:rPr>
      </w:pPr>
      <w:r w:rsidRPr="00474A9A">
        <w:rPr>
          <w:rStyle w:val="FootnoteReference"/>
          <w:sz w:val="24"/>
          <w:szCs w:val="22"/>
          <w:lang w:val="fi-FI"/>
        </w:rPr>
        <w:footnoteRef/>
      </w:r>
      <w:r w:rsidR="00474A9A" w:rsidRPr="00A85B86">
        <w:rPr>
          <w:sz w:val="24"/>
          <w:lang w:val="en-GB"/>
        </w:rPr>
        <w:t xml:space="preserve"> </w:t>
      </w:r>
      <w:r w:rsidR="00474A9A" w:rsidRPr="00A85B86">
        <w:rPr>
          <w:sz w:val="24"/>
          <w:lang w:val="en-GB"/>
        </w:rPr>
        <w:tab/>
      </w:r>
      <w:r w:rsidRPr="00A85B86">
        <w:rPr>
          <w:sz w:val="24"/>
          <w:lang w:val="en-GB"/>
        </w:rPr>
        <w:t xml:space="preserve">Tison, L., Hahn, M.-L., Holtz, S., Rößner A., Greggers, U., Bischoff, G., ja Menzel, R., ”Honey Bees’ Behavior Is Impaired by Chronic Exposure to the Neonicotinoid Thiacloprid in the Field”, Environmental Science &amp; Technology 2016, 50, 13, 7218–7227, </w:t>
      </w:r>
      <w:hyperlink r:id="rId9" w:history="1">
        <w:r w:rsidRPr="00A85B86">
          <w:rPr>
            <w:rStyle w:val="Hyperlink"/>
            <w:sz w:val="24"/>
            <w:lang w:val="en-GB"/>
          </w:rPr>
          <w:t>https://pubs.acs.org/doi/full/10.1021/acs.est.6b02658</w:t>
        </w:r>
      </w:hyperlink>
      <w:r w:rsidRPr="00A85B86">
        <w:rPr>
          <w:sz w:val="24"/>
          <w:lang w:val="en-GB"/>
        </w:rPr>
        <w:t xml:space="preserve">. </w:t>
      </w:r>
    </w:p>
  </w:footnote>
  <w:footnote w:id="23">
    <w:p w:rsidR="00862F14" w:rsidRPr="00A85B86" w:rsidRDefault="00862F14" w:rsidP="00474A9A">
      <w:pPr>
        <w:pStyle w:val="FootnoteText"/>
        <w:ind w:left="567" w:hanging="567"/>
        <w:rPr>
          <w:iCs/>
          <w:sz w:val="24"/>
          <w:szCs w:val="22"/>
          <w:lang w:val="en-GB"/>
        </w:rPr>
      </w:pPr>
      <w:r w:rsidRPr="00474A9A">
        <w:rPr>
          <w:iCs/>
          <w:sz w:val="24"/>
          <w:szCs w:val="22"/>
          <w:vertAlign w:val="superscript"/>
          <w:lang w:val="fi-FI"/>
        </w:rPr>
        <w:footnoteRef/>
      </w:r>
      <w:r w:rsidR="00474A9A" w:rsidRPr="00A85B86">
        <w:rPr>
          <w:sz w:val="24"/>
          <w:lang w:val="en-GB"/>
        </w:rPr>
        <w:t xml:space="preserve"> </w:t>
      </w:r>
      <w:r w:rsidR="00474A9A" w:rsidRPr="00A85B86">
        <w:rPr>
          <w:sz w:val="24"/>
          <w:lang w:val="en-GB"/>
        </w:rPr>
        <w:tab/>
      </w:r>
      <w:r w:rsidRPr="00A85B86">
        <w:rPr>
          <w:sz w:val="24"/>
          <w:lang w:val="en-GB"/>
        </w:rPr>
        <w:t>Pisa, L., Goulson, D., Yang, E.C. ja muut</w:t>
      </w:r>
      <w:proofErr w:type="gramStart"/>
      <w:r w:rsidRPr="00A85B86">
        <w:rPr>
          <w:sz w:val="24"/>
          <w:lang w:val="en-GB"/>
        </w:rPr>
        <w:t>, ”</w:t>
      </w:r>
      <w:proofErr w:type="gramEnd"/>
      <w:r w:rsidRPr="00A85B86">
        <w:rPr>
          <w:sz w:val="24"/>
          <w:lang w:val="en-GB"/>
        </w:rPr>
        <w:t xml:space="preserve">An update of the Worldwide Integrated Assessment (WIA) on systemic insecticides. Part 2: impacts on organisms and ecosystems”, Environmental Science and Pollution Research 28, 11749–11797 (2021), </w:t>
      </w:r>
      <w:hyperlink r:id="rId10" w:history="1">
        <w:r w:rsidRPr="00A85B86">
          <w:rPr>
            <w:rStyle w:val="Hyperlink"/>
            <w:sz w:val="24"/>
            <w:lang w:val="en-GB"/>
          </w:rPr>
          <w:t>https://doi.org/10.1007/s11356-017-0341-3</w:t>
        </w:r>
      </w:hyperlink>
      <w:r w:rsidRPr="00A85B86">
        <w:rPr>
          <w:sz w:val="24"/>
          <w:lang w:val="en-GB"/>
        </w:rPr>
        <w:t>.</w:t>
      </w:r>
    </w:p>
  </w:footnote>
  <w:footnote w:id="24">
    <w:p w:rsidR="00862F14" w:rsidRPr="00A85B86" w:rsidRDefault="00862F14" w:rsidP="00474A9A">
      <w:pPr>
        <w:pStyle w:val="FootnoteText"/>
        <w:ind w:left="567" w:hanging="567"/>
        <w:rPr>
          <w:sz w:val="24"/>
          <w:szCs w:val="22"/>
          <w:lang w:val="en-GB"/>
        </w:rPr>
      </w:pPr>
      <w:r w:rsidRPr="00474A9A">
        <w:rPr>
          <w:rStyle w:val="FootnoteReference"/>
          <w:sz w:val="24"/>
          <w:szCs w:val="22"/>
          <w:lang w:val="fi-FI"/>
        </w:rPr>
        <w:footnoteRef/>
      </w:r>
      <w:r w:rsidR="00474A9A" w:rsidRPr="00A85B86">
        <w:rPr>
          <w:sz w:val="24"/>
          <w:lang w:val="en-GB"/>
        </w:rPr>
        <w:t xml:space="preserve"> </w:t>
      </w:r>
      <w:r w:rsidR="00474A9A" w:rsidRPr="00A85B86">
        <w:rPr>
          <w:sz w:val="24"/>
          <w:lang w:val="en-GB"/>
        </w:rPr>
        <w:tab/>
      </w:r>
      <w:hyperlink r:id="rId11" w:history="1">
        <w:r w:rsidRPr="00A85B86">
          <w:rPr>
            <w:rStyle w:val="Hyperlink"/>
            <w:sz w:val="24"/>
            <w:lang w:val="en-GB"/>
          </w:rPr>
          <w:t>https://ec.europa.eu/food/plant/pesticides/eu-pesticides-database/start/screen/active-substances/details/841</w:t>
        </w:r>
      </w:hyperlink>
      <w:r w:rsidRPr="00A85B86">
        <w:rPr>
          <w:sz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FI"/>
    <w:docVar w:name="dvnumam" w:val="0"/>
    <w:docVar w:name="dvpe" w:val="757.277"/>
    <w:docVar w:name="dvtitre" w:val="Euroopan parlamentin päätöslauselma 17. tammikuuta 2024 ehdotuksesta neuvoston asetukseksi Euroopan parlamentin ja neuvoston asetuksen (EY) N:o 396/2005 liitteen II muuttamisesta siltä osin kuin on kyse tiaklopridin jäämien enimmäismääristä tietyissä tuotteissa tai niiden pinnalla(COM(2023)0739 – 2023/3005(RPS))"/>
  </w:docVars>
  <w:rsids>
    <w:rsidRoot w:val="00F85424"/>
    <w:rsid w:val="00002272"/>
    <w:rsid w:val="000149C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4A9A"/>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8AE"/>
    <w:rsid w:val="00862F14"/>
    <w:rsid w:val="00865F67"/>
    <w:rsid w:val="00881A7B"/>
    <w:rsid w:val="008840E5"/>
    <w:rsid w:val="00887B3E"/>
    <w:rsid w:val="008C2AC6"/>
    <w:rsid w:val="00930C23"/>
    <w:rsid w:val="0093193B"/>
    <w:rsid w:val="009509D8"/>
    <w:rsid w:val="00950B64"/>
    <w:rsid w:val="00981893"/>
    <w:rsid w:val="00A1687D"/>
    <w:rsid w:val="00A43E52"/>
    <w:rsid w:val="00A4678D"/>
    <w:rsid w:val="00A533DA"/>
    <w:rsid w:val="00A778C7"/>
    <w:rsid w:val="00A85B8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4BA"/>
    <w:rsid w:val="00D56C11"/>
    <w:rsid w:val="00D834A0"/>
    <w:rsid w:val="00D872DF"/>
    <w:rsid w:val="00D91E21"/>
    <w:rsid w:val="00DA7FCD"/>
    <w:rsid w:val="00E365E1"/>
    <w:rsid w:val="00E820A4"/>
    <w:rsid w:val="00E905E7"/>
    <w:rsid w:val="00EB006A"/>
    <w:rsid w:val="00EB4772"/>
    <w:rsid w:val="00ED169E"/>
    <w:rsid w:val="00ED4235"/>
    <w:rsid w:val="00F04346"/>
    <w:rsid w:val="00F075DC"/>
    <w:rsid w:val="00F149E9"/>
    <w:rsid w:val="00F5134D"/>
    <w:rsid w:val="00F74202"/>
    <w:rsid w:val="00F8542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BC6B8"/>
  <w15:chartTrackingRefBased/>
  <w15:docId w15:val="{E16A415D-E879-4827-9D02-2F63F109D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2F14"/>
    <w:pPr>
      <w:spacing w:before="480" w:after="240"/>
    </w:pPr>
  </w:style>
  <w:style w:type="paragraph" w:customStyle="1" w:styleId="NormalHanging12a">
    <w:name w:val="NormalHanging12a"/>
    <w:basedOn w:val="Normal"/>
    <w:rsid w:val="00862F14"/>
    <w:pPr>
      <w:spacing w:after="240"/>
      <w:ind w:left="567" w:hanging="567"/>
    </w:pPr>
  </w:style>
  <w:style w:type="character" w:styleId="Hyperlink">
    <w:name w:val="Hyperlink"/>
    <w:basedOn w:val="DefaultParagraphFont"/>
    <w:uiPriority w:val="99"/>
    <w:unhideWhenUsed/>
    <w:rsid w:val="00862F14"/>
    <w:rPr>
      <w:color w:val="0563C1" w:themeColor="hyperlink"/>
      <w:u w:val="single"/>
    </w:rPr>
  </w:style>
  <w:style w:type="paragraph" w:styleId="Footer">
    <w:name w:val="footer"/>
    <w:basedOn w:val="Normal"/>
    <w:link w:val="FooterChar"/>
    <w:rsid w:val="008448AE"/>
    <w:pPr>
      <w:tabs>
        <w:tab w:val="center" w:pos="4513"/>
        <w:tab w:val="right" w:pos="9026"/>
      </w:tabs>
    </w:pPr>
  </w:style>
  <w:style w:type="character" w:customStyle="1" w:styleId="FooterChar">
    <w:name w:val="Footer Char"/>
    <w:basedOn w:val="DefaultParagraphFont"/>
    <w:link w:val="Footer"/>
    <w:rsid w:val="008448AE"/>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fi"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en"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CAAA3-9300-4354-9AE9-0C19D1F37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1874</Words>
  <Characters>14865</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4</cp:revision>
  <cp:lastPrinted>2004-11-19T15:42:00Z</cp:lastPrinted>
  <dcterms:created xsi:type="dcterms:W3CDTF">2024-01-17T11:40:00Z</dcterms:created>
  <dcterms:modified xsi:type="dcterms:W3CDTF">2024-02-19T11:05:00Z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B9-0057/2024</vt:lpwstr>
  </property>
  <property fmtid="{D5CDD505-2E9C-101B-9397-08002B2CF9AE}" pid="4" name="&lt;Type&gt;">
    <vt:lpwstr>RR</vt:lpwstr>
  </property>
</Properties>
</file>