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0C9F" w:rsidTr="0010095E">
        <w:trPr>
          <w:trHeight w:hRule="exact" w:val="1418"/>
        </w:trPr>
        <w:tc>
          <w:tcPr>
            <w:tcW w:w="6804" w:type="dxa"/>
            <w:shd w:val="clear" w:color="auto" w:fill="auto"/>
            <w:vAlign w:val="center"/>
          </w:tcPr>
          <w:p w:rsidR="00751A4A" w:rsidRPr="00460C9F" w:rsidRDefault="00296BB8" w:rsidP="0010095E">
            <w:pPr>
              <w:pStyle w:val="EPName"/>
            </w:pPr>
            <w:r w:rsidRPr="00460C9F">
              <w:t>Europski parlament</w:t>
            </w:r>
          </w:p>
          <w:p w:rsidR="00751A4A" w:rsidRPr="00460C9F" w:rsidRDefault="00817416" w:rsidP="00756632">
            <w:pPr>
              <w:pStyle w:val="EPTerm"/>
              <w:rPr>
                <w:rStyle w:val="HideTWBExt"/>
                <w:noProof w:val="0"/>
                <w:vanish w:val="0"/>
                <w:color w:val="auto"/>
              </w:rPr>
            </w:pPr>
            <w:r w:rsidRPr="00460C9F">
              <w:t>2019-2024</w:t>
            </w:r>
          </w:p>
        </w:tc>
        <w:tc>
          <w:tcPr>
            <w:tcW w:w="2268" w:type="dxa"/>
            <w:shd w:val="clear" w:color="auto" w:fill="auto"/>
          </w:tcPr>
          <w:p w:rsidR="00751A4A" w:rsidRPr="00460C9F" w:rsidRDefault="00187494" w:rsidP="0010095E">
            <w:pPr>
              <w:pStyle w:val="EPLogo"/>
            </w:pPr>
            <w:r w:rsidRPr="00460C9F">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0C9F" w:rsidRDefault="00D058B8" w:rsidP="004C5D52">
      <w:pPr>
        <w:pStyle w:val="LineTop"/>
      </w:pPr>
    </w:p>
    <w:p w:rsidR="00680577" w:rsidRPr="00460C9F" w:rsidRDefault="00296BB8" w:rsidP="00680577">
      <w:pPr>
        <w:pStyle w:val="EPBodyTA1"/>
      </w:pPr>
      <w:r w:rsidRPr="00460C9F">
        <w:t>USVOJENI TEKSTOVI</w:t>
      </w:r>
    </w:p>
    <w:p w:rsidR="00D058B8" w:rsidRPr="00460C9F" w:rsidRDefault="00D058B8" w:rsidP="00D058B8">
      <w:pPr>
        <w:pStyle w:val="LineBottom"/>
      </w:pPr>
    </w:p>
    <w:p w:rsidR="00296BB8" w:rsidRPr="00460C9F" w:rsidRDefault="00296BB8" w:rsidP="00296BB8">
      <w:pPr>
        <w:pStyle w:val="ATHeading1"/>
      </w:pPr>
      <w:bookmarkStart w:id="0" w:name="TANumber"/>
      <w:r w:rsidRPr="00460C9F">
        <w:t>P9_TA(2024)00</w:t>
      </w:r>
      <w:bookmarkEnd w:id="0"/>
      <w:r w:rsidR="00460C9F" w:rsidRPr="00460C9F">
        <w:t>16</w:t>
      </w:r>
    </w:p>
    <w:p w:rsidR="00296BB8" w:rsidRPr="00460C9F" w:rsidRDefault="002C1A2F" w:rsidP="00296BB8">
      <w:pPr>
        <w:pStyle w:val="ATHeading2"/>
      </w:pPr>
      <w:bookmarkStart w:id="1" w:name="title"/>
      <w:r w:rsidRPr="00460C9F">
        <w:t>Prigovor na provedbeni akt:</w:t>
      </w:r>
      <w:bookmarkEnd w:id="1"/>
      <w:r w:rsidRPr="00460C9F">
        <w:t xml:space="preserve"> Maksimalne razine</w:t>
      </w:r>
      <w:r w:rsidR="00296BB8" w:rsidRPr="00460C9F">
        <w:t xml:space="preserve"> ostataka za </w:t>
      </w:r>
      <w:proofErr w:type="spellStart"/>
      <w:r w:rsidR="00296BB8" w:rsidRPr="00460C9F">
        <w:t>tiakloprid</w:t>
      </w:r>
      <w:proofErr w:type="spellEnd"/>
      <w:r w:rsidR="00296BB8" w:rsidRPr="00460C9F">
        <w:t xml:space="preserve"> </w:t>
      </w:r>
    </w:p>
    <w:p w:rsidR="00296BB8" w:rsidRPr="00460C9F" w:rsidRDefault="00296BB8" w:rsidP="00296BB8">
      <w:pPr>
        <w:rPr>
          <w:i/>
          <w:vanish/>
        </w:rPr>
      </w:pPr>
      <w:r w:rsidRPr="00460C9F">
        <w:rPr>
          <w:i/>
        </w:rPr>
        <w:fldChar w:fldCharType="begin"/>
      </w:r>
      <w:r w:rsidRPr="00460C9F">
        <w:rPr>
          <w:i/>
        </w:rPr>
        <w:instrText xml:space="preserve"> TC"(</w:instrText>
      </w:r>
      <w:bookmarkStart w:id="2" w:name="DocNumber"/>
      <w:r w:rsidRPr="00460C9F">
        <w:rPr>
          <w:i/>
        </w:rPr>
        <w:instrText>B9-0057/2024</w:instrText>
      </w:r>
      <w:bookmarkEnd w:id="2"/>
      <w:r w:rsidRPr="00460C9F">
        <w:rPr>
          <w:i/>
        </w:rPr>
        <w:instrText xml:space="preserve">)"\l3 \n&gt; \* MERGEFORMAT </w:instrText>
      </w:r>
      <w:r w:rsidRPr="00460C9F">
        <w:rPr>
          <w:i/>
        </w:rPr>
        <w:fldChar w:fldCharType="end"/>
      </w:r>
    </w:p>
    <w:p w:rsidR="00296BB8" w:rsidRPr="00460C9F" w:rsidRDefault="00296BB8" w:rsidP="00296BB8">
      <w:pPr>
        <w:rPr>
          <w:vanish/>
        </w:rPr>
      </w:pPr>
      <w:bookmarkStart w:id="3" w:name="PE"/>
      <w:r w:rsidRPr="00460C9F">
        <w:rPr>
          <w:vanish/>
        </w:rPr>
        <w:t>PE757.277</w:t>
      </w:r>
      <w:bookmarkEnd w:id="3"/>
    </w:p>
    <w:p w:rsidR="00296BB8" w:rsidRPr="00460C9F" w:rsidRDefault="00296BB8" w:rsidP="00296BB8">
      <w:pPr>
        <w:pStyle w:val="ATHeading3"/>
      </w:pPr>
      <w:bookmarkStart w:id="4" w:name="Sujet"/>
      <w:r w:rsidRPr="00460C9F">
        <w:t>Rezoluc</w:t>
      </w:r>
      <w:r w:rsidR="002C1A2F" w:rsidRPr="00460C9F">
        <w:t>ija Europskog parlamenta od 17. siječnja</w:t>
      </w:r>
      <w:r w:rsidRPr="00460C9F">
        <w:t xml:space="preserve"> 2024. o Prijedlogu uredbe Komisije o izmjeni Priloga II. Uredbi (EZ) br. 396/2005 Europskog parlamenta i Vijeća u pogledu maksimalnih razina ostataka za </w:t>
      </w:r>
      <w:proofErr w:type="spellStart"/>
      <w:r w:rsidRPr="00460C9F">
        <w:t>tiakloprid</w:t>
      </w:r>
      <w:proofErr w:type="spellEnd"/>
      <w:r w:rsidRPr="00460C9F">
        <w:t xml:space="preserve"> u ili na određenim proizvodima</w:t>
      </w:r>
      <w:bookmarkEnd w:id="4"/>
      <w:r w:rsidRPr="00460C9F">
        <w:t xml:space="preserve"> </w:t>
      </w:r>
      <w:bookmarkStart w:id="5" w:name="References"/>
      <w:r w:rsidRPr="00460C9F">
        <w:t>(COM(2023)0739 – 2023/3005(RPS))</w:t>
      </w:r>
      <w:bookmarkEnd w:id="5"/>
    </w:p>
    <w:p w:rsidR="00932678" w:rsidRPr="00460C9F" w:rsidRDefault="00932678" w:rsidP="00932678">
      <w:pPr>
        <w:pStyle w:val="EPComma"/>
      </w:pPr>
      <w:bookmarkStart w:id="6" w:name="TextBodyBegin"/>
      <w:bookmarkEnd w:id="6"/>
      <w:r w:rsidRPr="00460C9F">
        <w:rPr>
          <w:i/>
        </w:rPr>
        <w:t>Europski parlament</w:t>
      </w:r>
      <w:r w:rsidRPr="00460C9F">
        <w:t>,</w:t>
      </w:r>
    </w:p>
    <w:p w:rsidR="00932678" w:rsidRPr="00460C9F" w:rsidRDefault="00932678" w:rsidP="002C1A2F">
      <w:pPr>
        <w:pStyle w:val="NormalHanging12a"/>
      </w:pPr>
      <w:r w:rsidRPr="00460C9F">
        <w:t>–</w:t>
      </w:r>
      <w:r w:rsidRPr="00460C9F">
        <w:tab/>
        <w:t xml:space="preserve">uzimajući u obzir Prijedlog uredbe Vijeća o izmjeni priloga II. Uredbi (EZ) br. 396/2005 Europskog parlamenta i Vijeća u pogledu maksimalnih razina ostataka za </w:t>
      </w:r>
      <w:proofErr w:type="spellStart"/>
      <w:r w:rsidRPr="00460C9F">
        <w:t>tiakloprid</w:t>
      </w:r>
      <w:proofErr w:type="spellEnd"/>
      <w:r w:rsidRPr="00460C9F">
        <w:t xml:space="preserve"> u ili na određenim proizvodima (COM(2023)0739),</w:t>
      </w:r>
    </w:p>
    <w:p w:rsidR="00932678" w:rsidRPr="00460C9F" w:rsidRDefault="00932678" w:rsidP="002C1A2F">
      <w:pPr>
        <w:pStyle w:val="NormalHanging12a"/>
        <w:rPr>
          <w:szCs w:val="24"/>
        </w:rPr>
      </w:pPr>
      <w:r w:rsidRPr="00460C9F">
        <w:t>–</w:t>
      </w:r>
      <w:r w:rsidRPr="00460C9F">
        <w:tab/>
        <w:t>uzimajući u obzir Uredbu (EZ) br. 396/2005 Europskog parlamenta i Vijeća od 23. veljače 2005. o maksimalnim razinama ostataka pesticida u ili na hrani i hrani za životinje biljnog i životinjskog podrijetla i o izmjeni Direktive Vijeća 91/414/EEZ</w:t>
      </w:r>
      <w:r w:rsidRPr="00460C9F">
        <w:rPr>
          <w:rStyle w:val="FootnoteReference"/>
        </w:rPr>
        <w:footnoteReference w:id="1"/>
      </w:r>
      <w:r w:rsidRPr="00460C9F">
        <w:t>, a posebno njezin članak 14. stavak 1. točku</w:t>
      </w:r>
      <w:r w:rsidR="00823BE3">
        <w:t> (a) i članak 49. stavak 2.,</w:t>
      </w:r>
    </w:p>
    <w:p w:rsidR="00932678" w:rsidRPr="00460C9F" w:rsidRDefault="00B401E9" w:rsidP="002C1A2F">
      <w:pPr>
        <w:pStyle w:val="NormalHanging12a"/>
        <w:rPr>
          <w:szCs w:val="24"/>
        </w:rPr>
      </w:pPr>
      <w:r>
        <w:t>–</w:t>
      </w:r>
      <w:r>
        <w:tab/>
        <w:t xml:space="preserve">uzimajući u obzir Uredbu (EZ) </w:t>
      </w:r>
      <w:r w:rsidR="00932678" w:rsidRPr="00460C9F">
        <w:t>br. 1107/2009 Europskog parlamenta i Vijeća od 21. listopada 2009. o stavljanju na tržište sredstava za zaštitu bilja i stavljanju izvan snage direktiva Vijeća 79/117/EEZ i 91/414/EEZ</w:t>
      </w:r>
      <w:r w:rsidR="00932678" w:rsidRPr="00460C9F">
        <w:rPr>
          <w:rStyle w:val="FootnoteReference"/>
          <w:szCs w:val="24"/>
        </w:rPr>
        <w:footnoteReference w:id="2"/>
      </w:r>
      <w:r w:rsidR="00932678" w:rsidRPr="00460C9F">
        <w:t>, a posebno njezin članak 4. stavak 1., članak 4. stavak 2. prvi podstavak točku (a) i točku 3.6.4. Priloga II.,</w:t>
      </w:r>
    </w:p>
    <w:p w:rsidR="00932678" w:rsidRPr="00460C9F" w:rsidRDefault="00932678" w:rsidP="002C1A2F">
      <w:pPr>
        <w:pStyle w:val="NormalHanging12a"/>
        <w:rPr>
          <w:szCs w:val="24"/>
        </w:rPr>
      </w:pPr>
      <w:r w:rsidRPr="00460C9F">
        <w:t>–</w:t>
      </w:r>
      <w:r w:rsidRPr="00460C9F">
        <w:tab/>
        <w:t>uzimajući u obzir Uredbu (EZ) br. 178/2002 Europskog parlamenta i Vijeća od 28. siječnja 2002. o utvrđivanju općih načela i uvjeta zakona o hrani, osnivanju Europske agencije za sigurnost hrane te utvrđivanju postupaka u područjima sigurnosti hrane</w:t>
      </w:r>
      <w:r w:rsidRPr="00460C9F">
        <w:rPr>
          <w:rStyle w:val="FootnoteReference"/>
          <w:szCs w:val="24"/>
        </w:rPr>
        <w:footnoteReference w:id="3"/>
      </w:r>
      <w:r w:rsidRPr="00460C9F">
        <w:t>, a posebno njezin članak 5. stavak 1.,</w:t>
      </w:r>
    </w:p>
    <w:p w:rsidR="00932678" w:rsidRPr="00460C9F" w:rsidRDefault="00932678" w:rsidP="002C1A2F">
      <w:pPr>
        <w:pStyle w:val="NormalHanging12a"/>
        <w:rPr>
          <w:szCs w:val="24"/>
        </w:rPr>
      </w:pPr>
      <w:r w:rsidRPr="00460C9F">
        <w:t>–</w:t>
      </w:r>
      <w:r w:rsidRPr="00460C9F">
        <w:tab/>
        <w:t>uzimajući u obzir članke 11., 13., 168. i 191. Ugovora o funkcioniranju Europske unije,</w:t>
      </w:r>
    </w:p>
    <w:p w:rsidR="00932678" w:rsidRPr="00460C9F" w:rsidRDefault="00932678" w:rsidP="002C1A2F">
      <w:pPr>
        <w:pStyle w:val="NormalHanging12a"/>
      </w:pPr>
      <w:r w:rsidRPr="00460C9F">
        <w:t>–</w:t>
      </w:r>
      <w:r w:rsidRPr="00460C9F">
        <w:tab/>
        <w:t xml:space="preserve">uzimajući u obzir obrazloženo mišljenje EFSA-e (Europska agencija za sigurnost hrane) </w:t>
      </w:r>
      <w:r w:rsidRPr="00460C9F">
        <w:lastRenderedPageBreak/>
        <w:t>doneseno 9. veljače 2023. i objavljeno 15. ožujka 2023.</w:t>
      </w:r>
      <w:r w:rsidRPr="00460C9F">
        <w:rPr>
          <w:rStyle w:val="FootnoteReference"/>
        </w:rPr>
        <w:footnoteReference w:id="4"/>
      </w:r>
      <w:r w:rsidRPr="00460C9F">
        <w:t>,</w:t>
      </w:r>
    </w:p>
    <w:p w:rsidR="00932678" w:rsidRPr="00460C9F" w:rsidRDefault="00932678" w:rsidP="002C1A2F">
      <w:pPr>
        <w:pStyle w:val="NormalHanging12a"/>
        <w:rPr>
          <w:szCs w:val="24"/>
        </w:rPr>
      </w:pPr>
      <w:r w:rsidRPr="00460C9F">
        <w:t>–</w:t>
      </w:r>
      <w:r w:rsidRPr="00460C9F">
        <w:tab/>
        <w:t>uzimajući u obzir zaključak stručne recenzije koju je EFSA odobrila 17. siječnja 2019. i koja je objavljena 14. ožujka 2019.</w:t>
      </w:r>
      <w:r w:rsidRPr="00460C9F">
        <w:rPr>
          <w:rStyle w:val="FootnoteReference"/>
          <w:szCs w:val="24"/>
        </w:rPr>
        <w:footnoteReference w:id="5"/>
      </w:r>
      <w:r w:rsidRPr="00460C9F">
        <w:t>,</w:t>
      </w:r>
    </w:p>
    <w:p w:rsidR="00932678" w:rsidRPr="00460C9F" w:rsidRDefault="00932678" w:rsidP="002C1A2F">
      <w:pPr>
        <w:pStyle w:val="NormalHanging12a"/>
        <w:rPr>
          <w:szCs w:val="24"/>
        </w:rPr>
      </w:pPr>
      <w:r w:rsidRPr="00460C9F">
        <w:t>–</w:t>
      </w:r>
      <w:r w:rsidRPr="00460C9F">
        <w:tab/>
        <w:t>uzimajući u obzir mišljenje koje je Odbor za procjenu rizika (RAC) pri Europskoj agenciji za kemikalije (ECHA) donio 12. ožujka 2015.</w:t>
      </w:r>
      <w:r w:rsidRPr="00460C9F">
        <w:rPr>
          <w:rStyle w:val="FootnoteReference"/>
          <w:szCs w:val="24"/>
        </w:rPr>
        <w:footnoteReference w:id="6"/>
      </w:r>
      <w:r w:rsidRPr="00460C9F">
        <w:t>,</w:t>
      </w:r>
    </w:p>
    <w:p w:rsidR="00932678" w:rsidRPr="00460C9F" w:rsidRDefault="00932678" w:rsidP="002C1A2F">
      <w:pPr>
        <w:pStyle w:val="NormalHanging12a"/>
        <w:rPr>
          <w:szCs w:val="24"/>
        </w:rPr>
      </w:pPr>
      <w:r w:rsidRPr="00460C9F">
        <w:t>–</w:t>
      </w:r>
      <w:r w:rsidRPr="00460C9F">
        <w:tab/>
        <w:t>uzimajući u obzir članak 5.a stavak 4. točku (e) i članak 5.a stavak 5. Odluke Vijeća 1999/468/EZ od 28. lipnja 1999. o utvrđivanju postupaka za izvršavanje provedbenih ovlasti dodijeljenih Komisiji</w:t>
      </w:r>
      <w:r w:rsidRPr="00460C9F">
        <w:rPr>
          <w:rStyle w:val="FootnoteReference"/>
          <w:szCs w:val="24"/>
        </w:rPr>
        <w:footnoteReference w:id="7"/>
      </w:r>
      <w:r w:rsidRPr="00460C9F">
        <w:t>,</w:t>
      </w:r>
    </w:p>
    <w:p w:rsidR="00932678" w:rsidRPr="00460C9F" w:rsidRDefault="00932678" w:rsidP="002C1A2F">
      <w:pPr>
        <w:pStyle w:val="NormalHanging12a"/>
      </w:pPr>
      <w:r w:rsidRPr="00460C9F">
        <w:t>–</w:t>
      </w:r>
      <w:r w:rsidRPr="00460C9F">
        <w:tab/>
        <w:t>uzimajući u obzir članak 112. stavke 2. i 3. te stavak 4. točku (c) Poslovnika,</w:t>
      </w:r>
    </w:p>
    <w:p w:rsidR="00932678" w:rsidRPr="00460C9F" w:rsidRDefault="00932678" w:rsidP="002C1A2F">
      <w:pPr>
        <w:pStyle w:val="NormalHanging12a"/>
      </w:pPr>
      <w:r w:rsidRPr="00460C9F">
        <w:t>–</w:t>
      </w:r>
      <w:r w:rsidRPr="00460C9F">
        <w:tab/>
        <w:t>uzimajući u obzir Prijedlog rezolucije Odbora za okoliš, javno zdravlje i sigurnost hrane,</w:t>
      </w:r>
    </w:p>
    <w:p w:rsidR="00932678" w:rsidRPr="00460C9F" w:rsidRDefault="00932678" w:rsidP="002C1A2F">
      <w:pPr>
        <w:pStyle w:val="NormalHanging12a"/>
      </w:pPr>
      <w:r w:rsidRPr="00460C9F">
        <w:t>A.</w:t>
      </w:r>
      <w:r w:rsidRPr="00460C9F">
        <w:tab/>
        <w:t xml:space="preserve">budući da je </w:t>
      </w:r>
      <w:proofErr w:type="spellStart"/>
      <w:r w:rsidRPr="00460C9F">
        <w:t>tiakloprid</w:t>
      </w:r>
      <w:proofErr w:type="spellEnd"/>
      <w:r w:rsidRPr="00460C9F">
        <w:t xml:space="preserve"> aktivan sastojak insekticida koji se uglavnom koriste na pamuku, </w:t>
      </w:r>
      <w:proofErr w:type="spellStart"/>
      <w:r w:rsidRPr="00460C9F">
        <w:t>jezgričavom</w:t>
      </w:r>
      <w:proofErr w:type="spellEnd"/>
      <w:r w:rsidRPr="00460C9F">
        <w:t xml:space="preserve"> voću, povrću i krumpiru;</w:t>
      </w:r>
    </w:p>
    <w:p w:rsidR="00932678" w:rsidRPr="00460C9F" w:rsidRDefault="00932678" w:rsidP="002C1A2F">
      <w:pPr>
        <w:pStyle w:val="NormalHanging12a"/>
      </w:pPr>
      <w:r w:rsidRPr="00460C9F">
        <w:t>B.</w:t>
      </w:r>
      <w:r w:rsidRPr="00460C9F">
        <w:tab/>
        <w:t xml:space="preserve">budući da je odobrenje za aktivnu tvar </w:t>
      </w:r>
      <w:proofErr w:type="spellStart"/>
      <w:r w:rsidRPr="00460C9F">
        <w:t>tiakloprid</w:t>
      </w:r>
      <w:proofErr w:type="spellEnd"/>
      <w:r w:rsidRPr="00460C9F">
        <w:t xml:space="preserve"> isteklo 3. veljače 2020. i nije produljeno u skladu s Provedbenom uredbom Komisije (EU) 2020/23</w:t>
      </w:r>
      <w:r w:rsidRPr="00460C9F">
        <w:rPr>
          <w:rStyle w:val="FootnoteReference"/>
        </w:rPr>
        <w:footnoteReference w:id="8"/>
      </w:r>
      <w:r w:rsidRPr="00460C9F">
        <w:t xml:space="preserve">; budući da je razdoblje odgode za sredstva za zaštitu bilja koja sadržavaju </w:t>
      </w:r>
      <w:proofErr w:type="spellStart"/>
      <w:r w:rsidRPr="00460C9F">
        <w:t>tiakloprid</w:t>
      </w:r>
      <w:proofErr w:type="spellEnd"/>
      <w:r w:rsidRPr="00460C9F">
        <w:t xml:space="preserve"> isteklo 3. veljače 2021.;</w:t>
      </w:r>
    </w:p>
    <w:p w:rsidR="00932678" w:rsidRPr="00460C9F" w:rsidRDefault="00932678" w:rsidP="002C1A2F">
      <w:pPr>
        <w:pStyle w:val="NormalHanging12a"/>
      </w:pPr>
      <w:r w:rsidRPr="00460C9F">
        <w:t>C.</w:t>
      </w:r>
      <w:r w:rsidRPr="00460C9F">
        <w:tab/>
        <w:t xml:space="preserve">budući da odobrenje za aktivnu tvar </w:t>
      </w:r>
      <w:proofErr w:type="spellStart"/>
      <w:r w:rsidRPr="00460C9F">
        <w:t>tiakloprid</w:t>
      </w:r>
      <w:proofErr w:type="spellEnd"/>
      <w:r w:rsidRPr="00460C9F">
        <w:t xml:space="preserve"> nije produljeno jer se za jednu ili više reprezentativnih uporaba najmanje jednog sredstva za zaštitu bilja nije moglo utvrditi da su kriteriji za odobravanje predviđeni člankom 4. Uredbe (EZ) br. 1107/2009 ispunjeni; budući da je EFSA posebno utvrdila dva ključna problematična područja; budući da se prvo ključno problematično područje odnosilo na indikaciju onečišćenja podzemnih voda s nekoliko relevantnih metabolita </w:t>
      </w:r>
      <w:proofErr w:type="spellStart"/>
      <w:r w:rsidRPr="00460C9F">
        <w:t>tiakloprida</w:t>
      </w:r>
      <w:proofErr w:type="spellEnd"/>
      <w:r w:rsidRPr="00460C9F">
        <w:t xml:space="preserve"> čiji se karcinogeni potencijal ne može isključiti (M30, M34 i M46) iznad parametarske granične vrijednosti za pitku vodu od 0,1 µg/l za sve reprezentativne uporabe</w:t>
      </w:r>
      <w:r w:rsidRPr="00460C9F">
        <w:rPr>
          <w:rStyle w:val="FootnoteReference"/>
        </w:rPr>
        <w:footnoteReference w:id="9"/>
      </w:r>
      <w:r w:rsidRPr="00460C9F">
        <w:t xml:space="preserve">; budući da se drugo ključno problematično područje odnosilo na usklađeno razvrstavanje </w:t>
      </w:r>
      <w:proofErr w:type="spellStart"/>
      <w:r w:rsidRPr="00460C9F">
        <w:t>tiakloprida</w:t>
      </w:r>
      <w:proofErr w:type="spellEnd"/>
      <w:r w:rsidRPr="00460C9F">
        <w:t xml:space="preserve"> od strane </w:t>
      </w:r>
      <w:r w:rsidRPr="00460C9F">
        <w:lastRenderedPageBreak/>
        <w:t>ECHA-e kao tvari za koju se pretpostavlja da štetno djeluje na plodnost i nerođeno dijete (toksično za reprodukciju kategorije 1B) u skladu s Uredbom (EZ) br. 1272/2008 Europskog parlamenta i Vijeća</w:t>
      </w:r>
      <w:r w:rsidRPr="00460C9F">
        <w:rPr>
          <w:rStyle w:val="FootnoteReference"/>
        </w:rPr>
        <w:footnoteReference w:id="10"/>
      </w:r>
      <w:r w:rsidRPr="00460C9F">
        <w:t xml:space="preserve">, čime je </w:t>
      </w:r>
      <w:proofErr w:type="spellStart"/>
      <w:r w:rsidRPr="00460C9F">
        <w:t>tiakloprid</w:t>
      </w:r>
      <w:proofErr w:type="spellEnd"/>
      <w:r w:rsidRPr="00460C9F">
        <w:t xml:space="preserve"> postao „tvar koja ispunjava kriterije za isključivanje” u skladu s člankom 4. stavkom 1. Uredbe (EZ) br. 1107/2009; </w:t>
      </w:r>
    </w:p>
    <w:p w:rsidR="00932678" w:rsidRPr="00460C9F" w:rsidRDefault="00932678" w:rsidP="002C1A2F">
      <w:pPr>
        <w:pStyle w:val="NormalHanging12a"/>
      </w:pPr>
      <w:r w:rsidRPr="00460C9F">
        <w:t>D.</w:t>
      </w:r>
      <w:r w:rsidRPr="00460C9F">
        <w:tab/>
        <w:t>budući da je EFSA također zaključila da nije moguće dovršiti procjenu rizika za pčele i kopneno bilje koje ne pripada ciljanoj skupini;</w:t>
      </w:r>
    </w:p>
    <w:p w:rsidR="00932678" w:rsidRPr="00460C9F" w:rsidRDefault="00932678" w:rsidP="002C1A2F">
      <w:pPr>
        <w:pStyle w:val="NormalHanging12a"/>
      </w:pPr>
      <w:r w:rsidRPr="00460C9F">
        <w:t>E.</w:t>
      </w:r>
      <w:r w:rsidRPr="00460C9F">
        <w:tab/>
        <w:t xml:space="preserve">budući da je </w:t>
      </w:r>
      <w:proofErr w:type="spellStart"/>
      <w:r w:rsidRPr="00460C9F">
        <w:t>tiakloprid</w:t>
      </w:r>
      <w:proofErr w:type="spellEnd"/>
      <w:r w:rsidRPr="00460C9F">
        <w:t xml:space="preserve"> također razvrstan u skladu s Uredbom (EZ) br. 1272/2008 kao tvar za koju se sumnja da uzrokuje rak (tvar 2. kategorije karcinogenosti), vrlo toksičan za vodeni okoliš (1. kategorija akutne toksičnosti) i vrlo toksičan za vodeni okoliš s dugotrajnim učinkom (1. kategorija kronične toksičnosti);</w:t>
      </w:r>
    </w:p>
    <w:p w:rsidR="00932678" w:rsidRPr="00460C9F" w:rsidRDefault="00932678" w:rsidP="002C1A2F">
      <w:pPr>
        <w:pStyle w:val="NormalHanging12a"/>
      </w:pPr>
      <w:r w:rsidRPr="00460C9F">
        <w:t>F.</w:t>
      </w:r>
      <w:r w:rsidRPr="00460C9F">
        <w:tab/>
        <w:t>budući da Stalni odbor za bilje, životinje, hranu i hranu za životinje (odbor PAFF) nije donio mišljenje o Prijedlogu uredbe Vijeća; budući da tijekom sjednice odbora PAFF održane 18. i 19. rujna 2023. osam država članica nije podržalo Nacrt uredbe. Šest od njih ponajprije je spomenulo svoju zabrinutost u pogledu zadržavanja CXL-a i uvoznih tolerancija za neodobrenu tvar koja ispunjava jedan od kriterija za isključivanje u skladu s Uredbom (EZ) br. 1107/2009 (reproduktivna toksičnost). Osim toga, jedna država članica koja nije podržala Nacrt uredbe izrazila je zabrinutost da je EFSA navela prekoračenja akutne referentne doze za neke proizvode u određenim nestandardnim okolnostima, a druga je spomenula diskriminaciju poljoprivrednika EU-a koji više ne smiju upotrebljavati sredstva za zaštitu bilja koja sadržavaju tu aktivnu tvar, dok poljoprivrednici u trećim zemljama to i dalje mogu činiti, što dovodi do nepoštenog tržišnog natjecanja</w:t>
      </w:r>
      <w:r w:rsidRPr="00460C9F">
        <w:rPr>
          <w:rStyle w:val="FootnoteReference"/>
        </w:rPr>
        <w:footnoteReference w:id="11"/>
      </w:r>
      <w:r w:rsidRPr="00460C9F">
        <w:t>;</w:t>
      </w:r>
    </w:p>
    <w:p w:rsidR="00932678" w:rsidRPr="00460C9F" w:rsidRDefault="00932678" w:rsidP="002C1A2F">
      <w:pPr>
        <w:pStyle w:val="NormalHanging12a"/>
      </w:pPr>
      <w:r w:rsidRPr="00460C9F">
        <w:t>G.</w:t>
      </w:r>
      <w:r w:rsidRPr="00460C9F">
        <w:tab/>
        <w:t>budući da je Njemačka zatražila da se sljedeća izjava uvrsti u sažeto izvješće sa sjednice odbora PAFF održane 18. i 19. rujna 2023.: „</w:t>
      </w:r>
      <w:proofErr w:type="spellStart"/>
      <w:r w:rsidRPr="00460C9F">
        <w:t>Tiakloprid</w:t>
      </w:r>
      <w:proofErr w:type="spellEnd"/>
      <w:r w:rsidRPr="00460C9F">
        <w:t xml:space="preserve"> je aktivna tvar koja ispunjava kriterije za isključivanje u skladu s Uredbom (EZ) br. 1107/2009. Tijekom postupka ponovnog odobrenja aktivne tvari utvrđeno je da ona ispunjava kriterije za isključivanje jer je razvrstana kao reproduktivno toksična tvar kategorije 1B. Stoga ta aktivna tvar nije ponovno odobrena. Njemačka općenito ne podupire utvrđivanje [najvećih dopuštenih količina ostataka (MRO-ovi)] za aktivne tvari koje nisu odobrene u EU-u zbog zdravstvenih pitanja. U tom je pogledu odlučujući faktor taj da su kriteriji za isključivanje utvrđeni u okviru postupka (ponovnog) odobravanja aktivne tvari u skladu s Uredbom (EZ) br. 1107/2009”</w:t>
      </w:r>
      <w:r w:rsidRPr="00460C9F">
        <w:rPr>
          <w:rStyle w:val="FootnoteReference"/>
        </w:rPr>
        <w:footnoteReference w:id="12"/>
      </w:r>
      <w:r w:rsidRPr="00460C9F">
        <w:t>;</w:t>
      </w:r>
    </w:p>
    <w:p w:rsidR="00932678" w:rsidRPr="00460C9F" w:rsidRDefault="00932678" w:rsidP="002C1A2F">
      <w:pPr>
        <w:pStyle w:val="NormalHanging12a"/>
      </w:pPr>
      <w:r w:rsidRPr="00460C9F">
        <w:t>H.</w:t>
      </w:r>
      <w:r w:rsidRPr="00460C9F">
        <w:tab/>
        <w:t xml:space="preserve">budući da je stoga, u skladu s člankom 17. te Uredbe u vezi s njezinim člankom 14. stavkom 1. točkom (a), primjereno izbrisati postojeće MRO-e utvrđene za </w:t>
      </w:r>
      <w:proofErr w:type="spellStart"/>
      <w:r w:rsidRPr="00460C9F">
        <w:t>tiakloprid</w:t>
      </w:r>
      <w:proofErr w:type="spellEnd"/>
      <w:r w:rsidRPr="00460C9F">
        <w:t xml:space="preserve"> u Prilogu II. Uredbi (EZ) br. 396/2005;</w:t>
      </w:r>
    </w:p>
    <w:p w:rsidR="00932678" w:rsidRPr="00460C9F" w:rsidRDefault="00932678" w:rsidP="002C1A2F">
      <w:pPr>
        <w:pStyle w:val="NormalHanging12a"/>
      </w:pPr>
      <w:r w:rsidRPr="00460C9F">
        <w:t>I.</w:t>
      </w:r>
      <w:r w:rsidRPr="00460C9F">
        <w:tab/>
        <w:t xml:space="preserve">budući da Komisija u Prijedlogu uredbe Vijeća ipak predlaže zadržavanje MRO-ova za </w:t>
      </w:r>
      <w:proofErr w:type="spellStart"/>
      <w:r w:rsidRPr="00460C9F">
        <w:t>tiakloprid</w:t>
      </w:r>
      <w:proofErr w:type="spellEnd"/>
      <w:r w:rsidRPr="00460C9F">
        <w:t xml:space="preserve"> iznad granice određivanja za uporabu na više od 30 proizvoda za potrebe </w:t>
      </w:r>
      <w:r w:rsidRPr="00460C9F">
        <w:lastRenderedPageBreak/>
        <w:t>uvoza na temelju obrazloženog mišljenja EFSA-e</w:t>
      </w:r>
      <w:r w:rsidRPr="00460C9F">
        <w:rPr>
          <w:rStyle w:val="FootnoteReference"/>
        </w:rPr>
        <w:footnoteReference w:id="13"/>
      </w:r>
      <w:r w:rsidRPr="00460C9F">
        <w:t>;</w:t>
      </w:r>
    </w:p>
    <w:p w:rsidR="00932678" w:rsidRPr="00460C9F" w:rsidRDefault="00932678" w:rsidP="002C1A2F">
      <w:pPr>
        <w:pStyle w:val="NormalHanging12a"/>
      </w:pPr>
      <w:r w:rsidRPr="00460C9F">
        <w:t>J.</w:t>
      </w:r>
      <w:r w:rsidRPr="00460C9F">
        <w:tab/>
        <w:t xml:space="preserve">budući da uporabe za koje se MRO-i iznad granice određivanja smatraju sigurnima obuhvaćaju uporabe </w:t>
      </w:r>
      <w:proofErr w:type="spellStart"/>
      <w:r w:rsidRPr="00460C9F">
        <w:t>tiakloprida</w:t>
      </w:r>
      <w:proofErr w:type="spellEnd"/>
      <w:r w:rsidRPr="00460C9F">
        <w:t xml:space="preserve"> u papaji, čaju, </w:t>
      </w:r>
      <w:proofErr w:type="spellStart"/>
      <w:r w:rsidRPr="00460C9F">
        <w:t>orašastim</w:t>
      </w:r>
      <w:proofErr w:type="spellEnd"/>
      <w:r w:rsidRPr="00460C9F">
        <w:t xml:space="preserve"> plodovima, dunji, mušmuli, </w:t>
      </w:r>
      <w:proofErr w:type="spellStart"/>
      <w:r w:rsidRPr="00460C9F">
        <w:t>nešpuli</w:t>
      </w:r>
      <w:proofErr w:type="spellEnd"/>
      <w:r w:rsidRPr="00460C9F">
        <w:t xml:space="preserve">/japanskoj mušmuli, marelici, trešnji (slatkoj), šljivi, jagodi, kupini, </w:t>
      </w:r>
      <w:proofErr w:type="spellStart"/>
      <w:r w:rsidRPr="00460C9F">
        <w:t>ostružnicama</w:t>
      </w:r>
      <w:proofErr w:type="spellEnd"/>
      <w:r w:rsidRPr="00460C9F">
        <w:t xml:space="preserve">, drugom sitnom voću i bobicama, kiviju, krumpiru, rajčici, patlidžanu, dinji, lubenici, riži, pšenici, životinjskim (svinje, goveda, ovce, konji, perad i druge domaće životinje) proizvodima od tkiva (mišić, jetra, bubreg i jestivi </w:t>
      </w:r>
      <w:proofErr w:type="spellStart"/>
      <w:r w:rsidRPr="00460C9F">
        <w:t>klaonički</w:t>
      </w:r>
      <w:proofErr w:type="spellEnd"/>
      <w:r w:rsidRPr="00460C9F">
        <w:t xml:space="preserve"> proizvodi), mlijeku i jajima, malini, krastavcu, tikvici, sjemenkama uljane repice, sjemenkama gorušice i sjemenkama pamuka; budući da su MRO-i predloženi za te uporabe u rasponu od dva puta veći od granice određivanja do tisuću puta veći od granice određivanja (za uporabu na čajevcu);</w:t>
      </w:r>
    </w:p>
    <w:p w:rsidR="00932678" w:rsidRPr="00460C9F" w:rsidRDefault="00932678" w:rsidP="002C1A2F">
      <w:pPr>
        <w:pStyle w:val="NormalHanging12a"/>
      </w:pPr>
      <w:r w:rsidRPr="00460C9F">
        <w:t>K.</w:t>
      </w:r>
      <w:r w:rsidRPr="00460C9F">
        <w:tab/>
        <w:t xml:space="preserve">budući da je, s druge strane, zahtjev za uvozne tolerancije odbijen samo za dvije uporabe (na breskvi i paprici) jer se prekoračenje akutne referentne doze ne može isključiti te je Komisija stoga predložila da se MRO-i za </w:t>
      </w:r>
      <w:proofErr w:type="spellStart"/>
      <w:r w:rsidRPr="00460C9F">
        <w:t>tiakloprid</w:t>
      </w:r>
      <w:proofErr w:type="spellEnd"/>
      <w:r w:rsidRPr="00460C9F">
        <w:t xml:space="preserve"> smanje na granicu određivanja samo za te uporabe; </w:t>
      </w:r>
    </w:p>
    <w:p w:rsidR="00932678" w:rsidRPr="00460C9F" w:rsidRDefault="00932678" w:rsidP="002C1A2F">
      <w:pPr>
        <w:pStyle w:val="NormalHanging12a"/>
      </w:pPr>
      <w:r w:rsidRPr="00460C9F">
        <w:t>L.</w:t>
      </w:r>
      <w:r w:rsidRPr="00460C9F">
        <w:tab/>
        <w:t xml:space="preserve">budući da se u uvodnoj izjavi 5. Uredbe (EZ) br. 396/2005 predviđa da ostaci ne bi trebali biti prisutni na razinama koje predstavljaju neprihvatljiv rizik za ljude i, prema potrebi, životinje; </w:t>
      </w:r>
    </w:p>
    <w:p w:rsidR="00932678" w:rsidRPr="00460C9F" w:rsidRDefault="00932678" w:rsidP="002C1A2F">
      <w:pPr>
        <w:pStyle w:val="NormalHanging12a"/>
      </w:pPr>
      <w:r w:rsidRPr="00460C9F">
        <w:t>M.</w:t>
      </w:r>
      <w:r w:rsidRPr="00460C9F">
        <w:tab/>
        <w:t>budući da se člankom 4. stavkom 2. točkom (a) Uredbe (EZ) br. 1107/2009 predviđa da ostaci sredstava za zaštitu bilja ne smiju imati štetne učinke na zdravlje ljudi, uključujući ranjive skupine, ili zdravlje životinja, uzimajući u obzir poznate kumulativne i sinergijske učinke; budući da je točkom 3.6.4. Priloga II. toj uredbi predviđeno da se aktivna tvar razvrstana u skladu s Uredbom (EZ) br. 1272/2008 kao reproduktivno toksična tvar kategorije 1.A ili 1.B odobrava samo ako „ostaci dotične aktivne tvari [...] u hrani i hrani za životinje ne prelaze standardne vrijednosti utvrđene prema točki (b) članka 18. stavka ¸1. Uredbe (EZ) br. 396/2005”; budući da je člankom 18. stavkom 1. točkom (b) Uredbe (EZ) br. 396/2005 utvrđena standardna vrijednost od 0,01 mg/kg;</w:t>
      </w:r>
    </w:p>
    <w:p w:rsidR="00932678" w:rsidRPr="00460C9F" w:rsidRDefault="00932678" w:rsidP="002C1A2F">
      <w:pPr>
        <w:pStyle w:val="NormalHanging12a"/>
      </w:pPr>
      <w:r w:rsidRPr="00460C9F">
        <w:t>N.</w:t>
      </w:r>
      <w:r w:rsidRPr="00460C9F">
        <w:tab/>
        <w:t xml:space="preserve">budući da se člankom 3. stavkom 2. točkom (g) Uredbe (EZ) br. 396/2005 predviđa da je uvozna tolerancija MRO utvrđen za uvezene proizvode ako „uporaba aktivnih tvari u sredstvu za zaštitu bilja na određenom proizvodu nije odobrena u Zajednici iz razloga koji su drugačiji od razloga javnog zdravlja za određeni proizvod i određenu uporabu”; budući da </w:t>
      </w:r>
      <w:proofErr w:type="spellStart"/>
      <w:r w:rsidRPr="00460C9F">
        <w:t>tiakloprid</w:t>
      </w:r>
      <w:proofErr w:type="spellEnd"/>
      <w:r w:rsidRPr="00460C9F">
        <w:t xml:space="preserve"> ne ispunjava te kriterije jer je zabranjen zbog zdravstvenih razloga s obzirom na to da je razvrstan kao reproduktivno toksična tvar kategorije 1.B;</w:t>
      </w:r>
    </w:p>
    <w:p w:rsidR="00932678" w:rsidRPr="00460C9F" w:rsidRDefault="00932678" w:rsidP="002C1A2F">
      <w:pPr>
        <w:pStyle w:val="NormalHanging12a"/>
      </w:pPr>
      <w:r w:rsidRPr="00460C9F">
        <w:t>O.</w:t>
      </w:r>
      <w:r w:rsidRPr="00460C9F">
        <w:tab/>
        <w:t>budući da se člankom 5. stavkom 1. Uredbe (EZ) br. 178/2002 određuje da se propisima o hrani ostvaruju jedan ili više općih ciljeva visoke razine zaštite života i zdravlja ljudi te zaštite interesa potrošača, uključujući pravednu praksu u trgovini hranom, uzimajući u obzir, tamo gdje je to moguće, zaštitu zdravlja i dobrobit životinja, zdravlje biljaka i okoliš;</w:t>
      </w:r>
    </w:p>
    <w:p w:rsidR="00932678" w:rsidRPr="00460C9F" w:rsidRDefault="00932678" w:rsidP="002C1A2F">
      <w:pPr>
        <w:pStyle w:val="NormalHanging12a"/>
      </w:pPr>
      <w:r w:rsidRPr="00460C9F">
        <w:t>P.</w:t>
      </w:r>
      <w:r w:rsidRPr="00460C9F">
        <w:tab/>
        <w:t xml:space="preserve">budući da je trenutačna kriza u pogledu oprašivača jedna od glavnih prijetnji biološkoj raznolikosti te globalnoj i lokalnoj sigurnosti opskrbe hranom; budući da se tom krizom mogu pogoršati problemi u pogledu skrivene gladi, može se narušiti otpornost </w:t>
      </w:r>
      <w:r w:rsidRPr="00460C9F">
        <w:lastRenderedPageBreak/>
        <w:t>ekosustava te se mogu destabilizirati ekosustavi koji čine sustav na kojem se temelji naš život</w:t>
      </w:r>
      <w:r w:rsidRPr="00460C9F">
        <w:rPr>
          <w:rStyle w:val="FootnoteReference"/>
        </w:rPr>
        <w:footnoteReference w:id="14"/>
      </w:r>
      <w:r w:rsidRPr="00460C9F">
        <w:t>;</w:t>
      </w:r>
    </w:p>
    <w:p w:rsidR="00932678" w:rsidRPr="00460C9F" w:rsidRDefault="00932678" w:rsidP="002C1A2F">
      <w:pPr>
        <w:pStyle w:val="NormalHanging12a"/>
      </w:pPr>
      <w:r w:rsidRPr="00460C9F">
        <w:t>Q.</w:t>
      </w:r>
      <w:r w:rsidRPr="00460C9F">
        <w:tab/>
        <w:t>budući da je Komisija u svojoj komunikaciji od 20. svibnja 2020. naslovljenoj „Strategija „od polja do stola” za pravedan, zdrav i ekološki prihvatljiv prehrambeni sustav”</w:t>
      </w:r>
      <w:r w:rsidRPr="00460C9F">
        <w:rPr>
          <w:rStyle w:val="FootnoteReference"/>
        </w:rPr>
        <w:footnoteReference w:id="15"/>
      </w:r>
      <w:r w:rsidRPr="00460C9F">
        <w:t xml:space="preserve"> objavila da će EU „u skladu s ciljevima ove strategije i ciljevima održivog razvoja podupirati globalni prelazak na održive poljoprivredno-prehrambene sustave” i da „EU može imati ključnu ulogu u utvrđivanju globalnih standarda”; budući da je Komisija u strategiji izričito navela kako „[da] bi se povećala održivost </w:t>
      </w:r>
      <w:proofErr w:type="spellStart"/>
      <w:r w:rsidRPr="00460C9F">
        <w:t>Unijina</w:t>
      </w:r>
      <w:proofErr w:type="spellEnd"/>
      <w:r w:rsidRPr="00460C9F">
        <w:t xml:space="preserve"> prehrambenog sustava, i prakse naših trgovinskih partnera moraju postajati sve održivije. U cilju promicanja postupnog prelaska na upotrebu sigurnijih sredstava za zaštitu bilja, EU će razmotriti, u skladu s pravilima WTO-a i nakon procjene rizika, preispitivanje uvoznih </w:t>
      </w:r>
      <w:proofErr w:type="spellStart"/>
      <w:r w:rsidRPr="00460C9F">
        <w:t>toleranci</w:t>
      </w:r>
      <w:proofErr w:type="spellEnd"/>
      <w:r w:rsidRPr="00460C9F">
        <w:t xml:space="preserve"> za tvari koje ispunjavaju „granične kriterije” i predstavljaju visok stupanj rizika za ljudsko zdravlje”;</w:t>
      </w:r>
    </w:p>
    <w:p w:rsidR="00932678" w:rsidRPr="00460C9F" w:rsidRDefault="00932678" w:rsidP="002C1A2F">
      <w:pPr>
        <w:pStyle w:val="NormalHanging12a"/>
      </w:pPr>
      <w:r w:rsidRPr="00460C9F">
        <w:t>R.</w:t>
      </w:r>
      <w:r w:rsidRPr="00460C9F">
        <w:tab/>
        <w:t>budući da je Komisija 2022. snizila</w:t>
      </w:r>
      <w:r w:rsidRPr="00460C9F">
        <w:rPr>
          <w:rStyle w:val="FootnoteReference"/>
        </w:rPr>
        <w:footnoteReference w:id="16"/>
      </w:r>
      <w:r w:rsidRPr="00460C9F">
        <w:t xml:space="preserve"> MRO-e za dva </w:t>
      </w:r>
      <w:proofErr w:type="spellStart"/>
      <w:r w:rsidRPr="00460C9F">
        <w:t>neonikotinoida</w:t>
      </w:r>
      <w:proofErr w:type="spellEnd"/>
      <w:r w:rsidRPr="00460C9F">
        <w:t xml:space="preserve"> koji predstavljaju visok rizik za oprašivače na najnižu razinu koja se može izmjeriti najnovijim tehnologijama, pri čemu uvezeni proizvodi više ne mogu sadržavati ostatke </w:t>
      </w:r>
      <w:proofErr w:type="spellStart"/>
      <w:r w:rsidRPr="00460C9F">
        <w:t>klotianidina</w:t>
      </w:r>
      <w:proofErr w:type="spellEnd"/>
      <w:r w:rsidRPr="00460C9F">
        <w:t xml:space="preserve"> i </w:t>
      </w:r>
      <w:proofErr w:type="spellStart"/>
      <w:r w:rsidRPr="00460C9F">
        <w:t>tiametoksama</w:t>
      </w:r>
      <w:proofErr w:type="spellEnd"/>
      <w:r w:rsidRPr="00460C9F">
        <w:t xml:space="preserve">; </w:t>
      </w:r>
    </w:p>
    <w:p w:rsidR="00932678" w:rsidRPr="00460C9F" w:rsidRDefault="00932678" w:rsidP="002C1A2F">
      <w:pPr>
        <w:pStyle w:val="NormalHanging12a"/>
      </w:pPr>
      <w:r w:rsidRPr="00460C9F">
        <w:t>S.</w:t>
      </w:r>
      <w:r w:rsidRPr="00460C9F">
        <w:tab/>
        <w:t xml:space="preserve">budući da je u tom pogledu Komisija tvrdila da „uzimajući u obzir sve čimbenike relevantne za pitanje koje se razmatra u skladu s člankom 14. stavkom 2., u vezi s člankom 11. Ugovora o funkcioniranju Europske unije, prema kojem se „zahtjevi u pogledu zaštite okoliša moraju […] uključiti u utvrđivanje i provedbu politika i aktivnosti Unije, posebice s ciljem promicanja održivog razvoja”, sve postojeće MRO-e za </w:t>
      </w:r>
      <w:proofErr w:type="spellStart"/>
      <w:r w:rsidRPr="00460C9F">
        <w:t>klotianidin</w:t>
      </w:r>
      <w:proofErr w:type="spellEnd"/>
      <w:r w:rsidRPr="00460C9F">
        <w:t xml:space="preserve"> i/ili </w:t>
      </w:r>
      <w:proofErr w:type="spellStart"/>
      <w:r w:rsidRPr="00460C9F">
        <w:t>tiametoksam</w:t>
      </w:r>
      <w:proofErr w:type="spellEnd"/>
      <w:r w:rsidRPr="00460C9F">
        <w:t xml:space="preserve"> iz Uredbe (EZ) br. 396/2005 trebalo bi stoga svesti na granicu određivanja”</w:t>
      </w:r>
      <w:r w:rsidRPr="00460C9F">
        <w:rPr>
          <w:rStyle w:val="FootnoteReference"/>
        </w:rPr>
        <w:footnoteReference w:id="17"/>
      </w:r>
      <w:r w:rsidRPr="00460C9F">
        <w:t>;</w:t>
      </w:r>
    </w:p>
    <w:p w:rsidR="00932678" w:rsidRPr="00460C9F" w:rsidRDefault="00932678" w:rsidP="002C1A2F">
      <w:pPr>
        <w:pStyle w:val="NormalHanging12a"/>
      </w:pPr>
      <w:r w:rsidRPr="00460C9F">
        <w:t>T.</w:t>
      </w:r>
      <w:r w:rsidRPr="00460C9F">
        <w:tab/>
        <w:t xml:space="preserve">budući da je na sjednici odbora PAFF 10. i 11. svibnja 2023. „Komisija podsjetila da </w:t>
      </w:r>
      <w:proofErr w:type="spellStart"/>
      <w:r w:rsidRPr="00460C9F">
        <w:t>tiakloprid</w:t>
      </w:r>
      <w:proofErr w:type="spellEnd"/>
      <w:r w:rsidRPr="00460C9F">
        <w:t xml:space="preserve"> pripada skupini aktivnih tvari </w:t>
      </w:r>
      <w:proofErr w:type="spellStart"/>
      <w:r w:rsidRPr="00460C9F">
        <w:t>neonikotinoida</w:t>
      </w:r>
      <w:proofErr w:type="spellEnd"/>
      <w:r w:rsidRPr="00460C9F">
        <w:t xml:space="preserve"> [ali da] s obzirom na to da ima drugačija svojstva od </w:t>
      </w:r>
      <w:proofErr w:type="spellStart"/>
      <w:r w:rsidRPr="00460C9F">
        <w:t>klotianidina</w:t>
      </w:r>
      <w:proofErr w:type="spellEnd"/>
      <w:r w:rsidRPr="00460C9F">
        <w:t xml:space="preserve"> i </w:t>
      </w:r>
      <w:proofErr w:type="spellStart"/>
      <w:r w:rsidRPr="00460C9F">
        <w:t>tiametoksama</w:t>
      </w:r>
      <w:proofErr w:type="spellEnd"/>
      <w:r w:rsidRPr="00460C9F">
        <w:t xml:space="preserve">, trenutačno nije predviđeno da se slijedi isti pristup kao za </w:t>
      </w:r>
      <w:proofErr w:type="spellStart"/>
      <w:r w:rsidRPr="00460C9F">
        <w:t>klotianidin</w:t>
      </w:r>
      <w:proofErr w:type="spellEnd"/>
      <w:r w:rsidRPr="00460C9F">
        <w:t xml:space="preserve"> i </w:t>
      </w:r>
      <w:proofErr w:type="spellStart"/>
      <w:r w:rsidRPr="00460C9F">
        <w:t>tiametoksam</w:t>
      </w:r>
      <w:proofErr w:type="spellEnd"/>
      <w:r w:rsidRPr="00460C9F">
        <w:t xml:space="preserve"> za provedbu strategije „od polja do stola” snižavanjem svih MRO-ova na granicu kvantifikacije”</w:t>
      </w:r>
      <w:r w:rsidRPr="00460C9F">
        <w:rPr>
          <w:rStyle w:val="FootnoteReference"/>
        </w:rPr>
        <w:footnoteReference w:id="18"/>
      </w:r>
      <w:r w:rsidRPr="00460C9F">
        <w:t>;</w:t>
      </w:r>
    </w:p>
    <w:p w:rsidR="00932678" w:rsidRPr="00460C9F" w:rsidRDefault="00932678" w:rsidP="002C1A2F">
      <w:pPr>
        <w:pStyle w:val="NormalHanging12a"/>
      </w:pPr>
      <w:r w:rsidRPr="00460C9F">
        <w:t>U.</w:t>
      </w:r>
      <w:r w:rsidRPr="00460C9F">
        <w:tab/>
        <w:t xml:space="preserve">budući da se u znanstvenoj literaturi osporava činjenica da </w:t>
      </w:r>
      <w:proofErr w:type="spellStart"/>
      <w:r w:rsidRPr="00460C9F">
        <w:t>tiakloprid</w:t>
      </w:r>
      <w:proofErr w:type="spellEnd"/>
      <w:r w:rsidRPr="00460C9F">
        <w:t xml:space="preserve"> ima drugačija svojstva od drugih </w:t>
      </w:r>
      <w:proofErr w:type="spellStart"/>
      <w:r w:rsidRPr="00460C9F">
        <w:t>neonikotinoida</w:t>
      </w:r>
      <w:proofErr w:type="spellEnd"/>
      <w:r w:rsidRPr="00460C9F">
        <w:t xml:space="preserve">, a rezultati pokazuju da je „predodžbu </w:t>
      </w:r>
      <w:proofErr w:type="spellStart"/>
      <w:r w:rsidRPr="00460C9F">
        <w:t>tiakloprida</w:t>
      </w:r>
      <w:proofErr w:type="spellEnd"/>
      <w:r w:rsidRPr="00460C9F">
        <w:t xml:space="preserve"> kao </w:t>
      </w:r>
      <w:r w:rsidRPr="00460C9F">
        <w:lastRenderedPageBreak/>
        <w:t xml:space="preserve">relativno benignog </w:t>
      </w:r>
      <w:proofErr w:type="spellStart"/>
      <w:r w:rsidRPr="00460C9F">
        <w:t>neonikotinoida</w:t>
      </w:r>
      <w:proofErr w:type="spellEnd"/>
      <w:r w:rsidRPr="00460C9F">
        <w:t xml:space="preserve"> sada potrebno preispitati”</w:t>
      </w:r>
      <w:r w:rsidRPr="00460C9F">
        <w:rPr>
          <w:rStyle w:val="FootnoteReference"/>
        </w:rPr>
        <w:footnoteReference w:id="19"/>
      </w:r>
      <w:r w:rsidRPr="00460C9F">
        <w:t>;</w:t>
      </w:r>
    </w:p>
    <w:p w:rsidR="00932678" w:rsidRPr="00460C9F" w:rsidRDefault="00932678" w:rsidP="002C1A2F">
      <w:pPr>
        <w:pStyle w:val="NormalHanging12a"/>
      </w:pPr>
      <w:r w:rsidRPr="00460C9F">
        <w:t>V.</w:t>
      </w:r>
      <w:r w:rsidRPr="00460C9F">
        <w:tab/>
        <w:t xml:space="preserve">budući da je posebno utvrđeno da kolonije bumbara izloženih </w:t>
      </w:r>
      <w:proofErr w:type="spellStart"/>
      <w:r w:rsidRPr="00460C9F">
        <w:t>tiaklopridu</w:t>
      </w:r>
      <w:proofErr w:type="spellEnd"/>
      <w:r w:rsidRPr="00460C9F">
        <w:t xml:space="preserve"> imaju veću vjerojatnost da će prerano uginuti i da će one koje prežive patiti od </w:t>
      </w:r>
      <w:proofErr w:type="spellStart"/>
      <w:r w:rsidRPr="00460C9F">
        <w:t>subletalnih</w:t>
      </w:r>
      <w:proofErr w:type="spellEnd"/>
      <w:r w:rsidRPr="00460C9F">
        <w:t xml:space="preserve"> učinaka</w:t>
      </w:r>
      <w:r w:rsidRPr="00460C9F">
        <w:rPr>
          <w:rStyle w:val="FootnoteReference"/>
        </w:rPr>
        <w:footnoteReference w:id="20"/>
      </w:r>
      <w:r w:rsidRPr="00460C9F">
        <w:t xml:space="preserve">; budući da je utvrđeno da </w:t>
      </w:r>
      <w:proofErr w:type="spellStart"/>
      <w:r w:rsidRPr="00460C9F">
        <w:t>tiakloprid</w:t>
      </w:r>
      <w:proofErr w:type="spellEnd"/>
      <w:r w:rsidRPr="00460C9F">
        <w:t xml:space="preserve"> također utječe na ponašanje i </w:t>
      </w:r>
      <w:proofErr w:type="spellStart"/>
      <w:r w:rsidRPr="00460C9F">
        <w:t>imunosni</w:t>
      </w:r>
      <w:proofErr w:type="spellEnd"/>
      <w:r w:rsidRPr="00460C9F">
        <w:t xml:space="preserve"> sustav pčela medarica slično kao </w:t>
      </w:r>
      <w:proofErr w:type="spellStart"/>
      <w:r w:rsidRPr="00460C9F">
        <w:t>imidakloprid</w:t>
      </w:r>
      <w:proofErr w:type="spellEnd"/>
      <w:r w:rsidRPr="00460C9F">
        <w:t xml:space="preserve">, </w:t>
      </w:r>
      <w:proofErr w:type="spellStart"/>
      <w:r w:rsidRPr="00460C9F">
        <w:t>klotianidin</w:t>
      </w:r>
      <w:proofErr w:type="spellEnd"/>
      <w:r w:rsidRPr="00460C9F">
        <w:t xml:space="preserve"> i </w:t>
      </w:r>
      <w:proofErr w:type="spellStart"/>
      <w:r w:rsidRPr="00460C9F">
        <w:t>tiametoksam</w:t>
      </w:r>
      <w:proofErr w:type="spellEnd"/>
      <w:r w:rsidRPr="00460C9F">
        <w:rPr>
          <w:rStyle w:val="FootnoteReference"/>
        </w:rPr>
        <w:footnoteReference w:id="21"/>
      </w:r>
      <w:r w:rsidRPr="00460C9F">
        <w:rPr>
          <w:rStyle w:val="FootnoteReference"/>
        </w:rPr>
        <w:footnoteReference w:id="22"/>
      </w:r>
      <w:r w:rsidRPr="00460C9F">
        <w:t>;</w:t>
      </w:r>
    </w:p>
    <w:p w:rsidR="00932678" w:rsidRPr="00460C9F" w:rsidRDefault="00932678" w:rsidP="002C1A2F">
      <w:pPr>
        <w:pStyle w:val="NormalHanging12a"/>
      </w:pPr>
      <w:r w:rsidRPr="00460C9F">
        <w:t>W.</w:t>
      </w:r>
      <w:r w:rsidRPr="00460C9F">
        <w:tab/>
        <w:t xml:space="preserve">budući da postoji sve više dokaza da uporaba </w:t>
      </w:r>
      <w:proofErr w:type="spellStart"/>
      <w:r w:rsidRPr="00460C9F">
        <w:t>tiakloprida</w:t>
      </w:r>
      <w:proofErr w:type="spellEnd"/>
      <w:r w:rsidRPr="00460C9F">
        <w:t xml:space="preserve"> ima razoran učinak na biološku raznolikost, a posebno na pčele i druge oprašivače</w:t>
      </w:r>
      <w:r w:rsidRPr="00460C9F">
        <w:rPr>
          <w:rStyle w:val="FootnoteReference"/>
          <w:szCs w:val="24"/>
        </w:rPr>
        <w:footnoteReference w:id="23"/>
      </w:r>
      <w:r w:rsidRPr="00460C9F">
        <w:t>;</w:t>
      </w:r>
    </w:p>
    <w:p w:rsidR="00932678" w:rsidRPr="00460C9F" w:rsidRDefault="00932678" w:rsidP="002C1A2F">
      <w:pPr>
        <w:pStyle w:val="NormalHanging12a"/>
      </w:pPr>
      <w:r w:rsidRPr="00460C9F">
        <w:t>X.</w:t>
      </w:r>
      <w:r w:rsidRPr="00460C9F">
        <w:tab/>
        <w:t xml:space="preserve">budući da je EFSA u svojem izvješću o </w:t>
      </w:r>
      <w:proofErr w:type="spellStart"/>
      <w:r w:rsidRPr="00460C9F">
        <w:t>neproduljenju</w:t>
      </w:r>
      <w:proofErr w:type="spellEnd"/>
      <w:r w:rsidRPr="00460C9F">
        <w:t xml:space="preserve"> odobrenja od 22. listopada 2019.</w:t>
      </w:r>
      <w:r w:rsidRPr="00460C9F">
        <w:rPr>
          <w:rStyle w:val="FootnoteReference"/>
        </w:rPr>
        <w:footnoteReference w:id="24"/>
      </w:r>
      <w:r w:rsidRPr="00460C9F">
        <w:t xml:space="preserve"> zaključila da „dostupne informacije nisu dovoljne za ispunjavanje zahtjeva iz članka 4. stavaka od 1. do 3. Uredbe (EZ) br. 1107/2009”, a posebno da „procjena rizika za pčele nije mogla biti dovršena”;</w:t>
      </w:r>
    </w:p>
    <w:p w:rsidR="00932678" w:rsidRPr="00460C9F" w:rsidRDefault="00932678" w:rsidP="002C1A2F">
      <w:pPr>
        <w:pStyle w:val="NormalHanging12a"/>
      </w:pPr>
      <w:r w:rsidRPr="00460C9F">
        <w:t>Y.</w:t>
      </w:r>
      <w:r w:rsidRPr="00460C9F">
        <w:tab/>
        <w:t xml:space="preserve">budući da bi </w:t>
      </w:r>
      <w:proofErr w:type="spellStart"/>
      <w:r w:rsidRPr="00460C9F">
        <w:t>tiakloprid</w:t>
      </w:r>
      <w:proofErr w:type="spellEnd"/>
      <w:r w:rsidRPr="00460C9F">
        <w:t xml:space="preserve"> stoga trebao podlijegati istom obrazloženju i pravilima koja su primijenjena na </w:t>
      </w:r>
      <w:proofErr w:type="spellStart"/>
      <w:r w:rsidRPr="00460C9F">
        <w:t>klotianidin</w:t>
      </w:r>
      <w:proofErr w:type="spellEnd"/>
      <w:r w:rsidRPr="00460C9F">
        <w:t xml:space="preserve"> i </w:t>
      </w:r>
      <w:proofErr w:type="spellStart"/>
      <w:r w:rsidRPr="00460C9F">
        <w:t>tiametoksam</w:t>
      </w:r>
      <w:proofErr w:type="spellEnd"/>
      <w:r w:rsidRPr="00460C9F">
        <w:t>;</w:t>
      </w:r>
    </w:p>
    <w:p w:rsidR="00932678" w:rsidRPr="00460C9F" w:rsidRDefault="00932678" w:rsidP="002C1A2F">
      <w:pPr>
        <w:pStyle w:val="NormalHanging12a"/>
      </w:pPr>
      <w:r w:rsidRPr="00460C9F">
        <w:t>Z.</w:t>
      </w:r>
      <w:r w:rsidRPr="00460C9F">
        <w:tab/>
        <w:t>budući da Komisija mora zaštititi okoliš i građane Unije na temelju dostupnih znanstvenih informacija, koristeći se obvezama i pravnim mogućnostima koje su predviđene Uredbom (EZ) br. 396/2005 i Uredbom (EZ) br. 178/2002 kako bi se osigurala visoka razina zaštite zdravlja ljudi i životinja te okoliša;</w:t>
      </w:r>
    </w:p>
    <w:p w:rsidR="00932678" w:rsidRPr="00460C9F" w:rsidRDefault="00932678" w:rsidP="002C1A2F">
      <w:pPr>
        <w:pStyle w:val="NormalHanging12a"/>
      </w:pPr>
      <w:r w:rsidRPr="00460C9F">
        <w:t>AA.</w:t>
      </w:r>
      <w:r w:rsidRPr="00460C9F">
        <w:tab/>
        <w:t xml:space="preserve">budući da predloženi MRO-i ne štite zdravlje građana u Uniji i ne osiguravaju visoku razinu zaštite pčela i drugih oprašivača te su stoga u suprotnosti s Uredbom (EZ) </w:t>
      </w:r>
      <w:r w:rsidRPr="00460C9F">
        <w:lastRenderedPageBreak/>
        <w:t>br. 396/2005 i Uredbom (EZ) br. 178/2002;</w:t>
      </w:r>
    </w:p>
    <w:p w:rsidR="00932678" w:rsidRPr="00460C9F" w:rsidRDefault="00932678" w:rsidP="002C1A2F">
      <w:pPr>
        <w:pStyle w:val="NormalHanging12a"/>
      </w:pPr>
      <w:r w:rsidRPr="00460C9F">
        <w:t>AB.</w:t>
      </w:r>
      <w:r w:rsidRPr="00460C9F">
        <w:tab/>
        <w:t xml:space="preserve">budući da ne bi trebalo određivati MRO-e za aktivne tvari koje nisu odobrene u Uniji zbog zdravstvenih pitanja; budući da stoga ne bi trebalo utvrditi uvozne tolerancije za </w:t>
      </w:r>
      <w:proofErr w:type="spellStart"/>
      <w:r w:rsidRPr="00460C9F">
        <w:t>tiakloprid</w:t>
      </w:r>
      <w:proofErr w:type="spellEnd"/>
      <w:r w:rsidRPr="00460C9F">
        <w:t xml:space="preserve"> jer je razvrstan kao reproduktivno toksična tvar kategorije 1.B; budući da je, nadalje, razvrstavanje </w:t>
      </w:r>
      <w:proofErr w:type="spellStart"/>
      <w:r w:rsidRPr="00460C9F">
        <w:t>tiakloprida</w:t>
      </w:r>
      <w:proofErr w:type="spellEnd"/>
      <w:r w:rsidRPr="00460C9F">
        <w:t xml:space="preserve"> kao reproduktivno toksične kategorije 1.B trebalo biti dovoljan razlog da Komisija odbije zahtjeve za uvozne tolerancije s obzirom na rizike za zdravlje građana u trećim zemljama; </w:t>
      </w:r>
    </w:p>
    <w:p w:rsidR="00932678" w:rsidRPr="00460C9F" w:rsidRDefault="00932678" w:rsidP="002C1A2F">
      <w:pPr>
        <w:pStyle w:val="NormalHanging12a"/>
      </w:pPr>
      <w:r w:rsidRPr="00460C9F">
        <w:t>1.</w:t>
      </w:r>
      <w:r w:rsidRPr="00460C9F">
        <w:tab/>
        <w:t>protivi se usvajanju Prijedloga uredbe Vijeća;</w:t>
      </w:r>
    </w:p>
    <w:p w:rsidR="00932678" w:rsidRPr="00460C9F" w:rsidRDefault="00932678" w:rsidP="002C1A2F">
      <w:pPr>
        <w:pStyle w:val="NormalHanging12a"/>
      </w:pPr>
      <w:r w:rsidRPr="00460C9F">
        <w:t>2.</w:t>
      </w:r>
      <w:r w:rsidRPr="00460C9F">
        <w:tab/>
        <w:t>smatra da Prijedlog uredbe Vijeća nije u skladu s ciljem i sadržajem Uredbe (EZ) br. 396/2005 i Uredbe (EZ) br. 178/2002, kao i s Uredbom (EZ) br. 1107/2009, uključujući točku 3.6.4. njezina Priloga II.;</w:t>
      </w:r>
    </w:p>
    <w:p w:rsidR="00932678" w:rsidRPr="00460C9F" w:rsidRDefault="00932678" w:rsidP="002C1A2F">
      <w:pPr>
        <w:pStyle w:val="NormalHanging12a"/>
      </w:pPr>
      <w:r w:rsidRPr="00460C9F">
        <w:t>3.</w:t>
      </w:r>
      <w:r w:rsidRPr="00460C9F">
        <w:tab/>
        <w:t>traži od Komisije da povuče Prijedlog uredbe;</w:t>
      </w:r>
    </w:p>
    <w:p w:rsidR="00932678" w:rsidRPr="00460C9F" w:rsidRDefault="00932678" w:rsidP="002C1A2F">
      <w:pPr>
        <w:pStyle w:val="NormalHanging12a"/>
      </w:pPr>
      <w:r w:rsidRPr="00460C9F">
        <w:t>4.</w:t>
      </w:r>
      <w:r w:rsidRPr="00460C9F">
        <w:tab/>
        <w:t xml:space="preserve">poziva Komisiju da Odboru podnese novi nacrt u kojem se svi MRO-ovi za </w:t>
      </w:r>
      <w:proofErr w:type="spellStart"/>
      <w:r w:rsidRPr="00460C9F">
        <w:t>tiakloprid</w:t>
      </w:r>
      <w:proofErr w:type="spellEnd"/>
      <w:r w:rsidRPr="00460C9F">
        <w:t xml:space="preserve"> snižavaju do granice određivanja za sve uporabe te da odbije sve zahtjeve za uvozne tolerancije;</w:t>
      </w:r>
    </w:p>
    <w:p w:rsidR="00932678" w:rsidRPr="00460C9F" w:rsidRDefault="00932678" w:rsidP="002C1A2F">
      <w:pPr>
        <w:pStyle w:val="NormalHanging12a"/>
      </w:pPr>
      <w:r w:rsidRPr="00460C9F">
        <w:t>5.</w:t>
      </w:r>
      <w:r w:rsidRPr="00460C9F">
        <w:tab/>
        <w:t>nalaže svojoj predsjednici da ovu Rezoluciju proslijedi Vijeću i Komisiji te vladama i parlamentima država članica.</w:t>
      </w:r>
    </w:p>
    <w:p w:rsidR="00E365E1" w:rsidRPr="00460C9F" w:rsidRDefault="00E365E1" w:rsidP="00296BB8">
      <w:bookmarkStart w:id="7" w:name="TextBodyEnd"/>
      <w:bookmarkStart w:id="8" w:name="_GoBack"/>
      <w:bookmarkEnd w:id="7"/>
      <w:bookmarkEnd w:id="8"/>
    </w:p>
    <w:sectPr w:rsidR="00E365E1" w:rsidRPr="00460C9F" w:rsidSect="009743F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BB8" w:rsidRPr="009743F4" w:rsidRDefault="00296BB8">
      <w:r w:rsidRPr="009743F4">
        <w:separator/>
      </w:r>
    </w:p>
  </w:endnote>
  <w:endnote w:type="continuationSeparator" w:id="0">
    <w:p w:rsidR="00296BB8" w:rsidRPr="009743F4" w:rsidRDefault="00296BB8">
      <w:r w:rsidRPr="009743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43F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43F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43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BB8" w:rsidRPr="009743F4" w:rsidRDefault="00296BB8">
      <w:r w:rsidRPr="009743F4">
        <w:separator/>
      </w:r>
    </w:p>
  </w:footnote>
  <w:footnote w:type="continuationSeparator" w:id="0">
    <w:p w:rsidR="00296BB8" w:rsidRPr="009743F4" w:rsidRDefault="00296BB8">
      <w:r w:rsidRPr="009743F4">
        <w:continuationSeparator/>
      </w:r>
    </w:p>
  </w:footnote>
  <w:footnote w:id="1">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SL L 70, 16.3.2005., str. 1.</w:t>
      </w:r>
    </w:p>
  </w:footnote>
  <w:footnote w:id="2">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SL L 309, 24.11.2009., str. 1.</w:t>
      </w:r>
    </w:p>
  </w:footnote>
  <w:footnote w:id="3">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SL L 31, 1.2.2002., str. 1.</w:t>
      </w:r>
    </w:p>
  </w:footnote>
  <w:footnote w:id="4">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 xml:space="preserve">EFSA </w:t>
      </w:r>
      <w:proofErr w:type="spellStart"/>
      <w:r w:rsidRPr="009743F4">
        <w:rPr>
          <w:sz w:val="24"/>
          <w:lang w:val="hr-HR"/>
        </w:rPr>
        <w:t>Statement</w:t>
      </w:r>
      <w:proofErr w:type="spellEnd"/>
      <w:r w:rsidRPr="009743F4">
        <w:rPr>
          <w:sz w:val="24"/>
          <w:lang w:val="hr-HR"/>
        </w:rPr>
        <w:t xml:space="preserve"> on </w:t>
      </w:r>
      <w:proofErr w:type="spellStart"/>
      <w:r w:rsidRPr="009743F4">
        <w:rPr>
          <w:sz w:val="24"/>
          <w:lang w:val="hr-HR"/>
        </w:rPr>
        <w:t>the</w:t>
      </w:r>
      <w:proofErr w:type="spellEnd"/>
      <w:r w:rsidRPr="009743F4">
        <w:rPr>
          <w:sz w:val="24"/>
          <w:lang w:val="hr-HR"/>
        </w:rPr>
        <w:t xml:space="preserve"> short-</w:t>
      </w:r>
      <w:proofErr w:type="spellStart"/>
      <w:r w:rsidRPr="009743F4">
        <w:rPr>
          <w:sz w:val="24"/>
          <w:lang w:val="hr-HR"/>
        </w:rPr>
        <w:t>term</w:t>
      </w:r>
      <w:proofErr w:type="spellEnd"/>
      <w:r w:rsidRPr="009743F4">
        <w:rPr>
          <w:sz w:val="24"/>
          <w:lang w:val="hr-HR"/>
        </w:rPr>
        <w:t xml:space="preserve"> (</w:t>
      </w:r>
      <w:proofErr w:type="spellStart"/>
      <w:r w:rsidRPr="009743F4">
        <w:rPr>
          <w:sz w:val="24"/>
          <w:lang w:val="hr-HR"/>
        </w:rPr>
        <w:t>acute</w:t>
      </w:r>
      <w:proofErr w:type="spellEnd"/>
      <w:r w:rsidRPr="009743F4">
        <w:rPr>
          <w:sz w:val="24"/>
          <w:lang w:val="hr-HR"/>
        </w:rPr>
        <w:t xml:space="preserve">) </w:t>
      </w:r>
      <w:proofErr w:type="spellStart"/>
      <w:r w:rsidRPr="009743F4">
        <w:rPr>
          <w:sz w:val="24"/>
          <w:lang w:val="hr-HR"/>
        </w:rPr>
        <w:t>dietary</w:t>
      </w:r>
      <w:proofErr w:type="spellEnd"/>
      <w:r w:rsidRPr="009743F4">
        <w:rPr>
          <w:sz w:val="24"/>
          <w:lang w:val="hr-HR"/>
        </w:rPr>
        <w:t xml:space="preserve"> </w:t>
      </w:r>
      <w:proofErr w:type="spellStart"/>
      <w:r w:rsidRPr="009743F4">
        <w:rPr>
          <w:sz w:val="24"/>
          <w:lang w:val="hr-HR"/>
        </w:rPr>
        <w:t>risk</w:t>
      </w:r>
      <w:proofErr w:type="spellEnd"/>
      <w:r w:rsidRPr="009743F4">
        <w:rPr>
          <w:sz w:val="24"/>
          <w:lang w:val="hr-HR"/>
        </w:rPr>
        <w:t xml:space="preserve"> </w:t>
      </w:r>
      <w:proofErr w:type="spellStart"/>
      <w:r w:rsidRPr="009743F4">
        <w:rPr>
          <w:sz w:val="24"/>
          <w:lang w:val="hr-HR"/>
        </w:rPr>
        <w:t>assessment</w:t>
      </w:r>
      <w:proofErr w:type="spellEnd"/>
      <w:r w:rsidRPr="009743F4">
        <w:rPr>
          <w:sz w:val="24"/>
          <w:lang w:val="hr-HR"/>
        </w:rPr>
        <w:t xml:space="preserve"> </w:t>
      </w:r>
      <w:proofErr w:type="spellStart"/>
      <w:r w:rsidRPr="009743F4">
        <w:rPr>
          <w:sz w:val="24"/>
          <w:lang w:val="hr-HR"/>
        </w:rPr>
        <w:t>and</w:t>
      </w:r>
      <w:proofErr w:type="spellEnd"/>
      <w:r w:rsidRPr="009743F4">
        <w:rPr>
          <w:sz w:val="24"/>
          <w:lang w:val="hr-HR"/>
        </w:rPr>
        <w:t xml:space="preserve"> </w:t>
      </w:r>
      <w:proofErr w:type="spellStart"/>
      <w:r w:rsidRPr="009743F4">
        <w:rPr>
          <w:sz w:val="24"/>
          <w:lang w:val="hr-HR"/>
        </w:rPr>
        <w:t>evaluation</w:t>
      </w:r>
      <w:proofErr w:type="spellEnd"/>
      <w:r w:rsidRPr="009743F4">
        <w:rPr>
          <w:sz w:val="24"/>
          <w:lang w:val="hr-HR"/>
        </w:rPr>
        <w:t xml:space="preserve"> </w:t>
      </w:r>
      <w:proofErr w:type="spellStart"/>
      <w:r w:rsidRPr="009743F4">
        <w:rPr>
          <w:sz w:val="24"/>
          <w:lang w:val="hr-HR"/>
        </w:rPr>
        <w:t>of</w:t>
      </w:r>
      <w:proofErr w:type="spellEnd"/>
      <w:r w:rsidRPr="009743F4">
        <w:rPr>
          <w:sz w:val="24"/>
          <w:lang w:val="hr-HR"/>
        </w:rPr>
        <w:t xml:space="preserve"> </w:t>
      </w:r>
      <w:proofErr w:type="spellStart"/>
      <w:r w:rsidRPr="009743F4">
        <w:rPr>
          <w:sz w:val="24"/>
          <w:lang w:val="hr-HR"/>
        </w:rPr>
        <w:t>confirmatory</w:t>
      </w:r>
      <w:proofErr w:type="spellEnd"/>
      <w:r w:rsidRPr="009743F4">
        <w:rPr>
          <w:sz w:val="24"/>
          <w:lang w:val="hr-HR"/>
        </w:rPr>
        <w:t xml:space="preserve"> data for </w:t>
      </w:r>
      <w:proofErr w:type="spellStart"/>
      <w:r w:rsidRPr="009743F4">
        <w:rPr>
          <w:sz w:val="24"/>
          <w:lang w:val="hr-HR"/>
        </w:rPr>
        <w:t>certain</w:t>
      </w:r>
      <w:proofErr w:type="spellEnd"/>
      <w:r w:rsidRPr="009743F4">
        <w:rPr>
          <w:sz w:val="24"/>
          <w:lang w:val="hr-HR"/>
        </w:rPr>
        <w:t xml:space="preserve"> </w:t>
      </w:r>
      <w:proofErr w:type="spellStart"/>
      <w:r w:rsidRPr="009743F4">
        <w:rPr>
          <w:sz w:val="24"/>
          <w:lang w:val="hr-HR"/>
        </w:rPr>
        <w:t>maximum</w:t>
      </w:r>
      <w:proofErr w:type="spellEnd"/>
      <w:r w:rsidRPr="009743F4">
        <w:rPr>
          <w:sz w:val="24"/>
          <w:lang w:val="hr-HR"/>
        </w:rPr>
        <w:t xml:space="preserve"> </w:t>
      </w:r>
      <w:proofErr w:type="spellStart"/>
      <w:r w:rsidRPr="009743F4">
        <w:rPr>
          <w:sz w:val="24"/>
          <w:lang w:val="hr-HR"/>
        </w:rPr>
        <w:t>residue</w:t>
      </w:r>
      <w:proofErr w:type="spellEnd"/>
      <w:r w:rsidRPr="009743F4">
        <w:rPr>
          <w:sz w:val="24"/>
          <w:lang w:val="hr-HR"/>
        </w:rPr>
        <w:t xml:space="preserve"> </w:t>
      </w:r>
      <w:proofErr w:type="spellStart"/>
      <w:r w:rsidRPr="009743F4">
        <w:rPr>
          <w:sz w:val="24"/>
          <w:lang w:val="hr-HR"/>
        </w:rPr>
        <w:t>levels</w:t>
      </w:r>
      <w:proofErr w:type="spellEnd"/>
      <w:r w:rsidRPr="009743F4">
        <w:rPr>
          <w:sz w:val="24"/>
          <w:lang w:val="hr-HR"/>
        </w:rPr>
        <w:t xml:space="preserve"> (</w:t>
      </w:r>
      <w:proofErr w:type="spellStart"/>
      <w:r w:rsidRPr="009743F4">
        <w:rPr>
          <w:sz w:val="24"/>
          <w:lang w:val="hr-HR"/>
        </w:rPr>
        <w:t>MRLs</w:t>
      </w:r>
      <w:proofErr w:type="spellEnd"/>
      <w:r w:rsidRPr="009743F4">
        <w:rPr>
          <w:sz w:val="24"/>
          <w:lang w:val="hr-HR"/>
        </w:rPr>
        <w:t xml:space="preserve">) for </w:t>
      </w:r>
      <w:proofErr w:type="spellStart"/>
      <w:r w:rsidRPr="009743F4">
        <w:rPr>
          <w:sz w:val="24"/>
          <w:lang w:val="hr-HR"/>
        </w:rPr>
        <w:t>thiacloprid</w:t>
      </w:r>
      <w:proofErr w:type="spellEnd"/>
      <w:r w:rsidRPr="009743F4">
        <w:rPr>
          <w:sz w:val="24"/>
          <w:lang w:val="hr-HR"/>
        </w:rPr>
        <w:t xml:space="preserve"> (Izjava EFSA-e o kratkoročnoj (akutnoj) procjeni prehrambenog rizika i ocjeni potvrdnih podataka za određene maksimalne razine ostataka (MRO) za </w:t>
      </w:r>
      <w:proofErr w:type="spellStart"/>
      <w:r w:rsidRPr="009743F4">
        <w:rPr>
          <w:sz w:val="24"/>
          <w:lang w:val="hr-HR"/>
        </w:rPr>
        <w:t>tiakloprid</w:t>
      </w:r>
      <w:proofErr w:type="spellEnd"/>
      <w:r w:rsidRPr="009743F4">
        <w:rPr>
          <w:sz w:val="24"/>
          <w:lang w:val="hr-HR"/>
        </w:rPr>
        <w:t xml:space="preserve">), EFSA Journal 2023.;21(3):7888, </w:t>
      </w:r>
      <w:hyperlink r:id="rId1" w:history="1">
        <w:r w:rsidRPr="009743F4">
          <w:rPr>
            <w:rStyle w:val="Hyperlink"/>
            <w:sz w:val="24"/>
            <w:lang w:val="hr-HR"/>
          </w:rPr>
          <w:t>https://doi.org/10.2903/j.efsa.2023.7888</w:t>
        </w:r>
      </w:hyperlink>
      <w:r w:rsidRPr="009743F4">
        <w:rPr>
          <w:sz w:val="24"/>
          <w:lang w:val="hr-HR"/>
        </w:rPr>
        <w:t>.</w:t>
      </w:r>
    </w:p>
  </w:footnote>
  <w:footnote w:id="5">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 xml:space="preserve">Zaključak EFSA-e o stručnoj recenziji procjene rizika od pesticida s aktivnom tvari </w:t>
      </w:r>
      <w:proofErr w:type="spellStart"/>
      <w:r w:rsidRPr="009743F4">
        <w:rPr>
          <w:sz w:val="24"/>
          <w:lang w:val="hr-HR"/>
        </w:rPr>
        <w:t>tiaklopridom</w:t>
      </w:r>
      <w:proofErr w:type="spellEnd"/>
      <w:r w:rsidRPr="009743F4">
        <w:rPr>
          <w:sz w:val="24"/>
          <w:lang w:val="hr-HR"/>
        </w:rPr>
        <w:t xml:space="preserve">, EFSA Journal 2019.;17(3):5595, </w:t>
      </w:r>
      <w:r w:rsidR="00823BE3">
        <w:fldChar w:fldCharType="begin"/>
      </w:r>
      <w:r w:rsidR="00823BE3" w:rsidRPr="00823BE3">
        <w:rPr>
          <w:lang w:val="hr-HR"/>
        </w:rPr>
        <w:instrText xml:space="preserve"> HYPERLINK "https://doi.org/10.2903/j.efsa.2019.5595" </w:instrText>
      </w:r>
      <w:r w:rsidR="00823BE3">
        <w:fldChar w:fldCharType="separate"/>
      </w:r>
      <w:r w:rsidRPr="009743F4">
        <w:rPr>
          <w:rStyle w:val="Hyperlink"/>
          <w:sz w:val="24"/>
          <w:lang w:val="hr-HR"/>
        </w:rPr>
        <w:t>https://doi.org/10.2903/j.efsa.2019.5595</w:t>
      </w:r>
      <w:r w:rsidR="00823BE3">
        <w:rPr>
          <w:rStyle w:val="Hyperlink"/>
          <w:sz w:val="24"/>
          <w:lang w:val="hr-HR"/>
        </w:rPr>
        <w:fldChar w:fldCharType="end"/>
      </w:r>
      <w:r w:rsidRPr="009743F4">
        <w:rPr>
          <w:sz w:val="24"/>
          <w:lang w:val="hr-HR"/>
        </w:rPr>
        <w:t>.</w:t>
      </w:r>
    </w:p>
  </w:footnote>
  <w:footnote w:id="6">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 xml:space="preserve">Mišljenje RAC-a u kojem se predlaže usklađeno razvrstavanje i označivanje </w:t>
      </w:r>
      <w:proofErr w:type="spellStart"/>
      <w:r w:rsidRPr="009743F4">
        <w:rPr>
          <w:sz w:val="24"/>
          <w:lang w:val="hr-HR"/>
        </w:rPr>
        <w:t>tiakloprida</w:t>
      </w:r>
      <w:proofErr w:type="spellEnd"/>
      <w:r w:rsidRPr="009743F4">
        <w:rPr>
          <w:sz w:val="24"/>
          <w:lang w:val="hr-HR"/>
        </w:rPr>
        <w:t xml:space="preserve"> (ISO) na razini EU-a; {(2Z)-3-[(6-kloropiridin-3-il)metil]-1,3-tiaz olidin-2-iliden}</w:t>
      </w:r>
      <w:proofErr w:type="spellStart"/>
      <w:r w:rsidRPr="009743F4">
        <w:rPr>
          <w:sz w:val="24"/>
          <w:lang w:val="hr-HR"/>
        </w:rPr>
        <w:t>cijanamid</w:t>
      </w:r>
      <w:proofErr w:type="spellEnd"/>
      <w:r w:rsidRPr="009743F4">
        <w:rPr>
          <w:sz w:val="24"/>
          <w:lang w:val="hr-HR"/>
        </w:rPr>
        <w:t xml:space="preserve">, </w:t>
      </w:r>
      <w:r w:rsidR="00823BE3">
        <w:fldChar w:fldCharType="begin"/>
      </w:r>
      <w:r w:rsidR="00823BE3" w:rsidRPr="00823BE3">
        <w:rPr>
          <w:lang w:val="hr-HR"/>
        </w:rPr>
        <w:instrText xml:space="preserve"> HYPERLINK "https://echa.europa.eu/registry-of-clh-intentions-until-outcome/-/dislist/details/0b0236e180638ff8" </w:instrText>
      </w:r>
      <w:r w:rsidR="00823BE3">
        <w:fldChar w:fldCharType="separate"/>
      </w:r>
      <w:r w:rsidRPr="009743F4">
        <w:rPr>
          <w:rStyle w:val="Hyperlink"/>
          <w:sz w:val="24"/>
          <w:lang w:val="hr-HR"/>
        </w:rPr>
        <w:t>https://echa.europa.eu/registry-of-clh-intentions-until-outcome/-/dislist/details/0b0236e180638ff8</w:t>
      </w:r>
      <w:r w:rsidR="00823BE3">
        <w:rPr>
          <w:rStyle w:val="Hyperlink"/>
          <w:sz w:val="24"/>
          <w:lang w:val="hr-HR"/>
        </w:rPr>
        <w:fldChar w:fldCharType="end"/>
      </w:r>
      <w:r w:rsidRPr="009743F4">
        <w:rPr>
          <w:sz w:val="24"/>
          <w:lang w:val="hr-HR"/>
        </w:rPr>
        <w:t>.</w:t>
      </w:r>
    </w:p>
  </w:footnote>
  <w:footnote w:id="7">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SL L 184, 17.7.1999., str. 23.</w:t>
      </w:r>
    </w:p>
  </w:footnote>
  <w:footnote w:id="8">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 xml:space="preserve">Provedbena uredba Komisije (EU) 2020/23 </w:t>
      </w:r>
      <w:proofErr w:type="spellStart"/>
      <w:r w:rsidRPr="009743F4">
        <w:rPr>
          <w:sz w:val="24"/>
          <w:lang w:val="hr-HR"/>
        </w:rPr>
        <w:t>оd</w:t>
      </w:r>
      <w:proofErr w:type="spellEnd"/>
      <w:r w:rsidRPr="009743F4">
        <w:rPr>
          <w:sz w:val="24"/>
          <w:lang w:val="hr-HR"/>
        </w:rPr>
        <w:t xml:space="preserve"> 13. siječnja 2020. o </w:t>
      </w:r>
      <w:proofErr w:type="spellStart"/>
      <w:r w:rsidRPr="009743F4">
        <w:rPr>
          <w:sz w:val="24"/>
          <w:lang w:val="hr-HR"/>
        </w:rPr>
        <w:t>neproduljenju</w:t>
      </w:r>
      <w:proofErr w:type="spellEnd"/>
      <w:r w:rsidRPr="009743F4">
        <w:rPr>
          <w:sz w:val="24"/>
          <w:lang w:val="hr-HR"/>
        </w:rPr>
        <w:t xml:space="preserve"> odobrenja aktivne tvari </w:t>
      </w:r>
      <w:proofErr w:type="spellStart"/>
      <w:r w:rsidRPr="009743F4">
        <w:rPr>
          <w:sz w:val="24"/>
          <w:lang w:val="hr-HR"/>
        </w:rPr>
        <w:t>tiakloprid</w:t>
      </w:r>
      <w:proofErr w:type="spellEnd"/>
      <w:r w:rsidRPr="009743F4">
        <w:rPr>
          <w:sz w:val="24"/>
          <w:lang w:val="hr-HR"/>
        </w:rPr>
        <w:t xml:space="preserve"> u skladu s Uredbom (EZ) br. 1107/2009 Europskog parlamenta i Vijeća o stavljanju na tržište sredstava za zaštitu bilja te o izmjeni Priloga Provedbenoj uredbi Komisije (EU) br. 540/2011 (SL L 8, 14.1.2020., str. 8.).</w:t>
      </w:r>
    </w:p>
  </w:footnote>
  <w:footnote w:id="9">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Zaključci EFSA-a od 17. siječnja 2019.</w:t>
      </w:r>
    </w:p>
  </w:footnote>
  <w:footnote w:id="10">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Uredba (EZ) br. 1272/2008 Europskog parlamenta i Vijeća od 16. prosinca 2008. o razvrstavanju, označivanju i pakiranju tvari i smjesa, o izmjeni i stavljanju izvan snage Direktive 67/548/EEZ i Direktive 1999/45/EZ i o izmjeni Uredbe (EZ) br. 1907/2006 (SL L 353, 31.12.2008., str. 1.).</w:t>
      </w:r>
    </w:p>
  </w:footnote>
  <w:footnote w:id="11">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 xml:space="preserve">Sažeto izvješće sa sjednice odbora PAFF održane 18. i 19. rujna 2023., </w:t>
      </w:r>
      <w:r w:rsidR="00823BE3">
        <w:fldChar w:fldCharType="begin"/>
      </w:r>
      <w:r w:rsidR="00823BE3" w:rsidRPr="00823BE3">
        <w:rPr>
          <w:lang w:val="hr-HR"/>
        </w:rPr>
        <w:instrText xml:space="preserve"> HYPERLINK "https://ec.europa.eu/transparency/comitology-register/screen/documents/092486/1/consult?lang=en" </w:instrText>
      </w:r>
      <w:r w:rsidR="00823BE3">
        <w:fldChar w:fldCharType="separate"/>
      </w:r>
      <w:r w:rsidRPr="009743F4">
        <w:rPr>
          <w:rStyle w:val="Hyperlink"/>
          <w:sz w:val="24"/>
          <w:lang w:val="hr-HR"/>
        </w:rPr>
        <w:t>https://ec.europa.eu/transparency/comitology-register/screen/documents/092486/1/consult?lang=en</w:t>
      </w:r>
      <w:r w:rsidR="00823BE3">
        <w:rPr>
          <w:rStyle w:val="Hyperlink"/>
          <w:sz w:val="24"/>
          <w:lang w:val="hr-HR"/>
        </w:rPr>
        <w:fldChar w:fldCharType="end"/>
      </w:r>
      <w:r w:rsidRPr="009743F4">
        <w:rPr>
          <w:sz w:val="24"/>
          <w:lang w:val="hr-HR"/>
        </w:rPr>
        <w:t>.</w:t>
      </w:r>
    </w:p>
  </w:footnote>
  <w:footnote w:id="12">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Isto.</w:t>
      </w:r>
    </w:p>
  </w:footnote>
  <w:footnote w:id="13">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Obrazloženo mišljenje EFSA-e od 9. veljače 2023.</w:t>
      </w:r>
    </w:p>
  </w:footnote>
  <w:footnote w:id="14">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 xml:space="preserve">van </w:t>
      </w:r>
      <w:proofErr w:type="spellStart"/>
      <w:r w:rsidRPr="009743F4">
        <w:rPr>
          <w:sz w:val="24"/>
          <w:lang w:val="hr-HR"/>
        </w:rPr>
        <w:t>der</w:t>
      </w:r>
      <w:proofErr w:type="spellEnd"/>
      <w:r w:rsidRPr="009743F4">
        <w:rPr>
          <w:sz w:val="24"/>
          <w:lang w:val="hr-HR"/>
        </w:rPr>
        <w:t xml:space="preserve"> </w:t>
      </w:r>
      <w:proofErr w:type="spellStart"/>
      <w:r w:rsidRPr="009743F4">
        <w:rPr>
          <w:sz w:val="24"/>
          <w:lang w:val="hr-HR"/>
        </w:rPr>
        <w:t>Sluijs</w:t>
      </w:r>
      <w:proofErr w:type="spellEnd"/>
      <w:r w:rsidRPr="009743F4">
        <w:rPr>
          <w:sz w:val="24"/>
          <w:lang w:val="hr-HR"/>
        </w:rPr>
        <w:t xml:space="preserve">, J.P., </w:t>
      </w:r>
      <w:proofErr w:type="spellStart"/>
      <w:r w:rsidRPr="009743F4">
        <w:rPr>
          <w:sz w:val="24"/>
          <w:lang w:val="hr-HR"/>
        </w:rPr>
        <w:t>Vaage</w:t>
      </w:r>
      <w:proofErr w:type="spellEnd"/>
      <w:r w:rsidRPr="009743F4">
        <w:rPr>
          <w:sz w:val="24"/>
          <w:lang w:val="hr-HR"/>
        </w:rPr>
        <w:t>, N. S., „</w:t>
      </w:r>
      <w:proofErr w:type="spellStart"/>
      <w:r w:rsidRPr="009743F4">
        <w:rPr>
          <w:sz w:val="24"/>
          <w:lang w:val="hr-HR"/>
        </w:rPr>
        <w:t>Pollinators</w:t>
      </w:r>
      <w:proofErr w:type="spellEnd"/>
      <w:r w:rsidRPr="009743F4">
        <w:rPr>
          <w:sz w:val="24"/>
          <w:lang w:val="hr-HR"/>
        </w:rPr>
        <w:t xml:space="preserve"> </w:t>
      </w:r>
      <w:proofErr w:type="spellStart"/>
      <w:r w:rsidRPr="009743F4">
        <w:rPr>
          <w:sz w:val="24"/>
          <w:lang w:val="hr-HR"/>
        </w:rPr>
        <w:t>and</w:t>
      </w:r>
      <w:proofErr w:type="spellEnd"/>
      <w:r w:rsidRPr="009743F4">
        <w:rPr>
          <w:sz w:val="24"/>
          <w:lang w:val="hr-HR"/>
        </w:rPr>
        <w:t xml:space="preserve"> Global </w:t>
      </w:r>
      <w:proofErr w:type="spellStart"/>
      <w:r w:rsidRPr="009743F4">
        <w:rPr>
          <w:sz w:val="24"/>
          <w:lang w:val="hr-HR"/>
        </w:rPr>
        <w:t>Food</w:t>
      </w:r>
      <w:proofErr w:type="spellEnd"/>
      <w:r w:rsidRPr="009743F4">
        <w:rPr>
          <w:sz w:val="24"/>
          <w:lang w:val="hr-HR"/>
        </w:rPr>
        <w:t xml:space="preserve"> </w:t>
      </w:r>
      <w:proofErr w:type="spellStart"/>
      <w:r w:rsidRPr="009743F4">
        <w:rPr>
          <w:sz w:val="24"/>
          <w:lang w:val="hr-HR"/>
        </w:rPr>
        <w:t>Security</w:t>
      </w:r>
      <w:proofErr w:type="spellEnd"/>
      <w:r w:rsidRPr="009743F4">
        <w:rPr>
          <w:sz w:val="24"/>
          <w:lang w:val="hr-HR"/>
        </w:rPr>
        <w:t xml:space="preserve">: </w:t>
      </w:r>
      <w:proofErr w:type="spellStart"/>
      <w:r w:rsidRPr="009743F4">
        <w:rPr>
          <w:sz w:val="24"/>
          <w:lang w:val="hr-HR"/>
        </w:rPr>
        <w:t>the</w:t>
      </w:r>
      <w:proofErr w:type="spellEnd"/>
      <w:r w:rsidRPr="009743F4">
        <w:rPr>
          <w:sz w:val="24"/>
          <w:lang w:val="hr-HR"/>
        </w:rPr>
        <w:t xml:space="preserve"> </w:t>
      </w:r>
      <w:proofErr w:type="spellStart"/>
      <w:r w:rsidRPr="009743F4">
        <w:rPr>
          <w:sz w:val="24"/>
          <w:lang w:val="hr-HR"/>
        </w:rPr>
        <w:t>Need</w:t>
      </w:r>
      <w:proofErr w:type="spellEnd"/>
      <w:r w:rsidRPr="009743F4">
        <w:rPr>
          <w:sz w:val="24"/>
          <w:lang w:val="hr-HR"/>
        </w:rPr>
        <w:t xml:space="preserve"> for </w:t>
      </w:r>
      <w:proofErr w:type="spellStart"/>
      <w:r w:rsidRPr="009743F4">
        <w:rPr>
          <w:sz w:val="24"/>
          <w:lang w:val="hr-HR"/>
        </w:rPr>
        <w:t>Holistic</w:t>
      </w:r>
      <w:proofErr w:type="spellEnd"/>
      <w:r w:rsidRPr="009743F4">
        <w:rPr>
          <w:sz w:val="24"/>
          <w:lang w:val="hr-HR"/>
        </w:rPr>
        <w:t xml:space="preserve"> Global </w:t>
      </w:r>
      <w:proofErr w:type="spellStart"/>
      <w:r w:rsidRPr="009743F4">
        <w:rPr>
          <w:sz w:val="24"/>
          <w:lang w:val="hr-HR"/>
        </w:rPr>
        <w:t>Stewardship</w:t>
      </w:r>
      <w:proofErr w:type="spellEnd"/>
      <w:r w:rsidRPr="009743F4">
        <w:rPr>
          <w:sz w:val="24"/>
          <w:lang w:val="hr-HR"/>
        </w:rPr>
        <w:t xml:space="preserve">” (Oprašivači i globalna sigurnost opskrbe hranom: potreba za holističkim globalnim upravljanjem), </w:t>
      </w:r>
      <w:proofErr w:type="spellStart"/>
      <w:r w:rsidRPr="009743F4">
        <w:rPr>
          <w:sz w:val="24"/>
          <w:lang w:val="hr-HR"/>
        </w:rPr>
        <w:t>Food</w:t>
      </w:r>
      <w:proofErr w:type="spellEnd"/>
      <w:r w:rsidRPr="009743F4">
        <w:rPr>
          <w:sz w:val="24"/>
          <w:lang w:val="hr-HR"/>
        </w:rPr>
        <w:t xml:space="preserve"> </w:t>
      </w:r>
      <w:proofErr w:type="spellStart"/>
      <w:r w:rsidRPr="009743F4">
        <w:rPr>
          <w:sz w:val="24"/>
          <w:lang w:val="hr-HR"/>
        </w:rPr>
        <w:t>ethics</w:t>
      </w:r>
      <w:proofErr w:type="spellEnd"/>
      <w:r w:rsidRPr="009743F4">
        <w:rPr>
          <w:sz w:val="24"/>
          <w:lang w:val="hr-HR"/>
        </w:rPr>
        <w:t xml:space="preserve"> 1, 75. – 91. (2016.), </w:t>
      </w:r>
      <w:r w:rsidR="00823BE3">
        <w:fldChar w:fldCharType="begin"/>
      </w:r>
      <w:r w:rsidR="00823BE3" w:rsidRPr="00823BE3">
        <w:rPr>
          <w:lang w:val="hr-HR"/>
        </w:rPr>
        <w:instrText xml:space="preserve"> HYPERLINK "https://doi.org/10.1007/s41055-016-0003-z" </w:instrText>
      </w:r>
      <w:r w:rsidR="00823BE3">
        <w:fldChar w:fldCharType="separate"/>
      </w:r>
      <w:r w:rsidRPr="009743F4">
        <w:rPr>
          <w:rStyle w:val="Hyperlink"/>
          <w:sz w:val="24"/>
          <w:lang w:val="hr-HR"/>
        </w:rPr>
        <w:t>https://doi.org/10.1007/s41055-016-0003-z</w:t>
      </w:r>
      <w:r w:rsidR="00823BE3">
        <w:rPr>
          <w:rStyle w:val="Hyperlink"/>
          <w:sz w:val="24"/>
          <w:lang w:val="hr-HR"/>
        </w:rPr>
        <w:fldChar w:fldCharType="end"/>
      </w:r>
      <w:r w:rsidRPr="009743F4">
        <w:rPr>
          <w:sz w:val="24"/>
          <w:lang w:val="hr-HR"/>
        </w:rPr>
        <w:t>.</w:t>
      </w:r>
    </w:p>
  </w:footnote>
  <w:footnote w:id="15">
    <w:p w:rsidR="00932678" w:rsidRPr="009743F4" w:rsidRDefault="00932678" w:rsidP="009743F4">
      <w:pPr>
        <w:pStyle w:val="FootnoteText"/>
        <w:ind w:left="567" w:hanging="567"/>
        <w:rPr>
          <w:iCs/>
          <w:sz w:val="24"/>
          <w:szCs w:val="22"/>
          <w:lang w:val="hr-HR"/>
        </w:rPr>
      </w:pPr>
      <w:r w:rsidRPr="009743F4">
        <w:rPr>
          <w:iCs/>
          <w:sz w:val="24"/>
          <w:szCs w:val="22"/>
          <w:vertAlign w:val="superscript"/>
          <w:lang w:val="hr-HR"/>
        </w:rPr>
        <w:footnoteRef/>
      </w:r>
      <w:r w:rsidR="009743F4" w:rsidRPr="009743F4">
        <w:rPr>
          <w:sz w:val="24"/>
          <w:lang w:val="hr-HR"/>
        </w:rPr>
        <w:t xml:space="preserve"> </w:t>
      </w:r>
      <w:r w:rsidR="009743F4" w:rsidRPr="009743F4">
        <w:rPr>
          <w:sz w:val="24"/>
          <w:lang w:val="hr-HR"/>
        </w:rPr>
        <w:tab/>
      </w:r>
      <w:r w:rsidRPr="009743F4">
        <w:rPr>
          <w:sz w:val="24"/>
          <w:lang w:val="hr-HR"/>
        </w:rPr>
        <w:t>COM(2020)0381.</w:t>
      </w:r>
    </w:p>
  </w:footnote>
  <w:footnote w:id="16">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 xml:space="preserve">Uredba Komisije (EU) 2023/334 od 2. veljače 2023. o izmjeni priloga II. i V. Uredbi (EZ) br. 396/2005 Europskog parlamenta i Vijeća u pogledu maksimalnih razina ostataka za </w:t>
      </w:r>
      <w:proofErr w:type="spellStart"/>
      <w:r w:rsidRPr="009743F4">
        <w:rPr>
          <w:sz w:val="24"/>
          <w:lang w:val="hr-HR"/>
        </w:rPr>
        <w:t>klotianidin</w:t>
      </w:r>
      <w:proofErr w:type="spellEnd"/>
      <w:r w:rsidRPr="009743F4">
        <w:rPr>
          <w:sz w:val="24"/>
          <w:lang w:val="hr-HR"/>
        </w:rPr>
        <w:t xml:space="preserve"> i </w:t>
      </w:r>
      <w:proofErr w:type="spellStart"/>
      <w:r w:rsidRPr="009743F4">
        <w:rPr>
          <w:sz w:val="24"/>
          <w:lang w:val="hr-HR"/>
        </w:rPr>
        <w:t>tiametoksam</w:t>
      </w:r>
      <w:proofErr w:type="spellEnd"/>
      <w:r w:rsidRPr="009743F4">
        <w:rPr>
          <w:sz w:val="24"/>
          <w:lang w:val="hr-HR"/>
        </w:rPr>
        <w:t xml:space="preserve"> u ili na određenim proizvodima (SL L 47, 15.2.2023., str. 29.).</w:t>
      </w:r>
    </w:p>
  </w:footnote>
  <w:footnote w:id="17">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Isto.</w:t>
      </w:r>
    </w:p>
  </w:footnote>
  <w:footnote w:id="18">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 xml:space="preserve">Sažeto izvješće sa sjednice odbora PAFF održane 10. i 11. svibnja 2023., </w:t>
      </w:r>
      <w:r w:rsidR="00823BE3">
        <w:fldChar w:fldCharType="begin"/>
      </w:r>
      <w:r w:rsidR="00823BE3" w:rsidRPr="00823BE3">
        <w:rPr>
          <w:lang w:val="hr-HR"/>
        </w:rPr>
        <w:instrText xml:space="preserve"> HYPERLINK "https://ec.europa.eu/transparency/comitology-register/screen/documents/090500/1/consult?lang=en" </w:instrText>
      </w:r>
      <w:r w:rsidR="00823BE3">
        <w:fldChar w:fldCharType="separate"/>
      </w:r>
      <w:r w:rsidRPr="009743F4">
        <w:rPr>
          <w:rStyle w:val="Hyperlink"/>
          <w:sz w:val="24"/>
          <w:lang w:val="hr-HR"/>
        </w:rPr>
        <w:t>https://ec.europa.eu/transparency/comitology-register/screen/documents/090500/1/consult?lang=en</w:t>
      </w:r>
      <w:r w:rsidR="00823BE3">
        <w:rPr>
          <w:rStyle w:val="Hyperlink"/>
          <w:sz w:val="24"/>
          <w:lang w:val="hr-HR"/>
        </w:rPr>
        <w:fldChar w:fldCharType="end"/>
      </w:r>
      <w:r w:rsidRPr="009743F4">
        <w:rPr>
          <w:sz w:val="24"/>
          <w:lang w:val="hr-HR"/>
        </w:rPr>
        <w:t>.</w:t>
      </w:r>
    </w:p>
  </w:footnote>
  <w:footnote w:id="19">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proofErr w:type="spellStart"/>
      <w:r w:rsidRPr="009743F4">
        <w:rPr>
          <w:sz w:val="24"/>
          <w:lang w:val="hr-HR"/>
        </w:rPr>
        <w:t>Ellis</w:t>
      </w:r>
      <w:proofErr w:type="spellEnd"/>
      <w:r w:rsidRPr="009743F4">
        <w:rPr>
          <w:sz w:val="24"/>
          <w:lang w:val="hr-HR"/>
        </w:rPr>
        <w:t xml:space="preserve">, C., Park, K. J., </w:t>
      </w:r>
      <w:proofErr w:type="spellStart"/>
      <w:r w:rsidRPr="009743F4">
        <w:rPr>
          <w:sz w:val="24"/>
          <w:lang w:val="hr-HR"/>
        </w:rPr>
        <w:t>Whitehorn</w:t>
      </w:r>
      <w:proofErr w:type="spellEnd"/>
      <w:r w:rsidRPr="009743F4">
        <w:rPr>
          <w:sz w:val="24"/>
          <w:lang w:val="hr-HR"/>
        </w:rPr>
        <w:t xml:space="preserve">, P., David, A., </w:t>
      </w:r>
      <w:proofErr w:type="spellStart"/>
      <w:r w:rsidRPr="009743F4">
        <w:rPr>
          <w:sz w:val="24"/>
          <w:lang w:val="hr-HR"/>
        </w:rPr>
        <w:t>Goulson</w:t>
      </w:r>
      <w:proofErr w:type="spellEnd"/>
      <w:r w:rsidRPr="009743F4">
        <w:rPr>
          <w:sz w:val="24"/>
          <w:lang w:val="hr-HR"/>
        </w:rPr>
        <w:t>, D., „</w:t>
      </w:r>
      <w:proofErr w:type="spellStart"/>
      <w:r w:rsidRPr="009743F4">
        <w:rPr>
          <w:sz w:val="24"/>
          <w:lang w:val="hr-HR"/>
        </w:rPr>
        <w:t>The</w:t>
      </w:r>
      <w:proofErr w:type="spellEnd"/>
      <w:r w:rsidRPr="009743F4">
        <w:rPr>
          <w:sz w:val="24"/>
          <w:lang w:val="hr-HR"/>
        </w:rPr>
        <w:t xml:space="preserve"> </w:t>
      </w:r>
      <w:proofErr w:type="spellStart"/>
      <w:r w:rsidRPr="009743F4">
        <w:rPr>
          <w:sz w:val="24"/>
          <w:lang w:val="hr-HR"/>
        </w:rPr>
        <w:t>Neonicotinoid</w:t>
      </w:r>
      <w:proofErr w:type="spellEnd"/>
      <w:r w:rsidRPr="009743F4">
        <w:rPr>
          <w:sz w:val="24"/>
          <w:lang w:val="hr-HR"/>
        </w:rPr>
        <w:t xml:space="preserve"> </w:t>
      </w:r>
      <w:proofErr w:type="spellStart"/>
      <w:r w:rsidRPr="009743F4">
        <w:rPr>
          <w:sz w:val="24"/>
          <w:lang w:val="hr-HR"/>
        </w:rPr>
        <w:t>Insecticide</w:t>
      </w:r>
      <w:proofErr w:type="spellEnd"/>
      <w:r w:rsidRPr="009743F4">
        <w:rPr>
          <w:sz w:val="24"/>
          <w:lang w:val="hr-HR"/>
        </w:rPr>
        <w:t xml:space="preserve"> </w:t>
      </w:r>
      <w:proofErr w:type="spellStart"/>
      <w:r w:rsidRPr="009743F4">
        <w:rPr>
          <w:sz w:val="24"/>
          <w:lang w:val="hr-HR"/>
        </w:rPr>
        <w:t>Thiacloprid</w:t>
      </w:r>
      <w:proofErr w:type="spellEnd"/>
      <w:r w:rsidRPr="009743F4">
        <w:rPr>
          <w:sz w:val="24"/>
          <w:lang w:val="hr-HR"/>
        </w:rPr>
        <w:t xml:space="preserve"> </w:t>
      </w:r>
      <w:proofErr w:type="spellStart"/>
      <w:r w:rsidRPr="009743F4">
        <w:rPr>
          <w:sz w:val="24"/>
          <w:lang w:val="hr-HR"/>
        </w:rPr>
        <w:t>Impacts</w:t>
      </w:r>
      <w:proofErr w:type="spellEnd"/>
      <w:r w:rsidRPr="009743F4">
        <w:rPr>
          <w:sz w:val="24"/>
          <w:lang w:val="hr-HR"/>
        </w:rPr>
        <w:t xml:space="preserve"> on </w:t>
      </w:r>
      <w:proofErr w:type="spellStart"/>
      <w:r w:rsidRPr="009743F4">
        <w:rPr>
          <w:sz w:val="24"/>
          <w:lang w:val="hr-HR"/>
        </w:rPr>
        <w:t>Bumblebee</w:t>
      </w:r>
      <w:proofErr w:type="spellEnd"/>
      <w:r w:rsidRPr="009743F4">
        <w:rPr>
          <w:sz w:val="24"/>
          <w:lang w:val="hr-HR"/>
        </w:rPr>
        <w:t xml:space="preserve"> </w:t>
      </w:r>
      <w:proofErr w:type="spellStart"/>
      <w:r w:rsidRPr="009743F4">
        <w:rPr>
          <w:sz w:val="24"/>
          <w:lang w:val="hr-HR"/>
        </w:rPr>
        <w:t>Colony</w:t>
      </w:r>
      <w:proofErr w:type="spellEnd"/>
      <w:r w:rsidRPr="009743F4">
        <w:rPr>
          <w:sz w:val="24"/>
          <w:lang w:val="hr-HR"/>
        </w:rPr>
        <w:t xml:space="preserve"> Development </w:t>
      </w:r>
      <w:proofErr w:type="spellStart"/>
      <w:r w:rsidRPr="009743F4">
        <w:rPr>
          <w:sz w:val="24"/>
          <w:lang w:val="hr-HR"/>
        </w:rPr>
        <w:t>under</w:t>
      </w:r>
      <w:proofErr w:type="spellEnd"/>
      <w:r w:rsidRPr="009743F4">
        <w:rPr>
          <w:sz w:val="24"/>
          <w:lang w:val="hr-HR"/>
        </w:rPr>
        <w:t xml:space="preserve"> </w:t>
      </w:r>
      <w:proofErr w:type="spellStart"/>
      <w:r w:rsidRPr="009743F4">
        <w:rPr>
          <w:sz w:val="24"/>
          <w:lang w:val="hr-HR"/>
        </w:rPr>
        <w:t>Field</w:t>
      </w:r>
      <w:proofErr w:type="spellEnd"/>
      <w:r w:rsidRPr="009743F4">
        <w:rPr>
          <w:sz w:val="24"/>
          <w:lang w:val="hr-HR"/>
        </w:rPr>
        <w:t xml:space="preserve"> </w:t>
      </w:r>
      <w:proofErr w:type="spellStart"/>
      <w:r w:rsidRPr="009743F4">
        <w:rPr>
          <w:sz w:val="24"/>
          <w:lang w:val="hr-HR"/>
        </w:rPr>
        <w:t>Conditions</w:t>
      </w:r>
      <w:proofErr w:type="spellEnd"/>
      <w:r w:rsidRPr="009743F4">
        <w:rPr>
          <w:sz w:val="24"/>
          <w:lang w:val="hr-HR"/>
        </w:rPr>
        <w:t xml:space="preserve">” (Učinci </w:t>
      </w:r>
      <w:proofErr w:type="spellStart"/>
      <w:r w:rsidRPr="009743F4">
        <w:rPr>
          <w:sz w:val="24"/>
          <w:lang w:val="hr-HR"/>
        </w:rPr>
        <w:t>neonikotinoidnog</w:t>
      </w:r>
      <w:proofErr w:type="spellEnd"/>
      <w:r w:rsidRPr="009743F4">
        <w:rPr>
          <w:sz w:val="24"/>
          <w:lang w:val="hr-HR"/>
        </w:rPr>
        <w:t xml:space="preserve"> insekticida </w:t>
      </w:r>
      <w:proofErr w:type="spellStart"/>
      <w:r w:rsidRPr="009743F4">
        <w:rPr>
          <w:sz w:val="24"/>
          <w:lang w:val="hr-HR"/>
        </w:rPr>
        <w:t>tiakloprida</w:t>
      </w:r>
      <w:proofErr w:type="spellEnd"/>
      <w:r w:rsidRPr="009743F4">
        <w:rPr>
          <w:sz w:val="24"/>
          <w:lang w:val="hr-HR"/>
        </w:rPr>
        <w:t xml:space="preserve"> na razvoj kolonije bumbara u terenskim uvjetima), </w:t>
      </w:r>
      <w:proofErr w:type="spellStart"/>
      <w:r w:rsidRPr="009743F4">
        <w:rPr>
          <w:sz w:val="24"/>
          <w:lang w:val="hr-HR"/>
        </w:rPr>
        <w:t>Environmental</w:t>
      </w:r>
      <w:proofErr w:type="spellEnd"/>
      <w:r w:rsidRPr="009743F4">
        <w:rPr>
          <w:sz w:val="24"/>
          <w:lang w:val="hr-HR"/>
        </w:rPr>
        <w:t xml:space="preserve"> Science &amp; Technology 2017., 51, 3, 1727 – 1732, </w:t>
      </w:r>
      <w:r w:rsidR="00823BE3">
        <w:fldChar w:fldCharType="begin"/>
      </w:r>
      <w:r w:rsidR="00823BE3" w:rsidRPr="00823BE3">
        <w:rPr>
          <w:lang w:val="hr-HR"/>
        </w:rPr>
        <w:instrText xml:space="preserve"> HYPERLINK "https://pubs.acs.org/doi/10.1021/acs.est.6b04791" </w:instrText>
      </w:r>
      <w:r w:rsidR="00823BE3">
        <w:fldChar w:fldCharType="separate"/>
      </w:r>
      <w:r w:rsidRPr="009743F4">
        <w:rPr>
          <w:rStyle w:val="Hyperlink"/>
          <w:sz w:val="24"/>
          <w:lang w:val="hr-HR"/>
        </w:rPr>
        <w:t>https://pubs.acs.org/doi/10.1021/acs.est.6b04791</w:t>
      </w:r>
      <w:r w:rsidR="00823BE3">
        <w:rPr>
          <w:rStyle w:val="Hyperlink"/>
          <w:sz w:val="24"/>
          <w:lang w:val="hr-HR"/>
        </w:rPr>
        <w:fldChar w:fldCharType="end"/>
      </w:r>
      <w:r w:rsidRPr="009743F4">
        <w:rPr>
          <w:sz w:val="24"/>
          <w:lang w:val="hr-HR"/>
        </w:rPr>
        <w:t>.</w:t>
      </w:r>
    </w:p>
  </w:footnote>
  <w:footnote w:id="20">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Isto.</w:t>
      </w:r>
    </w:p>
  </w:footnote>
  <w:footnote w:id="21">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Pr="009743F4">
        <w:rPr>
          <w:sz w:val="24"/>
          <w:lang w:val="hr-HR"/>
        </w:rPr>
        <w:t xml:space="preserve">Brandt, A., </w:t>
      </w:r>
      <w:proofErr w:type="spellStart"/>
      <w:r w:rsidRPr="009743F4">
        <w:rPr>
          <w:sz w:val="24"/>
          <w:lang w:val="hr-HR"/>
        </w:rPr>
        <w:t>Gorenflo</w:t>
      </w:r>
      <w:proofErr w:type="spellEnd"/>
      <w:r w:rsidRPr="009743F4">
        <w:rPr>
          <w:sz w:val="24"/>
          <w:lang w:val="hr-HR"/>
        </w:rPr>
        <w:t xml:space="preserve">, A., </w:t>
      </w:r>
      <w:proofErr w:type="spellStart"/>
      <w:r w:rsidRPr="009743F4">
        <w:rPr>
          <w:sz w:val="24"/>
          <w:lang w:val="hr-HR"/>
        </w:rPr>
        <w:t>Siede</w:t>
      </w:r>
      <w:proofErr w:type="spellEnd"/>
      <w:r w:rsidRPr="009743F4">
        <w:rPr>
          <w:sz w:val="24"/>
          <w:lang w:val="hr-HR"/>
        </w:rPr>
        <w:t xml:space="preserve">, R., </w:t>
      </w:r>
      <w:proofErr w:type="spellStart"/>
      <w:r w:rsidRPr="009743F4">
        <w:rPr>
          <w:sz w:val="24"/>
          <w:lang w:val="hr-HR"/>
        </w:rPr>
        <w:t>Meixner</w:t>
      </w:r>
      <w:proofErr w:type="spellEnd"/>
      <w:r w:rsidRPr="009743F4">
        <w:rPr>
          <w:sz w:val="24"/>
          <w:lang w:val="hr-HR"/>
        </w:rPr>
        <w:t xml:space="preserve">, M., </w:t>
      </w:r>
      <w:proofErr w:type="spellStart"/>
      <w:r w:rsidRPr="009743F4">
        <w:rPr>
          <w:sz w:val="24"/>
          <w:lang w:val="hr-HR"/>
        </w:rPr>
        <w:t>Büchler</w:t>
      </w:r>
      <w:proofErr w:type="spellEnd"/>
      <w:r w:rsidRPr="009743F4">
        <w:rPr>
          <w:sz w:val="24"/>
          <w:lang w:val="hr-HR"/>
        </w:rPr>
        <w:t>, R., „</w:t>
      </w:r>
      <w:proofErr w:type="spellStart"/>
      <w:r w:rsidRPr="009743F4">
        <w:rPr>
          <w:sz w:val="24"/>
          <w:lang w:val="hr-HR"/>
        </w:rPr>
        <w:t>The</w:t>
      </w:r>
      <w:proofErr w:type="spellEnd"/>
      <w:r w:rsidRPr="009743F4">
        <w:rPr>
          <w:sz w:val="24"/>
          <w:lang w:val="hr-HR"/>
        </w:rPr>
        <w:t xml:space="preserve"> </w:t>
      </w:r>
      <w:proofErr w:type="spellStart"/>
      <w:r w:rsidRPr="009743F4">
        <w:rPr>
          <w:sz w:val="24"/>
          <w:lang w:val="hr-HR"/>
        </w:rPr>
        <w:t>neonicotinoids</w:t>
      </w:r>
      <w:proofErr w:type="spellEnd"/>
      <w:r w:rsidRPr="009743F4">
        <w:rPr>
          <w:sz w:val="24"/>
          <w:lang w:val="hr-HR"/>
        </w:rPr>
        <w:t xml:space="preserve"> </w:t>
      </w:r>
      <w:proofErr w:type="spellStart"/>
      <w:r w:rsidRPr="009743F4">
        <w:rPr>
          <w:sz w:val="24"/>
          <w:lang w:val="hr-HR"/>
        </w:rPr>
        <w:t>thiacloprid</w:t>
      </w:r>
      <w:proofErr w:type="spellEnd"/>
      <w:r w:rsidRPr="009743F4">
        <w:rPr>
          <w:sz w:val="24"/>
          <w:lang w:val="hr-HR"/>
        </w:rPr>
        <w:t xml:space="preserve">, </w:t>
      </w:r>
      <w:proofErr w:type="spellStart"/>
      <w:r w:rsidRPr="009743F4">
        <w:rPr>
          <w:sz w:val="24"/>
          <w:lang w:val="hr-HR"/>
        </w:rPr>
        <w:t>imidacloprid</w:t>
      </w:r>
      <w:proofErr w:type="spellEnd"/>
      <w:r w:rsidRPr="009743F4">
        <w:rPr>
          <w:sz w:val="24"/>
          <w:lang w:val="hr-HR"/>
        </w:rPr>
        <w:t xml:space="preserve">, </w:t>
      </w:r>
      <w:proofErr w:type="spellStart"/>
      <w:r w:rsidRPr="009743F4">
        <w:rPr>
          <w:sz w:val="24"/>
          <w:lang w:val="hr-HR"/>
        </w:rPr>
        <w:t>and</w:t>
      </w:r>
      <w:proofErr w:type="spellEnd"/>
      <w:r w:rsidRPr="009743F4">
        <w:rPr>
          <w:sz w:val="24"/>
          <w:lang w:val="hr-HR"/>
        </w:rPr>
        <w:t xml:space="preserve"> </w:t>
      </w:r>
      <w:proofErr w:type="spellStart"/>
      <w:r w:rsidRPr="009743F4">
        <w:rPr>
          <w:sz w:val="24"/>
          <w:lang w:val="hr-HR"/>
        </w:rPr>
        <w:t>clothianidin</w:t>
      </w:r>
      <w:proofErr w:type="spellEnd"/>
      <w:r w:rsidRPr="009743F4">
        <w:rPr>
          <w:sz w:val="24"/>
          <w:lang w:val="hr-HR"/>
        </w:rPr>
        <w:t xml:space="preserve"> </w:t>
      </w:r>
      <w:proofErr w:type="spellStart"/>
      <w:r w:rsidRPr="009743F4">
        <w:rPr>
          <w:sz w:val="24"/>
          <w:lang w:val="hr-HR"/>
        </w:rPr>
        <w:t>affect</w:t>
      </w:r>
      <w:proofErr w:type="spellEnd"/>
      <w:r w:rsidRPr="009743F4">
        <w:rPr>
          <w:sz w:val="24"/>
          <w:lang w:val="hr-HR"/>
        </w:rPr>
        <w:t xml:space="preserve"> </w:t>
      </w:r>
      <w:proofErr w:type="spellStart"/>
      <w:r w:rsidRPr="009743F4">
        <w:rPr>
          <w:sz w:val="24"/>
          <w:lang w:val="hr-HR"/>
        </w:rPr>
        <w:t>the</w:t>
      </w:r>
      <w:proofErr w:type="spellEnd"/>
      <w:r w:rsidRPr="009743F4">
        <w:rPr>
          <w:sz w:val="24"/>
          <w:lang w:val="hr-HR"/>
        </w:rPr>
        <w:t xml:space="preserve"> </w:t>
      </w:r>
      <w:proofErr w:type="spellStart"/>
      <w:r w:rsidRPr="009743F4">
        <w:rPr>
          <w:sz w:val="24"/>
          <w:lang w:val="hr-HR"/>
        </w:rPr>
        <w:t>immunocompetence</w:t>
      </w:r>
      <w:proofErr w:type="spellEnd"/>
      <w:r w:rsidRPr="009743F4">
        <w:rPr>
          <w:sz w:val="24"/>
          <w:lang w:val="hr-HR"/>
        </w:rPr>
        <w:t xml:space="preserve"> </w:t>
      </w:r>
      <w:proofErr w:type="spellStart"/>
      <w:r w:rsidRPr="009743F4">
        <w:rPr>
          <w:sz w:val="24"/>
          <w:lang w:val="hr-HR"/>
        </w:rPr>
        <w:t>of</w:t>
      </w:r>
      <w:proofErr w:type="spellEnd"/>
      <w:r w:rsidRPr="009743F4">
        <w:rPr>
          <w:sz w:val="24"/>
          <w:lang w:val="hr-HR"/>
        </w:rPr>
        <w:t xml:space="preserve"> </w:t>
      </w:r>
      <w:proofErr w:type="spellStart"/>
      <w:r w:rsidRPr="009743F4">
        <w:rPr>
          <w:sz w:val="24"/>
          <w:lang w:val="hr-HR"/>
        </w:rPr>
        <w:t>honey</w:t>
      </w:r>
      <w:proofErr w:type="spellEnd"/>
      <w:r w:rsidRPr="009743F4">
        <w:rPr>
          <w:sz w:val="24"/>
          <w:lang w:val="hr-HR"/>
        </w:rPr>
        <w:t xml:space="preserve"> </w:t>
      </w:r>
      <w:proofErr w:type="spellStart"/>
      <w:r w:rsidRPr="009743F4">
        <w:rPr>
          <w:sz w:val="24"/>
          <w:lang w:val="hr-HR"/>
        </w:rPr>
        <w:t>bees</w:t>
      </w:r>
      <w:proofErr w:type="spellEnd"/>
      <w:r w:rsidRPr="009743F4">
        <w:rPr>
          <w:sz w:val="24"/>
          <w:lang w:val="hr-HR"/>
        </w:rPr>
        <w:t xml:space="preserve"> (</w:t>
      </w:r>
      <w:proofErr w:type="spellStart"/>
      <w:r w:rsidRPr="009743F4">
        <w:rPr>
          <w:i/>
          <w:sz w:val="24"/>
          <w:lang w:val="hr-HR"/>
        </w:rPr>
        <w:t>Apis</w:t>
      </w:r>
      <w:proofErr w:type="spellEnd"/>
      <w:r w:rsidRPr="009743F4">
        <w:rPr>
          <w:i/>
          <w:sz w:val="24"/>
          <w:lang w:val="hr-HR"/>
        </w:rPr>
        <w:t xml:space="preserve"> </w:t>
      </w:r>
      <w:proofErr w:type="spellStart"/>
      <w:r w:rsidRPr="009743F4">
        <w:rPr>
          <w:i/>
          <w:sz w:val="24"/>
          <w:lang w:val="hr-HR"/>
        </w:rPr>
        <w:t>mellifera</w:t>
      </w:r>
      <w:proofErr w:type="spellEnd"/>
      <w:r w:rsidRPr="009743F4">
        <w:rPr>
          <w:sz w:val="24"/>
          <w:lang w:val="hr-HR"/>
        </w:rPr>
        <w:t xml:space="preserve"> L.) (</w:t>
      </w:r>
      <w:proofErr w:type="spellStart"/>
      <w:r w:rsidRPr="009743F4">
        <w:rPr>
          <w:sz w:val="24"/>
          <w:lang w:val="hr-HR"/>
        </w:rPr>
        <w:t>Neonikotinoidi</w:t>
      </w:r>
      <w:proofErr w:type="spellEnd"/>
      <w:r w:rsidRPr="009743F4">
        <w:rPr>
          <w:sz w:val="24"/>
          <w:lang w:val="hr-HR"/>
        </w:rPr>
        <w:t xml:space="preserve"> </w:t>
      </w:r>
      <w:proofErr w:type="spellStart"/>
      <w:r w:rsidRPr="009743F4">
        <w:rPr>
          <w:sz w:val="24"/>
          <w:lang w:val="hr-HR"/>
        </w:rPr>
        <w:t>tiakloprid</w:t>
      </w:r>
      <w:proofErr w:type="spellEnd"/>
      <w:r w:rsidRPr="009743F4">
        <w:rPr>
          <w:sz w:val="24"/>
          <w:lang w:val="hr-HR"/>
        </w:rPr>
        <w:t xml:space="preserve">, </w:t>
      </w:r>
      <w:proofErr w:type="spellStart"/>
      <w:r w:rsidRPr="009743F4">
        <w:rPr>
          <w:sz w:val="24"/>
          <w:lang w:val="hr-HR"/>
        </w:rPr>
        <w:t>imidakloprid</w:t>
      </w:r>
      <w:proofErr w:type="spellEnd"/>
      <w:r w:rsidRPr="009743F4">
        <w:rPr>
          <w:sz w:val="24"/>
          <w:lang w:val="hr-HR"/>
        </w:rPr>
        <w:t xml:space="preserve"> i </w:t>
      </w:r>
      <w:proofErr w:type="spellStart"/>
      <w:r w:rsidRPr="009743F4">
        <w:rPr>
          <w:sz w:val="24"/>
          <w:lang w:val="hr-HR"/>
        </w:rPr>
        <w:t>klotianidin</w:t>
      </w:r>
      <w:proofErr w:type="spellEnd"/>
      <w:r w:rsidRPr="009743F4">
        <w:rPr>
          <w:sz w:val="24"/>
          <w:lang w:val="hr-HR"/>
        </w:rPr>
        <w:t xml:space="preserve"> utječu na </w:t>
      </w:r>
      <w:proofErr w:type="spellStart"/>
      <w:r w:rsidRPr="009743F4">
        <w:rPr>
          <w:sz w:val="24"/>
          <w:lang w:val="hr-HR"/>
        </w:rPr>
        <w:t>imunokompetenciju</w:t>
      </w:r>
      <w:proofErr w:type="spellEnd"/>
      <w:r w:rsidRPr="009743F4">
        <w:rPr>
          <w:sz w:val="24"/>
          <w:lang w:val="hr-HR"/>
        </w:rPr>
        <w:t xml:space="preserve"> pčela medarica (</w:t>
      </w:r>
      <w:proofErr w:type="spellStart"/>
      <w:r w:rsidRPr="009743F4">
        <w:rPr>
          <w:i/>
          <w:iCs/>
          <w:sz w:val="24"/>
          <w:lang w:val="hr-HR"/>
        </w:rPr>
        <w:t>Apis</w:t>
      </w:r>
      <w:proofErr w:type="spellEnd"/>
      <w:r w:rsidRPr="009743F4">
        <w:rPr>
          <w:i/>
          <w:iCs/>
          <w:sz w:val="24"/>
          <w:lang w:val="hr-HR"/>
        </w:rPr>
        <w:t xml:space="preserve"> </w:t>
      </w:r>
      <w:proofErr w:type="spellStart"/>
      <w:r w:rsidRPr="009743F4">
        <w:rPr>
          <w:i/>
          <w:iCs/>
          <w:sz w:val="24"/>
          <w:lang w:val="hr-HR"/>
        </w:rPr>
        <w:t>mellifera</w:t>
      </w:r>
      <w:proofErr w:type="spellEnd"/>
      <w:r w:rsidRPr="009743F4">
        <w:rPr>
          <w:sz w:val="24"/>
          <w:lang w:val="hr-HR"/>
        </w:rPr>
        <w:t xml:space="preserve"> L.))”, Journal </w:t>
      </w:r>
      <w:proofErr w:type="spellStart"/>
      <w:r w:rsidRPr="009743F4">
        <w:rPr>
          <w:sz w:val="24"/>
          <w:lang w:val="hr-HR"/>
        </w:rPr>
        <w:t>of</w:t>
      </w:r>
      <w:proofErr w:type="spellEnd"/>
      <w:r w:rsidRPr="009743F4">
        <w:rPr>
          <w:sz w:val="24"/>
          <w:lang w:val="hr-HR"/>
        </w:rPr>
        <w:t xml:space="preserve"> </w:t>
      </w:r>
      <w:proofErr w:type="spellStart"/>
      <w:r w:rsidRPr="009743F4">
        <w:rPr>
          <w:sz w:val="24"/>
          <w:lang w:val="hr-HR"/>
        </w:rPr>
        <w:t>Insect</w:t>
      </w:r>
      <w:proofErr w:type="spellEnd"/>
      <w:r w:rsidRPr="009743F4">
        <w:rPr>
          <w:sz w:val="24"/>
          <w:lang w:val="hr-HR"/>
        </w:rPr>
        <w:t xml:space="preserve"> </w:t>
      </w:r>
      <w:proofErr w:type="spellStart"/>
      <w:r w:rsidRPr="009743F4">
        <w:rPr>
          <w:sz w:val="24"/>
          <w:lang w:val="hr-HR"/>
        </w:rPr>
        <w:t>Physiology</w:t>
      </w:r>
      <w:proofErr w:type="spellEnd"/>
      <w:r w:rsidRPr="009743F4">
        <w:rPr>
          <w:sz w:val="24"/>
          <w:lang w:val="hr-HR"/>
        </w:rPr>
        <w:t xml:space="preserve">, svezak 86, ožujak 2016., stranice 40. – 47., </w:t>
      </w:r>
      <w:r w:rsidR="00823BE3">
        <w:fldChar w:fldCharType="begin"/>
      </w:r>
      <w:r w:rsidR="00823BE3" w:rsidRPr="00823BE3">
        <w:rPr>
          <w:lang w:val="hr-HR"/>
        </w:rPr>
        <w:instrText xml:space="preserve"> HYPERLINK "https://www.sciencedirect.com/science/article/pii/S0022191016300014" </w:instrText>
      </w:r>
      <w:r w:rsidR="00823BE3">
        <w:fldChar w:fldCharType="separate"/>
      </w:r>
      <w:r w:rsidRPr="009743F4">
        <w:rPr>
          <w:rStyle w:val="Hyperlink"/>
          <w:sz w:val="24"/>
          <w:lang w:val="hr-HR"/>
        </w:rPr>
        <w:t>https://www.sciencedirect.com/science/article/pii/S0022191016300014</w:t>
      </w:r>
      <w:r w:rsidR="00823BE3">
        <w:rPr>
          <w:rStyle w:val="Hyperlink"/>
          <w:sz w:val="24"/>
          <w:lang w:val="hr-HR"/>
        </w:rPr>
        <w:fldChar w:fldCharType="end"/>
      </w:r>
      <w:r w:rsidRPr="009743F4">
        <w:rPr>
          <w:sz w:val="24"/>
          <w:lang w:val="hr-HR"/>
        </w:rPr>
        <w:t>.</w:t>
      </w:r>
    </w:p>
  </w:footnote>
  <w:footnote w:id="22">
    <w:p w:rsidR="00932678" w:rsidRPr="009743F4" w:rsidRDefault="00932678" w:rsidP="009743F4">
      <w:pPr>
        <w:pStyle w:val="FootnoteText"/>
        <w:keepN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proofErr w:type="spellStart"/>
      <w:r w:rsidRPr="009743F4">
        <w:rPr>
          <w:sz w:val="24"/>
          <w:lang w:val="hr-HR"/>
        </w:rPr>
        <w:t>Tison</w:t>
      </w:r>
      <w:proofErr w:type="spellEnd"/>
      <w:r w:rsidRPr="009743F4">
        <w:rPr>
          <w:sz w:val="24"/>
          <w:lang w:val="hr-HR"/>
        </w:rPr>
        <w:t xml:space="preserve">, L., </w:t>
      </w:r>
      <w:proofErr w:type="spellStart"/>
      <w:r w:rsidRPr="009743F4">
        <w:rPr>
          <w:sz w:val="24"/>
          <w:lang w:val="hr-HR"/>
        </w:rPr>
        <w:t>Hahn</w:t>
      </w:r>
      <w:proofErr w:type="spellEnd"/>
      <w:r w:rsidRPr="009743F4">
        <w:rPr>
          <w:sz w:val="24"/>
          <w:lang w:val="hr-HR"/>
        </w:rPr>
        <w:t xml:space="preserve">, M.-L., </w:t>
      </w:r>
      <w:proofErr w:type="spellStart"/>
      <w:r w:rsidRPr="009743F4">
        <w:rPr>
          <w:sz w:val="24"/>
          <w:lang w:val="hr-HR"/>
        </w:rPr>
        <w:t>Holtz</w:t>
      </w:r>
      <w:proofErr w:type="spellEnd"/>
      <w:r w:rsidRPr="009743F4">
        <w:rPr>
          <w:sz w:val="24"/>
          <w:lang w:val="hr-HR"/>
        </w:rPr>
        <w:t xml:space="preserve">, S., </w:t>
      </w:r>
      <w:proofErr w:type="spellStart"/>
      <w:r w:rsidRPr="009743F4">
        <w:rPr>
          <w:sz w:val="24"/>
          <w:lang w:val="hr-HR"/>
        </w:rPr>
        <w:t>Rößner</w:t>
      </w:r>
      <w:proofErr w:type="spellEnd"/>
      <w:r w:rsidRPr="009743F4">
        <w:rPr>
          <w:sz w:val="24"/>
          <w:lang w:val="hr-HR"/>
        </w:rPr>
        <w:t xml:space="preserve"> A., </w:t>
      </w:r>
      <w:proofErr w:type="spellStart"/>
      <w:r w:rsidRPr="009743F4">
        <w:rPr>
          <w:sz w:val="24"/>
          <w:lang w:val="hr-HR"/>
        </w:rPr>
        <w:t>Greggers</w:t>
      </w:r>
      <w:proofErr w:type="spellEnd"/>
      <w:r w:rsidRPr="009743F4">
        <w:rPr>
          <w:sz w:val="24"/>
          <w:lang w:val="hr-HR"/>
        </w:rPr>
        <w:t xml:space="preserve">, U., </w:t>
      </w:r>
      <w:proofErr w:type="spellStart"/>
      <w:r w:rsidRPr="009743F4">
        <w:rPr>
          <w:sz w:val="24"/>
          <w:lang w:val="hr-HR"/>
        </w:rPr>
        <w:t>Bischoff</w:t>
      </w:r>
      <w:proofErr w:type="spellEnd"/>
      <w:r w:rsidRPr="009743F4">
        <w:rPr>
          <w:sz w:val="24"/>
          <w:lang w:val="hr-HR"/>
        </w:rPr>
        <w:t xml:space="preserve">, G. i </w:t>
      </w:r>
      <w:proofErr w:type="spellStart"/>
      <w:r w:rsidRPr="009743F4">
        <w:rPr>
          <w:sz w:val="24"/>
          <w:lang w:val="hr-HR"/>
        </w:rPr>
        <w:t>Menzel</w:t>
      </w:r>
      <w:proofErr w:type="spellEnd"/>
      <w:r w:rsidRPr="009743F4">
        <w:rPr>
          <w:sz w:val="24"/>
          <w:lang w:val="hr-HR"/>
        </w:rPr>
        <w:t>, R., „</w:t>
      </w:r>
      <w:proofErr w:type="spellStart"/>
      <w:r w:rsidRPr="009743F4">
        <w:rPr>
          <w:sz w:val="24"/>
          <w:lang w:val="hr-HR"/>
        </w:rPr>
        <w:t>Honey</w:t>
      </w:r>
      <w:proofErr w:type="spellEnd"/>
      <w:r w:rsidRPr="009743F4">
        <w:rPr>
          <w:sz w:val="24"/>
          <w:lang w:val="hr-HR"/>
        </w:rPr>
        <w:t xml:space="preserve"> </w:t>
      </w:r>
      <w:proofErr w:type="spellStart"/>
      <w:r w:rsidRPr="009743F4">
        <w:rPr>
          <w:sz w:val="24"/>
          <w:lang w:val="hr-HR"/>
        </w:rPr>
        <w:t>Bees</w:t>
      </w:r>
      <w:proofErr w:type="spellEnd"/>
      <w:r w:rsidRPr="009743F4">
        <w:rPr>
          <w:sz w:val="24"/>
          <w:lang w:val="hr-HR"/>
        </w:rPr>
        <w:t xml:space="preserve">” </w:t>
      </w:r>
      <w:proofErr w:type="spellStart"/>
      <w:r w:rsidRPr="009743F4">
        <w:rPr>
          <w:sz w:val="24"/>
          <w:lang w:val="hr-HR"/>
        </w:rPr>
        <w:t>Behavior</w:t>
      </w:r>
      <w:proofErr w:type="spellEnd"/>
      <w:r w:rsidRPr="009743F4">
        <w:rPr>
          <w:sz w:val="24"/>
          <w:lang w:val="hr-HR"/>
        </w:rPr>
        <w:t xml:space="preserve"> </w:t>
      </w:r>
      <w:proofErr w:type="spellStart"/>
      <w:r w:rsidRPr="009743F4">
        <w:rPr>
          <w:sz w:val="24"/>
          <w:lang w:val="hr-HR"/>
        </w:rPr>
        <w:t>Imponic</w:t>
      </w:r>
      <w:proofErr w:type="spellEnd"/>
      <w:r w:rsidRPr="009743F4">
        <w:rPr>
          <w:sz w:val="24"/>
          <w:lang w:val="hr-HR"/>
        </w:rPr>
        <w:t xml:space="preserve"> </w:t>
      </w:r>
      <w:proofErr w:type="spellStart"/>
      <w:r w:rsidRPr="009743F4">
        <w:rPr>
          <w:sz w:val="24"/>
          <w:lang w:val="hr-HR"/>
        </w:rPr>
        <w:t>Exposure</w:t>
      </w:r>
      <w:proofErr w:type="spellEnd"/>
      <w:r w:rsidRPr="009743F4">
        <w:rPr>
          <w:sz w:val="24"/>
          <w:lang w:val="hr-HR"/>
        </w:rPr>
        <w:t xml:space="preserve"> to </w:t>
      </w:r>
      <w:proofErr w:type="spellStart"/>
      <w:r w:rsidRPr="009743F4">
        <w:rPr>
          <w:sz w:val="24"/>
          <w:lang w:val="hr-HR"/>
        </w:rPr>
        <w:t>the</w:t>
      </w:r>
      <w:proofErr w:type="spellEnd"/>
      <w:r w:rsidRPr="009743F4">
        <w:rPr>
          <w:sz w:val="24"/>
          <w:lang w:val="hr-HR"/>
        </w:rPr>
        <w:t xml:space="preserve"> </w:t>
      </w:r>
      <w:proofErr w:type="spellStart"/>
      <w:r w:rsidRPr="009743F4">
        <w:rPr>
          <w:sz w:val="24"/>
          <w:lang w:val="hr-HR"/>
        </w:rPr>
        <w:t>Neonicotinoid</w:t>
      </w:r>
      <w:proofErr w:type="spellEnd"/>
      <w:r w:rsidRPr="009743F4">
        <w:rPr>
          <w:sz w:val="24"/>
          <w:lang w:val="hr-HR"/>
        </w:rPr>
        <w:t xml:space="preserve"> </w:t>
      </w:r>
      <w:proofErr w:type="spellStart"/>
      <w:r w:rsidRPr="009743F4">
        <w:rPr>
          <w:sz w:val="24"/>
          <w:lang w:val="hr-HR"/>
        </w:rPr>
        <w:t>Thiacloprid</w:t>
      </w:r>
      <w:proofErr w:type="spellEnd"/>
      <w:r w:rsidRPr="009743F4">
        <w:rPr>
          <w:sz w:val="24"/>
          <w:lang w:val="hr-HR"/>
        </w:rPr>
        <w:t xml:space="preserve"> </w:t>
      </w:r>
      <w:proofErr w:type="spellStart"/>
      <w:r w:rsidRPr="009743F4">
        <w:rPr>
          <w:sz w:val="24"/>
          <w:lang w:val="hr-HR"/>
        </w:rPr>
        <w:t>in</w:t>
      </w:r>
      <w:proofErr w:type="spellEnd"/>
      <w:r w:rsidRPr="009743F4">
        <w:rPr>
          <w:sz w:val="24"/>
          <w:lang w:val="hr-HR"/>
        </w:rPr>
        <w:t xml:space="preserve"> </w:t>
      </w:r>
      <w:proofErr w:type="spellStart"/>
      <w:r w:rsidRPr="009743F4">
        <w:rPr>
          <w:sz w:val="24"/>
          <w:lang w:val="hr-HR"/>
        </w:rPr>
        <w:t>the</w:t>
      </w:r>
      <w:proofErr w:type="spellEnd"/>
      <w:r w:rsidRPr="009743F4">
        <w:rPr>
          <w:sz w:val="24"/>
          <w:lang w:val="hr-HR"/>
        </w:rPr>
        <w:t xml:space="preserve"> </w:t>
      </w:r>
      <w:proofErr w:type="spellStart"/>
      <w:r w:rsidRPr="009743F4">
        <w:rPr>
          <w:sz w:val="24"/>
          <w:lang w:val="hr-HR"/>
        </w:rPr>
        <w:t>Field</w:t>
      </w:r>
      <w:proofErr w:type="spellEnd"/>
      <w:r w:rsidRPr="009743F4">
        <w:rPr>
          <w:sz w:val="24"/>
          <w:lang w:val="hr-HR"/>
        </w:rPr>
        <w:t xml:space="preserve">” (Ponašanje pčela medarica nakon izlaganja </w:t>
      </w:r>
      <w:proofErr w:type="spellStart"/>
      <w:r w:rsidRPr="009743F4">
        <w:rPr>
          <w:sz w:val="24"/>
          <w:lang w:val="hr-HR"/>
        </w:rPr>
        <w:t>neinikotinoidu</w:t>
      </w:r>
      <w:proofErr w:type="spellEnd"/>
      <w:r w:rsidRPr="009743F4">
        <w:rPr>
          <w:sz w:val="24"/>
          <w:lang w:val="hr-HR"/>
        </w:rPr>
        <w:t xml:space="preserve"> </w:t>
      </w:r>
      <w:proofErr w:type="spellStart"/>
      <w:r w:rsidRPr="009743F4">
        <w:rPr>
          <w:sz w:val="24"/>
          <w:lang w:val="hr-HR"/>
        </w:rPr>
        <w:t>tiaklopridu</w:t>
      </w:r>
      <w:proofErr w:type="spellEnd"/>
      <w:r w:rsidRPr="009743F4">
        <w:rPr>
          <w:sz w:val="24"/>
          <w:lang w:val="hr-HR"/>
        </w:rPr>
        <w:t xml:space="preserve"> na terenu), </w:t>
      </w:r>
      <w:proofErr w:type="spellStart"/>
      <w:r w:rsidRPr="009743F4">
        <w:rPr>
          <w:sz w:val="24"/>
          <w:lang w:val="hr-HR"/>
        </w:rPr>
        <w:t>Environmental</w:t>
      </w:r>
      <w:proofErr w:type="spellEnd"/>
      <w:r w:rsidRPr="009743F4">
        <w:rPr>
          <w:sz w:val="24"/>
          <w:lang w:val="hr-HR"/>
        </w:rPr>
        <w:t xml:space="preserve"> Science &amp; Technology 2016, 50, 13, 7218 – 7227, </w:t>
      </w:r>
      <w:r w:rsidR="00823BE3">
        <w:fldChar w:fldCharType="begin"/>
      </w:r>
      <w:r w:rsidR="00823BE3" w:rsidRPr="00823BE3">
        <w:rPr>
          <w:lang w:val="hr-HR"/>
        </w:rPr>
        <w:instrText xml:space="preserve"> HYPERLINK "https://pubs.acs.org/doi/full/10.1021/acs.est.6b02658" </w:instrText>
      </w:r>
      <w:r w:rsidR="00823BE3">
        <w:fldChar w:fldCharType="separate"/>
      </w:r>
      <w:r w:rsidRPr="009743F4">
        <w:rPr>
          <w:rStyle w:val="Hyperlink"/>
          <w:sz w:val="24"/>
          <w:lang w:val="hr-HR"/>
        </w:rPr>
        <w:t>https://pubs.acs.org/doi/full/10.1021/acs.est.6b02658</w:t>
      </w:r>
      <w:r w:rsidR="00823BE3">
        <w:rPr>
          <w:rStyle w:val="Hyperlink"/>
          <w:sz w:val="24"/>
          <w:lang w:val="hr-HR"/>
        </w:rPr>
        <w:fldChar w:fldCharType="end"/>
      </w:r>
      <w:r w:rsidRPr="009743F4">
        <w:rPr>
          <w:sz w:val="24"/>
          <w:lang w:val="hr-HR"/>
        </w:rPr>
        <w:t xml:space="preserve">. </w:t>
      </w:r>
    </w:p>
  </w:footnote>
  <w:footnote w:id="23">
    <w:p w:rsidR="00932678" w:rsidRPr="009743F4" w:rsidRDefault="00932678" w:rsidP="009743F4">
      <w:pPr>
        <w:pStyle w:val="FootnoteText"/>
        <w:ind w:left="567" w:hanging="567"/>
        <w:rPr>
          <w:iCs/>
          <w:sz w:val="24"/>
          <w:szCs w:val="22"/>
          <w:lang w:val="hr-HR"/>
        </w:rPr>
      </w:pPr>
      <w:r w:rsidRPr="009743F4">
        <w:rPr>
          <w:iCs/>
          <w:sz w:val="24"/>
          <w:szCs w:val="22"/>
          <w:vertAlign w:val="superscript"/>
          <w:lang w:val="hr-HR"/>
        </w:rPr>
        <w:footnoteRef/>
      </w:r>
      <w:r w:rsidR="009743F4" w:rsidRPr="009743F4">
        <w:rPr>
          <w:sz w:val="24"/>
          <w:lang w:val="hr-HR"/>
        </w:rPr>
        <w:t xml:space="preserve"> </w:t>
      </w:r>
      <w:r w:rsidR="009743F4" w:rsidRPr="009743F4">
        <w:rPr>
          <w:sz w:val="24"/>
          <w:lang w:val="hr-HR"/>
        </w:rPr>
        <w:tab/>
      </w:r>
      <w:proofErr w:type="spellStart"/>
      <w:r w:rsidRPr="009743F4">
        <w:rPr>
          <w:sz w:val="24"/>
          <w:lang w:val="hr-HR"/>
        </w:rPr>
        <w:t>Pisa</w:t>
      </w:r>
      <w:proofErr w:type="spellEnd"/>
      <w:r w:rsidRPr="009743F4">
        <w:rPr>
          <w:sz w:val="24"/>
          <w:lang w:val="hr-HR"/>
        </w:rPr>
        <w:t xml:space="preserve">, L., </w:t>
      </w:r>
      <w:proofErr w:type="spellStart"/>
      <w:r w:rsidRPr="009743F4">
        <w:rPr>
          <w:sz w:val="24"/>
          <w:lang w:val="hr-HR"/>
        </w:rPr>
        <w:t>Goulson</w:t>
      </w:r>
      <w:proofErr w:type="spellEnd"/>
      <w:r w:rsidRPr="009743F4">
        <w:rPr>
          <w:sz w:val="24"/>
          <w:lang w:val="hr-HR"/>
        </w:rPr>
        <w:t xml:space="preserve">, D., </w:t>
      </w:r>
      <w:proofErr w:type="spellStart"/>
      <w:r w:rsidRPr="009743F4">
        <w:rPr>
          <w:sz w:val="24"/>
          <w:lang w:val="hr-HR"/>
        </w:rPr>
        <w:t>Yang</w:t>
      </w:r>
      <w:proofErr w:type="spellEnd"/>
      <w:r w:rsidRPr="009743F4">
        <w:rPr>
          <w:sz w:val="24"/>
          <w:lang w:val="hr-HR"/>
        </w:rPr>
        <w:t>, E.C., </w:t>
      </w:r>
      <w:proofErr w:type="spellStart"/>
      <w:r w:rsidRPr="009743F4">
        <w:rPr>
          <w:sz w:val="24"/>
          <w:lang w:val="hr-HR"/>
        </w:rPr>
        <w:t>et</w:t>
      </w:r>
      <w:proofErr w:type="spellEnd"/>
      <w:r w:rsidRPr="009743F4">
        <w:rPr>
          <w:sz w:val="24"/>
          <w:lang w:val="hr-HR"/>
        </w:rPr>
        <w:t xml:space="preserve"> </w:t>
      </w:r>
      <w:proofErr w:type="spellStart"/>
      <w:r w:rsidRPr="009743F4">
        <w:rPr>
          <w:sz w:val="24"/>
          <w:lang w:val="hr-HR"/>
        </w:rPr>
        <w:t>al</w:t>
      </w:r>
      <w:proofErr w:type="spellEnd"/>
      <w:r w:rsidRPr="009743F4">
        <w:rPr>
          <w:sz w:val="24"/>
          <w:lang w:val="hr-HR"/>
        </w:rPr>
        <w:t>., „</w:t>
      </w:r>
      <w:proofErr w:type="spellStart"/>
      <w:r w:rsidRPr="009743F4">
        <w:rPr>
          <w:sz w:val="24"/>
          <w:lang w:val="hr-HR"/>
        </w:rPr>
        <w:t>An</w:t>
      </w:r>
      <w:proofErr w:type="spellEnd"/>
      <w:r w:rsidRPr="009743F4">
        <w:rPr>
          <w:sz w:val="24"/>
          <w:lang w:val="hr-HR"/>
        </w:rPr>
        <w:t xml:space="preserve"> </w:t>
      </w:r>
      <w:proofErr w:type="spellStart"/>
      <w:r w:rsidRPr="009743F4">
        <w:rPr>
          <w:sz w:val="24"/>
          <w:lang w:val="hr-HR"/>
        </w:rPr>
        <w:t>update</w:t>
      </w:r>
      <w:proofErr w:type="spellEnd"/>
      <w:r w:rsidRPr="009743F4">
        <w:rPr>
          <w:sz w:val="24"/>
          <w:lang w:val="hr-HR"/>
        </w:rPr>
        <w:t xml:space="preserve"> </w:t>
      </w:r>
      <w:proofErr w:type="spellStart"/>
      <w:r w:rsidRPr="009743F4">
        <w:rPr>
          <w:sz w:val="24"/>
          <w:lang w:val="hr-HR"/>
        </w:rPr>
        <w:t>of</w:t>
      </w:r>
      <w:proofErr w:type="spellEnd"/>
      <w:r w:rsidRPr="009743F4">
        <w:rPr>
          <w:sz w:val="24"/>
          <w:lang w:val="hr-HR"/>
        </w:rPr>
        <w:t xml:space="preserve"> </w:t>
      </w:r>
      <w:proofErr w:type="spellStart"/>
      <w:r w:rsidRPr="009743F4">
        <w:rPr>
          <w:sz w:val="24"/>
          <w:lang w:val="hr-HR"/>
        </w:rPr>
        <w:t>the</w:t>
      </w:r>
      <w:proofErr w:type="spellEnd"/>
      <w:r w:rsidRPr="009743F4">
        <w:rPr>
          <w:sz w:val="24"/>
          <w:lang w:val="hr-HR"/>
        </w:rPr>
        <w:t xml:space="preserve"> Worldwide </w:t>
      </w:r>
      <w:proofErr w:type="spellStart"/>
      <w:r w:rsidRPr="009743F4">
        <w:rPr>
          <w:sz w:val="24"/>
          <w:lang w:val="hr-HR"/>
        </w:rPr>
        <w:t>Integrated</w:t>
      </w:r>
      <w:proofErr w:type="spellEnd"/>
      <w:r w:rsidRPr="009743F4">
        <w:rPr>
          <w:sz w:val="24"/>
          <w:lang w:val="hr-HR"/>
        </w:rPr>
        <w:t xml:space="preserve"> </w:t>
      </w:r>
      <w:proofErr w:type="spellStart"/>
      <w:r w:rsidRPr="009743F4">
        <w:rPr>
          <w:sz w:val="24"/>
          <w:lang w:val="hr-HR"/>
        </w:rPr>
        <w:t>Assessment</w:t>
      </w:r>
      <w:proofErr w:type="spellEnd"/>
      <w:r w:rsidRPr="009743F4">
        <w:rPr>
          <w:sz w:val="24"/>
          <w:lang w:val="hr-HR"/>
        </w:rPr>
        <w:t xml:space="preserve"> (WIA) on </w:t>
      </w:r>
      <w:proofErr w:type="spellStart"/>
      <w:r w:rsidRPr="009743F4">
        <w:rPr>
          <w:sz w:val="24"/>
          <w:lang w:val="hr-HR"/>
        </w:rPr>
        <w:t>systemic</w:t>
      </w:r>
      <w:proofErr w:type="spellEnd"/>
      <w:r w:rsidRPr="009743F4">
        <w:rPr>
          <w:sz w:val="24"/>
          <w:lang w:val="hr-HR"/>
        </w:rPr>
        <w:t xml:space="preserve"> </w:t>
      </w:r>
      <w:proofErr w:type="spellStart"/>
      <w:r w:rsidRPr="009743F4">
        <w:rPr>
          <w:sz w:val="24"/>
          <w:lang w:val="hr-HR"/>
        </w:rPr>
        <w:t>insecticides</w:t>
      </w:r>
      <w:proofErr w:type="spellEnd"/>
      <w:r w:rsidRPr="009743F4">
        <w:rPr>
          <w:sz w:val="24"/>
          <w:lang w:val="hr-HR"/>
        </w:rPr>
        <w:t xml:space="preserve">. </w:t>
      </w:r>
      <w:proofErr w:type="spellStart"/>
      <w:r w:rsidRPr="009743F4">
        <w:rPr>
          <w:sz w:val="24"/>
          <w:lang w:val="hr-HR"/>
        </w:rPr>
        <w:t>Part</w:t>
      </w:r>
      <w:proofErr w:type="spellEnd"/>
      <w:r w:rsidRPr="009743F4">
        <w:rPr>
          <w:sz w:val="24"/>
          <w:lang w:val="hr-HR"/>
        </w:rPr>
        <w:t xml:space="preserve"> 2: </w:t>
      </w:r>
      <w:proofErr w:type="spellStart"/>
      <w:r w:rsidRPr="009743F4">
        <w:rPr>
          <w:sz w:val="24"/>
          <w:lang w:val="hr-HR"/>
        </w:rPr>
        <w:t>impacts</w:t>
      </w:r>
      <w:proofErr w:type="spellEnd"/>
      <w:r w:rsidRPr="009743F4">
        <w:rPr>
          <w:sz w:val="24"/>
          <w:lang w:val="hr-HR"/>
        </w:rPr>
        <w:t xml:space="preserve"> on </w:t>
      </w:r>
      <w:proofErr w:type="spellStart"/>
      <w:r w:rsidRPr="009743F4">
        <w:rPr>
          <w:sz w:val="24"/>
          <w:lang w:val="hr-HR"/>
        </w:rPr>
        <w:t>organisms</w:t>
      </w:r>
      <w:proofErr w:type="spellEnd"/>
      <w:r w:rsidRPr="009743F4">
        <w:rPr>
          <w:sz w:val="24"/>
          <w:lang w:val="hr-HR"/>
        </w:rPr>
        <w:t xml:space="preserve"> </w:t>
      </w:r>
      <w:proofErr w:type="spellStart"/>
      <w:r w:rsidRPr="009743F4">
        <w:rPr>
          <w:sz w:val="24"/>
          <w:lang w:val="hr-HR"/>
        </w:rPr>
        <w:t>and</w:t>
      </w:r>
      <w:proofErr w:type="spellEnd"/>
      <w:r w:rsidRPr="009743F4">
        <w:rPr>
          <w:sz w:val="24"/>
          <w:lang w:val="hr-HR"/>
        </w:rPr>
        <w:t xml:space="preserve"> </w:t>
      </w:r>
      <w:proofErr w:type="spellStart"/>
      <w:r w:rsidRPr="009743F4">
        <w:rPr>
          <w:sz w:val="24"/>
          <w:lang w:val="hr-HR"/>
        </w:rPr>
        <w:t>ecosystems</w:t>
      </w:r>
      <w:proofErr w:type="spellEnd"/>
      <w:r w:rsidRPr="009743F4">
        <w:rPr>
          <w:sz w:val="24"/>
          <w:lang w:val="hr-HR"/>
        </w:rPr>
        <w:t xml:space="preserve"> (Ažuriranje globalne integrirane procjene o sistemskim insekticidima. Drugi dio: utjecaj na organizme i ekosustave), </w:t>
      </w:r>
      <w:proofErr w:type="spellStart"/>
      <w:r w:rsidRPr="009743F4">
        <w:rPr>
          <w:sz w:val="24"/>
          <w:lang w:val="hr-HR"/>
        </w:rPr>
        <w:t>Environmental</w:t>
      </w:r>
      <w:proofErr w:type="spellEnd"/>
      <w:r w:rsidRPr="009743F4">
        <w:rPr>
          <w:sz w:val="24"/>
          <w:lang w:val="hr-HR"/>
        </w:rPr>
        <w:t xml:space="preserve"> Science </w:t>
      </w:r>
      <w:proofErr w:type="spellStart"/>
      <w:r w:rsidRPr="009743F4">
        <w:rPr>
          <w:sz w:val="24"/>
          <w:lang w:val="hr-HR"/>
        </w:rPr>
        <w:t>and</w:t>
      </w:r>
      <w:proofErr w:type="spellEnd"/>
      <w:r w:rsidRPr="009743F4">
        <w:rPr>
          <w:sz w:val="24"/>
          <w:lang w:val="hr-HR"/>
        </w:rPr>
        <w:t xml:space="preserve"> </w:t>
      </w:r>
      <w:proofErr w:type="spellStart"/>
      <w:r w:rsidRPr="009743F4">
        <w:rPr>
          <w:sz w:val="24"/>
          <w:lang w:val="hr-HR"/>
        </w:rPr>
        <w:t>Pollution</w:t>
      </w:r>
      <w:proofErr w:type="spellEnd"/>
      <w:r w:rsidRPr="009743F4">
        <w:rPr>
          <w:sz w:val="24"/>
          <w:lang w:val="hr-HR"/>
        </w:rPr>
        <w:t xml:space="preserve"> Research 28, 11749 – 11797 (2021.), https://doi.org/10.1007/s11356-017-0341-3.”, </w:t>
      </w:r>
      <w:proofErr w:type="spellStart"/>
      <w:r w:rsidRPr="009743F4">
        <w:rPr>
          <w:sz w:val="24"/>
          <w:lang w:val="hr-HR"/>
        </w:rPr>
        <w:t>Environmental</w:t>
      </w:r>
      <w:proofErr w:type="spellEnd"/>
      <w:r w:rsidRPr="009743F4">
        <w:rPr>
          <w:sz w:val="24"/>
          <w:lang w:val="hr-HR"/>
        </w:rPr>
        <w:t xml:space="preserve"> Science </w:t>
      </w:r>
      <w:proofErr w:type="spellStart"/>
      <w:r w:rsidRPr="009743F4">
        <w:rPr>
          <w:sz w:val="24"/>
          <w:lang w:val="hr-HR"/>
        </w:rPr>
        <w:t>and</w:t>
      </w:r>
      <w:proofErr w:type="spellEnd"/>
      <w:r w:rsidRPr="009743F4">
        <w:rPr>
          <w:sz w:val="24"/>
          <w:lang w:val="hr-HR"/>
        </w:rPr>
        <w:t xml:space="preserve"> </w:t>
      </w:r>
      <w:proofErr w:type="spellStart"/>
      <w:r w:rsidRPr="009743F4">
        <w:rPr>
          <w:sz w:val="24"/>
          <w:lang w:val="hr-HR"/>
        </w:rPr>
        <w:t>Pollution</w:t>
      </w:r>
      <w:proofErr w:type="spellEnd"/>
      <w:r w:rsidRPr="009743F4">
        <w:rPr>
          <w:sz w:val="24"/>
          <w:lang w:val="hr-HR"/>
        </w:rPr>
        <w:t xml:space="preserve"> Research 28, 11749–11797 (2021.), </w:t>
      </w:r>
      <w:r w:rsidR="00823BE3">
        <w:fldChar w:fldCharType="begin"/>
      </w:r>
      <w:r w:rsidR="00823BE3" w:rsidRPr="00823BE3">
        <w:rPr>
          <w:lang w:val="en-GB"/>
        </w:rPr>
        <w:instrText xml:space="preserve"> HYPERLINK "https://doi.org/10.1</w:instrText>
      </w:r>
      <w:r w:rsidR="00823BE3" w:rsidRPr="00823BE3">
        <w:rPr>
          <w:lang w:val="en-GB"/>
        </w:rPr>
        <w:instrText xml:space="preserve">007/s11356-017-0341-3" </w:instrText>
      </w:r>
      <w:r w:rsidR="00823BE3">
        <w:fldChar w:fldCharType="separate"/>
      </w:r>
      <w:r w:rsidRPr="009743F4">
        <w:rPr>
          <w:rStyle w:val="Hyperlink"/>
          <w:sz w:val="24"/>
          <w:lang w:val="hr-HR"/>
        </w:rPr>
        <w:t>https://doi.org/10.1007/s11356-017-0341-3</w:t>
      </w:r>
      <w:r w:rsidR="00823BE3">
        <w:rPr>
          <w:rStyle w:val="Hyperlink"/>
          <w:sz w:val="24"/>
          <w:lang w:val="hr-HR"/>
        </w:rPr>
        <w:fldChar w:fldCharType="end"/>
      </w:r>
      <w:r w:rsidRPr="009743F4">
        <w:rPr>
          <w:sz w:val="24"/>
          <w:lang w:val="hr-HR"/>
        </w:rPr>
        <w:t>.</w:t>
      </w:r>
    </w:p>
  </w:footnote>
  <w:footnote w:id="24">
    <w:p w:rsidR="00932678" w:rsidRPr="009743F4" w:rsidRDefault="00932678" w:rsidP="009743F4">
      <w:pPr>
        <w:pStyle w:val="FootnoteText"/>
        <w:ind w:left="567" w:hanging="567"/>
        <w:rPr>
          <w:sz w:val="24"/>
          <w:szCs w:val="22"/>
          <w:lang w:val="hr-HR"/>
        </w:rPr>
      </w:pPr>
      <w:r w:rsidRPr="009743F4">
        <w:rPr>
          <w:rStyle w:val="FootnoteReference"/>
          <w:sz w:val="24"/>
          <w:szCs w:val="22"/>
          <w:lang w:val="hr-HR"/>
        </w:rPr>
        <w:footnoteRef/>
      </w:r>
      <w:r w:rsidR="009743F4" w:rsidRPr="009743F4">
        <w:rPr>
          <w:sz w:val="24"/>
          <w:lang w:val="hr-HR"/>
        </w:rPr>
        <w:t xml:space="preserve"> </w:t>
      </w:r>
      <w:r w:rsidR="009743F4" w:rsidRPr="009743F4">
        <w:rPr>
          <w:sz w:val="24"/>
          <w:lang w:val="hr-HR"/>
        </w:rPr>
        <w:tab/>
      </w:r>
      <w:r w:rsidR="00823BE3">
        <w:fldChar w:fldCharType="begin"/>
      </w:r>
      <w:r w:rsidR="00823BE3" w:rsidRPr="00823BE3">
        <w:rPr>
          <w:lang w:val="hr-HR"/>
        </w:rPr>
        <w:instrText xml:space="preserve"> HYPERLINK "https://ec.europa.eu/food/plant/pesticides/eu-pesticides-database/start/screen/active-substances/details/841" </w:instrText>
      </w:r>
      <w:r w:rsidR="00823BE3">
        <w:fldChar w:fldCharType="separate"/>
      </w:r>
      <w:r w:rsidRPr="009743F4">
        <w:rPr>
          <w:rStyle w:val="Hyperlink"/>
          <w:sz w:val="24"/>
          <w:lang w:val="hr-HR"/>
        </w:rPr>
        <w:t>https://ec.europa.eu/food/plant/pesticides/eu-pesticides-database/start/screen/active-substances/details/841</w:t>
      </w:r>
      <w:r w:rsidR="00823BE3">
        <w:rPr>
          <w:rStyle w:val="Hyperlink"/>
          <w:sz w:val="24"/>
          <w:lang w:val="hr-HR"/>
        </w:rPr>
        <w:fldChar w:fldCharType="end"/>
      </w:r>
      <w:r w:rsidRPr="009743F4">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43F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43F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43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HR"/>
    <w:docVar w:name="dvnumam" w:val="0"/>
    <w:docVar w:name="dvpe" w:val="757.277"/>
    <w:docVar w:name="dvtitre" w:val="Rezolucija Europskog parlamenta od .... 2024. o Prijedlogu uredbe Komisije o izmjeni Priloga II. Uredbi (EZ) br. 396/2005 Europskog parlamenta i Vijeća u pogledu maksimalnih razina ostataka za tiakloprid u ili na određenim proizvodima(COM(2023)0739 – 2023/3005(RPS))"/>
  </w:docVars>
  <w:rsids>
    <w:rsidRoot w:val="00296BB8"/>
    <w:rsid w:val="00002272"/>
    <w:rsid w:val="00064002"/>
    <w:rsid w:val="000677B9"/>
    <w:rsid w:val="000831BA"/>
    <w:rsid w:val="000A42CC"/>
    <w:rsid w:val="000E7DD9"/>
    <w:rsid w:val="0010095E"/>
    <w:rsid w:val="00125B37"/>
    <w:rsid w:val="00187494"/>
    <w:rsid w:val="001F32AE"/>
    <w:rsid w:val="002767FF"/>
    <w:rsid w:val="00296BB8"/>
    <w:rsid w:val="002B18FE"/>
    <w:rsid w:val="002B5493"/>
    <w:rsid w:val="002C1A2F"/>
    <w:rsid w:val="00343214"/>
    <w:rsid w:val="00361C00"/>
    <w:rsid w:val="00395FA1"/>
    <w:rsid w:val="003E15D4"/>
    <w:rsid w:val="00411CCE"/>
    <w:rsid w:val="0041666E"/>
    <w:rsid w:val="00421060"/>
    <w:rsid w:val="00460C9F"/>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3BE3"/>
    <w:rsid w:val="00842779"/>
    <w:rsid w:val="00865F67"/>
    <w:rsid w:val="00881A7B"/>
    <w:rsid w:val="008840E5"/>
    <w:rsid w:val="00887B3E"/>
    <w:rsid w:val="008C2AC6"/>
    <w:rsid w:val="00930C23"/>
    <w:rsid w:val="0093193B"/>
    <w:rsid w:val="00932678"/>
    <w:rsid w:val="009509D8"/>
    <w:rsid w:val="00950B64"/>
    <w:rsid w:val="009743F4"/>
    <w:rsid w:val="00981893"/>
    <w:rsid w:val="00A1687D"/>
    <w:rsid w:val="00A43E52"/>
    <w:rsid w:val="00A4678D"/>
    <w:rsid w:val="00A778C7"/>
    <w:rsid w:val="00AB441E"/>
    <w:rsid w:val="00AB6293"/>
    <w:rsid w:val="00AE0928"/>
    <w:rsid w:val="00AF3B82"/>
    <w:rsid w:val="00B12E95"/>
    <w:rsid w:val="00B22876"/>
    <w:rsid w:val="00B401E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80D1D1"/>
  <w15:chartTrackingRefBased/>
  <w15:docId w15:val="{BF84F7A7-959B-45A8-9C7E-59C706409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32678"/>
    <w:pPr>
      <w:spacing w:before="480" w:after="240"/>
    </w:pPr>
  </w:style>
  <w:style w:type="paragraph" w:customStyle="1" w:styleId="NormalBold12a">
    <w:name w:val="NormalBold12a"/>
    <w:basedOn w:val="Normal"/>
    <w:rsid w:val="00932678"/>
    <w:pPr>
      <w:spacing w:after="240"/>
    </w:pPr>
    <w:rPr>
      <w:b/>
    </w:rPr>
  </w:style>
  <w:style w:type="paragraph" w:customStyle="1" w:styleId="NormalHanging12a">
    <w:name w:val="NormalHanging12a"/>
    <w:basedOn w:val="Normal"/>
    <w:rsid w:val="00932678"/>
    <w:pPr>
      <w:spacing w:after="240"/>
      <w:ind w:left="567" w:hanging="567"/>
    </w:pPr>
  </w:style>
  <w:style w:type="character" w:styleId="Hyperlink">
    <w:name w:val="Hyperlink"/>
    <w:basedOn w:val="DefaultParagraphFont"/>
    <w:uiPriority w:val="99"/>
    <w:unhideWhenUsed/>
    <w:rsid w:val="00932678"/>
    <w:rPr>
      <w:color w:val="0563C1" w:themeColor="hyperlink"/>
      <w:u w:val="single"/>
    </w:rPr>
  </w:style>
  <w:style w:type="character" w:styleId="FollowedHyperlink">
    <w:name w:val="FollowedHyperlink"/>
    <w:basedOn w:val="DefaultParagraphFont"/>
    <w:rsid w:val="002C1A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2903/j.efsa.2023.78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01C6D-16C1-4E9E-B063-A8EB0A741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2229</Words>
  <Characters>12560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2024-05-27T13:14:00Z</dcterms:created>
  <dcterms:modified xsi:type="dcterms:W3CDTF">2024-05-27T13:14:00Z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P9_TA(2024)0016_</vt:lpwstr>
  </property>
  <property fmtid="{D5CDD505-2E9C-101B-9397-08002B2CF9AE}" pid="4" name="&lt;Type&gt;">
    <vt:lpwstr>RR</vt:lpwstr>
  </property>
</Properties>
</file>