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59E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B59E7" w:rsidRDefault="000E574E" w:rsidP="0010095E">
            <w:pPr>
              <w:pStyle w:val="EPName"/>
            </w:pPr>
            <w:r w:rsidRPr="00CB59E7">
              <w:t>Európai Parlament</w:t>
            </w:r>
          </w:p>
          <w:p w:rsidR="00751A4A" w:rsidRPr="00CB59E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59E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B59E7" w:rsidRDefault="00187494" w:rsidP="0010095E">
            <w:pPr>
              <w:pStyle w:val="EPLogo"/>
            </w:pPr>
            <w:r w:rsidRPr="00CB59E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B59E7" w:rsidRDefault="00D058B8" w:rsidP="004C5D52">
      <w:pPr>
        <w:pStyle w:val="LineTop"/>
      </w:pPr>
    </w:p>
    <w:p w:rsidR="00680577" w:rsidRPr="00CB59E7" w:rsidRDefault="000E574E" w:rsidP="00680577">
      <w:pPr>
        <w:pStyle w:val="EPBodyTA1"/>
      </w:pPr>
      <w:r w:rsidRPr="00CB59E7">
        <w:t>ELFOGADOTT SZÖVEGEK</w:t>
      </w:r>
    </w:p>
    <w:p w:rsidR="00D058B8" w:rsidRPr="00CB59E7" w:rsidRDefault="00D058B8" w:rsidP="00D058B8">
      <w:pPr>
        <w:pStyle w:val="LineBottom"/>
      </w:pPr>
    </w:p>
    <w:p w:rsidR="000E574E" w:rsidRPr="009257D9" w:rsidRDefault="000E574E" w:rsidP="000E574E">
      <w:pPr>
        <w:pStyle w:val="ATHeading1"/>
      </w:pPr>
      <w:bookmarkStart w:id="0" w:name="TANumber"/>
      <w:r w:rsidRPr="009257D9">
        <w:t>P9_</w:t>
      </w:r>
      <w:proofErr w:type="gramStart"/>
      <w:r w:rsidRPr="009257D9">
        <w:t>TA(</w:t>
      </w:r>
      <w:proofErr w:type="gramEnd"/>
      <w:r w:rsidRPr="009257D9">
        <w:t>2024)00</w:t>
      </w:r>
      <w:r w:rsidR="009257D9" w:rsidRPr="009257D9">
        <w:t>16</w:t>
      </w:r>
      <w:bookmarkEnd w:id="0"/>
    </w:p>
    <w:p w:rsidR="000E574E" w:rsidRPr="009257D9" w:rsidRDefault="00F46CBA" w:rsidP="000E574E">
      <w:pPr>
        <w:pStyle w:val="ATHeading2"/>
      </w:pPr>
      <w:bookmarkStart w:id="1" w:name="title"/>
      <w:r w:rsidRPr="009257D9">
        <w:rPr>
          <w:bCs/>
        </w:rPr>
        <w:t xml:space="preserve">Végrehajtási jogi </w:t>
      </w:r>
      <w:proofErr w:type="gramStart"/>
      <w:r w:rsidRPr="009257D9">
        <w:rPr>
          <w:bCs/>
        </w:rPr>
        <w:t>aktussal</w:t>
      </w:r>
      <w:proofErr w:type="gramEnd"/>
      <w:r w:rsidRPr="009257D9">
        <w:rPr>
          <w:bCs/>
        </w:rPr>
        <w:t xml:space="preserve"> szembeni </w:t>
      </w:r>
      <w:proofErr w:type="spellStart"/>
      <w:r w:rsidRPr="009257D9">
        <w:rPr>
          <w:bCs/>
        </w:rPr>
        <w:t>kifogás:</w:t>
      </w:r>
      <w:r w:rsidR="00F36B3B" w:rsidRPr="009257D9">
        <w:rPr>
          <w:bCs/>
        </w:rPr>
        <w:t>a</w:t>
      </w:r>
      <w:proofErr w:type="spellEnd"/>
      <w:r w:rsidR="00F36B3B" w:rsidRPr="009257D9">
        <w:rPr>
          <w:bCs/>
        </w:rPr>
        <w:t xml:space="preserve"> </w:t>
      </w:r>
      <w:proofErr w:type="spellStart"/>
      <w:r w:rsidR="00F36B3B" w:rsidRPr="009257D9">
        <w:rPr>
          <w:bCs/>
        </w:rPr>
        <w:t>tiakloprid</w:t>
      </w:r>
      <w:proofErr w:type="spellEnd"/>
      <w:r w:rsidR="00F36B3B" w:rsidRPr="009257D9">
        <w:rPr>
          <w:bCs/>
        </w:rPr>
        <w:t xml:space="preserve"> mege</w:t>
      </w:r>
      <w:r w:rsidR="00E554D8" w:rsidRPr="009257D9">
        <w:rPr>
          <w:bCs/>
        </w:rPr>
        <w:t>ngedett szermaradék-határértéke</w:t>
      </w:r>
      <w:bookmarkEnd w:id="1"/>
    </w:p>
    <w:p w:rsidR="000E574E" w:rsidRPr="009257D9" w:rsidRDefault="000E574E" w:rsidP="000E574E">
      <w:pPr>
        <w:rPr>
          <w:i/>
          <w:vanish/>
        </w:rPr>
      </w:pPr>
      <w:r w:rsidRPr="009257D9">
        <w:rPr>
          <w:i/>
        </w:rPr>
        <w:fldChar w:fldCharType="begin"/>
      </w:r>
      <w:r w:rsidRPr="009257D9">
        <w:rPr>
          <w:i/>
        </w:rPr>
        <w:instrText xml:space="preserve"> TC"(</w:instrText>
      </w:r>
      <w:bookmarkStart w:id="2" w:name="DocNumber"/>
      <w:r w:rsidRPr="009257D9">
        <w:rPr>
          <w:i/>
        </w:rPr>
        <w:instrText>B9-0057/2024</w:instrText>
      </w:r>
      <w:bookmarkEnd w:id="2"/>
      <w:r w:rsidRPr="009257D9">
        <w:rPr>
          <w:i/>
        </w:rPr>
        <w:instrText xml:space="preserve">)"\l3 \n&gt; \* MERGEFORMAT </w:instrText>
      </w:r>
      <w:r w:rsidRPr="009257D9">
        <w:rPr>
          <w:i/>
        </w:rPr>
        <w:fldChar w:fldCharType="end"/>
      </w:r>
    </w:p>
    <w:p w:rsidR="000E574E" w:rsidRPr="009257D9" w:rsidRDefault="000E574E" w:rsidP="000E574E">
      <w:pPr>
        <w:rPr>
          <w:vanish/>
        </w:rPr>
      </w:pPr>
      <w:bookmarkStart w:id="3" w:name="PE"/>
      <w:r w:rsidRPr="009257D9">
        <w:rPr>
          <w:vanish/>
        </w:rPr>
        <w:t>PE757.277</w:t>
      </w:r>
      <w:bookmarkEnd w:id="3"/>
    </w:p>
    <w:p w:rsidR="000E574E" w:rsidRPr="009257D9" w:rsidRDefault="000E574E" w:rsidP="000E574E">
      <w:pPr>
        <w:pStyle w:val="ATHeading3"/>
      </w:pPr>
      <w:bookmarkStart w:id="4" w:name="Sujet"/>
      <w:r w:rsidRPr="009257D9">
        <w:t xml:space="preserve">Az Európai Parlament 2024. </w:t>
      </w:r>
      <w:r w:rsidR="00F36B3B" w:rsidRPr="009257D9">
        <w:t>január</w:t>
      </w:r>
      <w:r w:rsidRPr="009257D9">
        <w:t xml:space="preserve"> </w:t>
      </w:r>
      <w:r w:rsidR="00F46CBA" w:rsidRPr="009257D9">
        <w:t>17</w:t>
      </w:r>
      <w:r w:rsidR="00F46CBA" w:rsidRPr="009257D9">
        <w:t>-</w:t>
      </w:r>
      <w:r w:rsidRPr="009257D9">
        <w:t xml:space="preserve">i állásfoglalása a 396/2005/EK európai parlamenti és tanácsi rendelet II. mellékletének a bizonyos termékekben, illetve azok felületén található </w:t>
      </w:r>
      <w:proofErr w:type="spellStart"/>
      <w:r w:rsidRPr="009257D9">
        <w:t>tiakloprid</w:t>
      </w:r>
      <w:proofErr w:type="spellEnd"/>
      <w:r w:rsidRPr="009257D9">
        <w:t xml:space="preserve"> megengedett szermaradék-határértékei tekintetében történő módosításáról szóló tanácsi rendeletre irányuló javaslatról</w:t>
      </w:r>
      <w:bookmarkEnd w:id="4"/>
      <w:r w:rsidRPr="009257D9">
        <w:t xml:space="preserve"> </w:t>
      </w:r>
      <w:bookmarkStart w:id="5" w:name="References"/>
      <w:r w:rsidRPr="009257D9">
        <w:t>(</w:t>
      </w:r>
      <w:proofErr w:type="gramStart"/>
      <w:r w:rsidRPr="009257D9">
        <w:t>COM(</w:t>
      </w:r>
      <w:proofErr w:type="gramEnd"/>
      <w:r w:rsidRPr="009257D9">
        <w:t>2023)0739 – 2023/3005(RPS))</w:t>
      </w:r>
      <w:bookmarkEnd w:id="5"/>
    </w:p>
    <w:p w:rsidR="005B7DF1" w:rsidRPr="009257D9" w:rsidRDefault="005B7DF1" w:rsidP="005B7DF1">
      <w:pPr>
        <w:pStyle w:val="EPComma"/>
      </w:pPr>
      <w:bookmarkStart w:id="6" w:name="TextBodyBegin"/>
      <w:bookmarkEnd w:id="6"/>
      <w:r w:rsidRPr="009257D9">
        <w:rPr>
          <w:i/>
          <w:iCs/>
        </w:rPr>
        <w:t>Az Európai Parlament</w:t>
      </w:r>
      <w:r w:rsidRPr="009257D9">
        <w:t>,</w:t>
      </w:r>
    </w:p>
    <w:p w:rsidR="005B7DF1" w:rsidRPr="009257D9" w:rsidRDefault="005B7DF1" w:rsidP="008A0242">
      <w:pPr>
        <w:pStyle w:val="NormalHanging12a"/>
        <w:widowControl/>
      </w:pPr>
      <w:r w:rsidRPr="009257D9">
        <w:t>–</w:t>
      </w:r>
      <w:r w:rsidRPr="009257D9">
        <w:tab/>
        <w:t xml:space="preserve">tekintettel a 396/2005/EK európai parlamenti és tanácsi rendelet II. mellékletének a bizonyos termékekben, illetve azok felületén található </w:t>
      </w:r>
      <w:proofErr w:type="spellStart"/>
      <w:r w:rsidRPr="009257D9">
        <w:t>tiakloprid</w:t>
      </w:r>
      <w:proofErr w:type="spellEnd"/>
      <w:r w:rsidRPr="009257D9">
        <w:t xml:space="preserve"> megengedett szermaradék-határértékei tekintetében történő módosításáról szóló tanácsi rendeletre irányuló javaslatra (</w:t>
      </w:r>
      <w:proofErr w:type="gramStart"/>
      <w:r w:rsidRPr="009257D9">
        <w:t>COM(</w:t>
      </w:r>
      <w:proofErr w:type="gramEnd"/>
      <w:r w:rsidRPr="009257D9">
        <w:t>2023)0739),</w:t>
      </w:r>
    </w:p>
    <w:p w:rsidR="005B7DF1" w:rsidRPr="009257D9" w:rsidRDefault="005B7DF1" w:rsidP="008A0242">
      <w:pPr>
        <w:pStyle w:val="NormalHanging12a"/>
        <w:widowControl/>
        <w:rPr>
          <w:szCs w:val="24"/>
        </w:rPr>
      </w:pPr>
      <w:r w:rsidRPr="009257D9">
        <w:t>–</w:t>
      </w:r>
      <w:r w:rsidRPr="009257D9">
        <w:tab/>
        <w:t>tekintettel a növényi és állati eredetű élelmiszerekben és takarmányokban, illetve azok felületén található megengedett növényvédőszer-maradékok határértékéről, valamint a 91/414/EGK tanácsi irányelv módosításáról szóló, 2005. február 23-i 396/2005/EK európai parlamenti és tanácsi rendeletre</w:t>
      </w:r>
      <w:r w:rsidRPr="009257D9">
        <w:rPr>
          <w:rStyle w:val="FootnoteReference"/>
        </w:rPr>
        <w:footnoteReference w:id="1"/>
      </w:r>
      <w:r w:rsidRPr="009257D9">
        <w:t xml:space="preserve"> és különösen annak 14. cikke (1) bekezdésének a) pontjára, valamint 49. cikke (2) bekezdésére, </w:t>
      </w:r>
    </w:p>
    <w:p w:rsidR="005B7DF1" w:rsidRPr="009257D9" w:rsidRDefault="005B7DF1" w:rsidP="008A0242">
      <w:pPr>
        <w:pStyle w:val="NormalHanging12a"/>
        <w:widowControl/>
        <w:rPr>
          <w:szCs w:val="24"/>
        </w:rPr>
      </w:pPr>
      <w:r w:rsidRPr="009257D9">
        <w:t>–</w:t>
      </w:r>
      <w:r w:rsidRPr="009257D9">
        <w:tab/>
        <w:t>tekintettel a növényvédő szerek forgalomba hozataláról, valamint a 79/117/EGK és a 91/414/EGK tanácsi irányelv hatályon kívül helyezéséről szóló, 2009. október 21-i 1107/2009/EK európai parlamenti és tanácsi rendeletre</w:t>
      </w:r>
      <w:r w:rsidRPr="009257D9">
        <w:rPr>
          <w:rStyle w:val="FootnoteReference"/>
          <w:szCs w:val="24"/>
        </w:rPr>
        <w:footnoteReference w:id="2"/>
      </w:r>
      <w:r w:rsidRPr="009257D9">
        <w:t xml:space="preserve"> és különösen annak 4. cikke (1) bekezdésére, 4. cikke (2) bekezdése első </w:t>
      </w:r>
      <w:proofErr w:type="spellStart"/>
      <w:r w:rsidRPr="009257D9">
        <w:t>albekezdésének</w:t>
      </w:r>
      <w:proofErr w:type="spellEnd"/>
      <w:r w:rsidRPr="009257D9">
        <w:t xml:space="preserve"> a) pontjára és II. mellékletének 3.6.4. pontjára,</w:t>
      </w:r>
    </w:p>
    <w:p w:rsidR="005B7DF1" w:rsidRPr="009257D9" w:rsidRDefault="005B7DF1" w:rsidP="008A0242">
      <w:pPr>
        <w:pStyle w:val="NormalHanging12a"/>
        <w:widowControl/>
        <w:rPr>
          <w:szCs w:val="24"/>
        </w:rPr>
      </w:pPr>
      <w:r w:rsidRPr="009257D9">
        <w:t>–</w:t>
      </w:r>
      <w:r w:rsidRPr="009257D9">
        <w:tab/>
        <w:t>tekintettel az élelmiszerjog általános elveiről és követelményeiről, az Európai Élelmiszerbiztonsági Hatóság létrehozásáról és az élelmiszerbiztonságra vonatkozó eljárások megállapításáról szóló, 2002. január 28-i 178/2002/EK európai parlamenti és tanácsi rendeletre</w:t>
      </w:r>
      <w:r w:rsidRPr="009257D9">
        <w:rPr>
          <w:rStyle w:val="FootnoteReference"/>
          <w:szCs w:val="24"/>
        </w:rPr>
        <w:footnoteReference w:id="3"/>
      </w:r>
      <w:r w:rsidRPr="009257D9">
        <w:t xml:space="preserve"> és különösen annak 5. cikke (1) bekezdésére,</w:t>
      </w:r>
    </w:p>
    <w:p w:rsidR="005B7DF1" w:rsidRPr="009257D9" w:rsidRDefault="005B7DF1" w:rsidP="008A0242">
      <w:pPr>
        <w:pStyle w:val="NormalHanging12a"/>
        <w:widowControl/>
        <w:rPr>
          <w:szCs w:val="24"/>
        </w:rPr>
      </w:pPr>
      <w:r w:rsidRPr="009257D9">
        <w:lastRenderedPageBreak/>
        <w:t>–</w:t>
      </w:r>
      <w:r w:rsidRPr="009257D9">
        <w:tab/>
        <w:t>tekintettel az Európai Unió működéséről szóló szerződés 11</w:t>
      </w:r>
      <w:proofErr w:type="gramStart"/>
      <w:r w:rsidRPr="009257D9">
        <w:t>.,</w:t>
      </w:r>
      <w:proofErr w:type="gramEnd"/>
      <w:r w:rsidRPr="009257D9">
        <w:t xml:space="preserve"> 13., 168. és 191. cikkére,</w:t>
      </w:r>
    </w:p>
    <w:p w:rsidR="005B7DF1" w:rsidRPr="009257D9" w:rsidRDefault="005B7DF1" w:rsidP="008A0242">
      <w:pPr>
        <w:pStyle w:val="NormalHanging12a"/>
        <w:widowControl/>
      </w:pPr>
      <w:r w:rsidRPr="009257D9">
        <w:t>–</w:t>
      </w:r>
      <w:r w:rsidRPr="009257D9">
        <w:tab/>
        <w:t>tekintettel az Európai Élelmiszerbiztonsági Hatóság (EFSA) által 2023. február 9-én elfogadott és 2023. március 15-én közzétett, indokolással ellátott véleményre</w:t>
      </w:r>
      <w:r w:rsidRPr="009257D9">
        <w:rPr>
          <w:rStyle w:val="FootnoteReference"/>
        </w:rPr>
        <w:footnoteReference w:id="4"/>
      </w:r>
      <w:r w:rsidRPr="009257D9">
        <w:t>,</w:t>
      </w:r>
    </w:p>
    <w:p w:rsidR="005B7DF1" w:rsidRPr="009257D9" w:rsidRDefault="005B7DF1" w:rsidP="008A0242">
      <w:pPr>
        <w:pStyle w:val="NormalHanging12a"/>
        <w:widowControl/>
        <w:rPr>
          <w:szCs w:val="24"/>
        </w:rPr>
      </w:pPr>
      <w:r w:rsidRPr="009257D9">
        <w:t>–</w:t>
      </w:r>
      <w:r w:rsidRPr="009257D9">
        <w:tab/>
        <w:t xml:space="preserve">tekintettel az EFSA által 2019. január 17-én jóváhagyott és 2019. március 14-én közzétett, a </w:t>
      </w:r>
      <w:proofErr w:type="spellStart"/>
      <w:r w:rsidRPr="009257D9">
        <w:t>peszticidekre</w:t>
      </w:r>
      <w:proofErr w:type="spellEnd"/>
      <w:r w:rsidRPr="009257D9">
        <w:t xml:space="preserve"> vonatkozó szakértői értékelésről szóló következtetésre</w:t>
      </w:r>
      <w:r w:rsidRPr="009257D9">
        <w:rPr>
          <w:rStyle w:val="FootnoteReference"/>
          <w:szCs w:val="24"/>
        </w:rPr>
        <w:footnoteReference w:id="5"/>
      </w:r>
      <w:r w:rsidRPr="009257D9">
        <w:t>,</w:t>
      </w:r>
    </w:p>
    <w:p w:rsidR="005B7DF1" w:rsidRPr="009257D9" w:rsidRDefault="005B7DF1" w:rsidP="008A0242">
      <w:pPr>
        <w:pStyle w:val="NormalHanging12a"/>
        <w:widowControl/>
        <w:rPr>
          <w:szCs w:val="24"/>
        </w:rPr>
      </w:pPr>
      <w:r w:rsidRPr="009257D9">
        <w:t>–</w:t>
      </w:r>
      <w:r w:rsidRPr="009257D9">
        <w:tab/>
        <w:t>tekintettel az Európai Vegyianyag-ügynökség (ECHA) kockázatértékelési bizottsága (RAC) által 2015. március 12-én elfogadott véleményre</w:t>
      </w:r>
      <w:r w:rsidRPr="009257D9">
        <w:rPr>
          <w:rStyle w:val="FootnoteReference"/>
          <w:szCs w:val="24"/>
        </w:rPr>
        <w:footnoteReference w:id="6"/>
      </w:r>
      <w:r w:rsidRPr="009257D9">
        <w:t>,</w:t>
      </w:r>
    </w:p>
    <w:p w:rsidR="005B7DF1" w:rsidRPr="009257D9" w:rsidRDefault="005B7DF1" w:rsidP="008A0242">
      <w:pPr>
        <w:pStyle w:val="NormalHanging12a"/>
        <w:widowControl/>
        <w:rPr>
          <w:szCs w:val="24"/>
        </w:rPr>
      </w:pPr>
      <w:r w:rsidRPr="009257D9">
        <w:t>–</w:t>
      </w:r>
      <w:r w:rsidRPr="009257D9">
        <w:tab/>
        <w:t>tekintettel a Bizottságra ruházott végrehajtási hatáskörök gyakorlására vonatkozó eljárások megállapításáról szóló, 1999. június 28-i 1999/468/EK tanácsi határozat</w:t>
      </w:r>
      <w:r w:rsidRPr="009257D9">
        <w:rPr>
          <w:rStyle w:val="FootnoteReference"/>
          <w:szCs w:val="24"/>
        </w:rPr>
        <w:footnoteReference w:id="7"/>
      </w:r>
      <w:r w:rsidRPr="009257D9">
        <w:t xml:space="preserve"> 5a. cikke (4) bekezdésének e) pontjára és 5a. cikkének (5) bekezdésére,</w:t>
      </w:r>
    </w:p>
    <w:p w:rsidR="005B7DF1" w:rsidRPr="009257D9" w:rsidRDefault="005B7DF1" w:rsidP="008A0242">
      <w:pPr>
        <w:pStyle w:val="NormalHanging12a"/>
        <w:widowControl/>
      </w:pPr>
      <w:r w:rsidRPr="009257D9">
        <w:t>–</w:t>
      </w:r>
      <w:r w:rsidRPr="009257D9">
        <w:tab/>
        <w:t>tekintettel eljárási szabályzata 112. cikkének (2) és (3) bekezdésre és (4) bekezdésének c) pontjára,</w:t>
      </w:r>
    </w:p>
    <w:p w:rsidR="005B7DF1" w:rsidRPr="009257D9" w:rsidRDefault="005B7DF1" w:rsidP="008A0242">
      <w:pPr>
        <w:pStyle w:val="NormalHanging12a"/>
        <w:widowControl/>
      </w:pPr>
      <w:r w:rsidRPr="009257D9">
        <w:t>–</w:t>
      </w:r>
      <w:r w:rsidRPr="009257D9">
        <w:tab/>
        <w:t>tekintettel a Környezetvédelmi, Közegészségügyi és Élelmiszer-biztonsági Bizottság állásfoglalási indítványára,</w:t>
      </w:r>
    </w:p>
    <w:p w:rsidR="005B7DF1" w:rsidRPr="009257D9" w:rsidRDefault="005B7DF1" w:rsidP="008A0242">
      <w:pPr>
        <w:pStyle w:val="NormalHanging12a"/>
        <w:widowControl/>
      </w:pPr>
      <w:r w:rsidRPr="009257D9">
        <w:t>A.</w:t>
      </w:r>
      <w:r w:rsidRPr="009257D9">
        <w:tab/>
      </w:r>
      <w:proofErr w:type="gramStart"/>
      <w:r w:rsidRPr="009257D9">
        <w:t>mivel</w:t>
      </w:r>
      <w:proofErr w:type="gramEnd"/>
      <w:r w:rsidRPr="009257D9">
        <w:t xml:space="preserve"> a </w:t>
      </w:r>
      <w:proofErr w:type="spellStart"/>
      <w:r w:rsidRPr="009257D9">
        <w:t>tiakloprid</w:t>
      </w:r>
      <w:proofErr w:type="spellEnd"/>
      <w:r w:rsidRPr="009257D9">
        <w:t xml:space="preserve"> a főként gyapotra, almatermésűekre, zöldségekre és burgonyára használt rovarölő szerek egyik hatóanyaga;</w:t>
      </w:r>
    </w:p>
    <w:p w:rsidR="005B7DF1" w:rsidRPr="009257D9" w:rsidRDefault="005B7DF1" w:rsidP="008A0242">
      <w:pPr>
        <w:pStyle w:val="NormalHanging12a"/>
        <w:widowControl/>
      </w:pPr>
      <w:r w:rsidRPr="009257D9">
        <w:t>B.</w:t>
      </w:r>
      <w:r w:rsidRPr="009257D9">
        <w:tab/>
        <w:t xml:space="preserve">mivel a </w:t>
      </w:r>
      <w:proofErr w:type="spellStart"/>
      <w:r w:rsidRPr="009257D9">
        <w:t>tiakloprid</w:t>
      </w:r>
      <w:proofErr w:type="spellEnd"/>
      <w:r w:rsidRPr="009257D9">
        <w:t xml:space="preserve"> hatóanyag jóváhagyása 2020. február 3-án lejárt, és azt az (EU) 2020/23 bizottsági végrehajtási rendelet értelmében nem hosszabbították meg</w:t>
      </w:r>
      <w:r w:rsidRPr="009257D9">
        <w:rPr>
          <w:rStyle w:val="FootnoteReference"/>
        </w:rPr>
        <w:footnoteReference w:id="8"/>
      </w:r>
      <w:r w:rsidRPr="009257D9">
        <w:t xml:space="preserve">; mivel a </w:t>
      </w:r>
      <w:proofErr w:type="spellStart"/>
      <w:r w:rsidRPr="009257D9">
        <w:t>tiaklopridot</w:t>
      </w:r>
      <w:proofErr w:type="spellEnd"/>
      <w:r w:rsidRPr="009257D9">
        <w:t xml:space="preserve"> tartalmazó növényvédő szerekre vonatkozó türelmi idő 2021. február 3-án lejárt;</w:t>
      </w:r>
    </w:p>
    <w:p w:rsidR="005B7DF1" w:rsidRPr="009257D9" w:rsidRDefault="005B7DF1" w:rsidP="008A0242">
      <w:pPr>
        <w:pStyle w:val="NormalHanging12a"/>
        <w:widowControl/>
      </w:pPr>
      <w:proofErr w:type="gramStart"/>
      <w:r w:rsidRPr="009257D9">
        <w:t>C.</w:t>
      </w:r>
      <w:r w:rsidRPr="009257D9">
        <w:tab/>
        <w:t xml:space="preserve">mivel a </w:t>
      </w:r>
      <w:proofErr w:type="spellStart"/>
      <w:r w:rsidRPr="009257D9">
        <w:t>tiakloprid</w:t>
      </w:r>
      <w:proofErr w:type="spellEnd"/>
      <w:r w:rsidRPr="009257D9">
        <w:t xml:space="preserve"> hatóanyag jóváhagyását nem újították meg, mivel legalább egy növényvédő szer egy vagy több reprezentatív felhasználása tekintetében nem lehetett megállapítani, hogy az 1107/2009/EK rendelet 4. cikkében előírt jóváhagyási </w:t>
      </w:r>
      <w:r w:rsidRPr="009257D9">
        <w:lastRenderedPageBreak/>
        <w:t xml:space="preserve">kritériumok teljesültek; mivel különösen az EFSA két kritikus aggályos területet azonosított; mivel az első kritikus aggodalomra okot adó terület a felszín alatti vizek több releváns </w:t>
      </w:r>
      <w:proofErr w:type="spellStart"/>
      <w:r w:rsidRPr="009257D9">
        <w:t>tiakloprid</w:t>
      </w:r>
      <w:proofErr w:type="spellEnd"/>
      <w:r w:rsidRPr="009257D9">
        <w:t xml:space="preserve"> </w:t>
      </w:r>
      <w:proofErr w:type="spellStart"/>
      <w:r w:rsidRPr="009257D9">
        <w:t>metabolitjával</w:t>
      </w:r>
      <w:proofErr w:type="spellEnd"/>
      <w:r w:rsidRPr="009257D9">
        <w:t xml:space="preserve"> való szennyeződésének jelzéséhez kapcsolódott, amelyek rákkeltő potenciálja nem zárható ki (M30, M34 és M46) a 0,1 µg/l-es parametrikus ivóvíz-határérték</w:t>
      </w:r>
      <w:proofErr w:type="gramEnd"/>
      <w:r w:rsidRPr="009257D9">
        <w:t xml:space="preserve"> felett valamennyi reprezentatív felhasználás tekintetében</w:t>
      </w:r>
      <w:r w:rsidRPr="009257D9">
        <w:rPr>
          <w:rStyle w:val="FootnoteReference"/>
        </w:rPr>
        <w:footnoteReference w:id="9"/>
      </w:r>
      <w:r w:rsidRPr="009257D9">
        <w:t>; mivel a második kritikus aggodalomra okot adó terület az 1272/2008/EK európai parlamenti és tanácsi rendeletnek</w:t>
      </w:r>
      <w:r w:rsidRPr="009257D9">
        <w:rPr>
          <w:rStyle w:val="FootnoteReference"/>
        </w:rPr>
        <w:footnoteReference w:id="10"/>
      </w:r>
      <w:r w:rsidRPr="009257D9">
        <w:t xml:space="preserve"> megfelelően a </w:t>
      </w:r>
      <w:proofErr w:type="spellStart"/>
      <w:r w:rsidRPr="009257D9">
        <w:t>tiaklopridnak</w:t>
      </w:r>
      <w:proofErr w:type="spellEnd"/>
      <w:r w:rsidRPr="009257D9">
        <w:t xml:space="preserve"> a termékenységet és a születendő gyermeket (reprodukciót károsító, 1B. </w:t>
      </w:r>
      <w:proofErr w:type="gramStart"/>
      <w:r w:rsidRPr="009257D9">
        <w:t>kategória</w:t>
      </w:r>
      <w:proofErr w:type="gramEnd"/>
      <w:r w:rsidRPr="009257D9">
        <w:t xml:space="preserve">) való harmonizált osztályozásához kapcsolódott, amely az 1107/2009/EK rendelet 4. cikkének (1) bekezdésével összhangban a </w:t>
      </w:r>
      <w:proofErr w:type="spellStart"/>
      <w:r w:rsidRPr="009257D9">
        <w:t>tiaklopridot</w:t>
      </w:r>
      <w:proofErr w:type="spellEnd"/>
      <w:r w:rsidRPr="009257D9">
        <w:t xml:space="preserve"> egyértelműen kizárandó anyaggá teszi; </w:t>
      </w:r>
    </w:p>
    <w:p w:rsidR="005B7DF1" w:rsidRPr="009257D9" w:rsidRDefault="005B7DF1" w:rsidP="008A0242">
      <w:pPr>
        <w:pStyle w:val="NormalHanging12a"/>
        <w:widowControl/>
      </w:pPr>
      <w:r w:rsidRPr="009257D9">
        <w:t>D.</w:t>
      </w:r>
      <w:r w:rsidRPr="009257D9">
        <w:tab/>
        <w:t>mivel az EFSA azt is megállapította, hogy a méheket és a nem célzott szárazföldi növényeket érintő kockázatok értékelését nem lehetett véglegesíteni;</w:t>
      </w:r>
    </w:p>
    <w:p w:rsidR="005B7DF1" w:rsidRPr="009257D9" w:rsidRDefault="005B7DF1" w:rsidP="008A0242">
      <w:pPr>
        <w:pStyle w:val="NormalHanging12a"/>
        <w:widowControl/>
      </w:pPr>
      <w:r w:rsidRPr="009257D9">
        <w:t>E.</w:t>
      </w:r>
      <w:r w:rsidRPr="009257D9">
        <w:tab/>
        <w:t xml:space="preserve">mivel a </w:t>
      </w:r>
      <w:proofErr w:type="spellStart"/>
      <w:r w:rsidRPr="009257D9">
        <w:t>tiakloprid</w:t>
      </w:r>
      <w:proofErr w:type="spellEnd"/>
      <w:r w:rsidRPr="009257D9">
        <w:t xml:space="preserve"> az 1272/2008/EK rendelettel összhangban történő besorolása alapján feltehetően rákot okoz (2. </w:t>
      </w:r>
      <w:proofErr w:type="gramStart"/>
      <w:r w:rsidRPr="009257D9">
        <w:t>kategóriába</w:t>
      </w:r>
      <w:proofErr w:type="gramEnd"/>
      <w:r w:rsidRPr="009257D9">
        <w:t xml:space="preserve"> tartozó rákkeltő anyag), a vízi élővilágra nagyon mérgező anyag (vízi akut 1) és tartós hatású, a vízi élővilágra nézve nagyon mérgező anyag (vízi krónikus 1);</w:t>
      </w:r>
    </w:p>
    <w:p w:rsidR="005B7DF1" w:rsidRPr="009257D9" w:rsidRDefault="005B7DF1" w:rsidP="008A0242">
      <w:pPr>
        <w:pStyle w:val="NormalHanging12a"/>
        <w:widowControl/>
      </w:pPr>
      <w:r w:rsidRPr="009257D9">
        <w:t>F.</w:t>
      </w:r>
      <w:r w:rsidRPr="009257D9">
        <w:tab/>
      </w:r>
      <w:proofErr w:type="gramStart"/>
      <w:r w:rsidRPr="009257D9">
        <w:t>mivel</w:t>
      </w:r>
      <w:proofErr w:type="gramEnd"/>
      <w:r w:rsidRPr="009257D9">
        <w:t xml:space="preserve"> a Növények, Állatok, Élelmiszerek és Takarmányok Állandó Bizottsága (PAFF-bizottság) nem nyilvánított véleményt a tanácsi rendeletre irányuló javaslatról; mivel a PAFF bizottság 2023. szeptember 18–19-i ülésén „nyolc tagállam nem támogatta a rendelettervezetet. Közülük hat említette mindenekelőtt az 1107/2009/EK rendelet szerinti kizárási </w:t>
      </w:r>
      <w:proofErr w:type="gramStart"/>
      <w:r w:rsidRPr="009257D9">
        <w:t>kritériumok</w:t>
      </w:r>
      <w:proofErr w:type="gramEnd"/>
      <w:r w:rsidRPr="009257D9">
        <w:t xml:space="preserve"> (reprodukciót károsító) nem jóváhagyott anyagra vonatkozó CXL-</w:t>
      </w:r>
      <w:proofErr w:type="spellStart"/>
      <w:r w:rsidRPr="009257D9">
        <w:t>ek</w:t>
      </w:r>
      <w:proofErr w:type="spellEnd"/>
      <w:r w:rsidRPr="009257D9">
        <w:t xml:space="preserve"> és import tűréshatárok fenntartásával kapcsolatos aggályaikat. Ezen túlmenően egy olyan tagállam, amely nem támogatta a rendelettervezetet, aggodalmát fejezte ki amiatt, hogy az EFSA bizonyos nem szokványos körülmények között egyes termékek esetében az </w:t>
      </w:r>
      <w:proofErr w:type="gramStart"/>
      <w:r w:rsidRPr="009257D9">
        <w:t>akut</w:t>
      </w:r>
      <w:proofErr w:type="gramEnd"/>
      <w:r w:rsidRPr="009257D9">
        <w:t xml:space="preserve"> referenciadózis túllépését jelezte, egy másik tagállam pedig azon uniós mezőgazdasági termelők hátrányos megkülönböztetését említette, akik már nem használhatják az e hatóanyagot tartalmazó növényvédő szereket, míg a harmadik országbeli mezőgazdasági termelők ezt továbbra is megtehetik, ami tisztességtelen versenyhez vezet”</w:t>
      </w:r>
      <w:r w:rsidRPr="009257D9">
        <w:rPr>
          <w:rStyle w:val="FootnoteReference"/>
        </w:rPr>
        <w:footnoteReference w:id="11"/>
      </w:r>
      <w:r w:rsidRPr="009257D9">
        <w:t>;</w:t>
      </w:r>
    </w:p>
    <w:p w:rsidR="005B7DF1" w:rsidRPr="009257D9" w:rsidRDefault="005B7DF1" w:rsidP="008A0242">
      <w:pPr>
        <w:pStyle w:val="NormalHanging12a"/>
        <w:widowControl/>
      </w:pPr>
      <w:r w:rsidRPr="009257D9">
        <w:t>G.</w:t>
      </w:r>
      <w:r w:rsidRPr="009257D9">
        <w:tab/>
      </w:r>
      <w:proofErr w:type="gramStart"/>
      <w:r w:rsidRPr="009257D9">
        <w:t>mivel</w:t>
      </w:r>
      <w:proofErr w:type="gramEnd"/>
      <w:r w:rsidRPr="009257D9">
        <w:t xml:space="preserve"> Németország a következő nyilatkozat beillesztését kérte a PAFF bizottság 2023. szeptember 18–19-i üléséről készült összefoglaló jelentésbe: „A </w:t>
      </w:r>
      <w:proofErr w:type="spellStart"/>
      <w:r w:rsidRPr="009257D9">
        <w:t>tiakloprid</w:t>
      </w:r>
      <w:proofErr w:type="spellEnd"/>
      <w:r w:rsidRPr="009257D9">
        <w:t xml:space="preserve"> az 1107/2009/EK rendelet szerint kizárandó hatóanyag. A hatóanyag újbóli jóváhagyási eljárása során megállapítást nyert, hogy a hatóanyag megfelel a kizárási </w:t>
      </w:r>
      <w:proofErr w:type="gramStart"/>
      <w:r w:rsidRPr="009257D9">
        <w:t>kritériumoknak</w:t>
      </w:r>
      <w:proofErr w:type="gramEnd"/>
      <w:r w:rsidRPr="009257D9">
        <w:t>, mivel az 1B. reprodukciót károsító anyagként van besorolva. Ennek megfelelően a hatóanyagot nem hagyták jóvá újra. Németország általánosságban nem támogatja a [maximális maradékanyag-határértékek (MRL-</w:t>
      </w:r>
      <w:proofErr w:type="spellStart"/>
      <w:r w:rsidRPr="009257D9">
        <w:t>ek</w:t>
      </w:r>
      <w:proofErr w:type="spellEnd"/>
      <w:r w:rsidRPr="009257D9">
        <w:t xml:space="preserve">)] megállapítását azon hatóanyagok esetében, amelyeket egészségügyi aggályok miatt nem hagytak jóvá az EU-ban. E tekintetben az a döntő, hogy a kizárási </w:t>
      </w:r>
      <w:proofErr w:type="gramStart"/>
      <w:r w:rsidRPr="009257D9">
        <w:t>kritériumokat</w:t>
      </w:r>
      <w:proofErr w:type="gramEnd"/>
      <w:r w:rsidRPr="009257D9">
        <w:t xml:space="preserve"> a hatóanyagok 1107/2009/EK rendelet szerinti (újbóli) jóváhagyási eljárása keretében állapították meg.”</w:t>
      </w:r>
      <w:r w:rsidRPr="009257D9">
        <w:rPr>
          <w:rStyle w:val="FootnoteReference"/>
        </w:rPr>
        <w:footnoteReference w:id="12"/>
      </w:r>
    </w:p>
    <w:p w:rsidR="005B7DF1" w:rsidRPr="009257D9" w:rsidRDefault="005B7DF1" w:rsidP="008A0242">
      <w:pPr>
        <w:pStyle w:val="NormalHanging12a"/>
        <w:widowControl/>
      </w:pPr>
      <w:r w:rsidRPr="009257D9">
        <w:t>H.</w:t>
      </w:r>
      <w:r w:rsidRPr="009257D9">
        <w:tab/>
      </w:r>
      <w:proofErr w:type="gramStart"/>
      <w:r w:rsidRPr="009257D9">
        <w:t>mivel</w:t>
      </w:r>
      <w:proofErr w:type="gramEnd"/>
      <w:r w:rsidRPr="009257D9">
        <w:t xml:space="preserve"> ezért helyénvaló törölni a 396/2005/EK rendelet II. mellékletében a </w:t>
      </w:r>
      <w:proofErr w:type="spellStart"/>
      <w:r w:rsidRPr="009257D9">
        <w:t>tiaklopridra</w:t>
      </w:r>
      <w:proofErr w:type="spellEnd"/>
      <w:r w:rsidRPr="009257D9">
        <w:t xml:space="preserve"> vonatkozóan megállapított jelenlegi maximális maradékanyag-határértékeket az említett rendelet 14. cikke (1) bekezdésének a) pontjával összefüggésben értelmezett 17. cikkének megfelelően;</w:t>
      </w:r>
    </w:p>
    <w:p w:rsidR="005B7DF1" w:rsidRPr="009257D9" w:rsidRDefault="005B7DF1" w:rsidP="008A0242">
      <w:pPr>
        <w:pStyle w:val="NormalHanging12a"/>
        <w:widowControl/>
      </w:pPr>
      <w:r w:rsidRPr="009257D9">
        <w:t>I.</w:t>
      </w:r>
      <w:r w:rsidRPr="009257D9">
        <w:tab/>
        <w:t xml:space="preserve">mivel azonban a tanácsi rendeletre irányuló javaslatban a Bizottság azt javasolja, hogy a </w:t>
      </w:r>
      <w:proofErr w:type="spellStart"/>
      <w:r w:rsidRPr="009257D9">
        <w:t>tiaklopridra</w:t>
      </w:r>
      <w:proofErr w:type="spellEnd"/>
      <w:r w:rsidRPr="009257D9">
        <w:t xml:space="preserve"> vonatkozó maximális maradékanyag-határértékeket az EFSA indokolással ellátott véleménye alapján több mint 30 termék esetében a meghatározási határ felett tartsák fenn</w:t>
      </w:r>
      <w:r w:rsidRPr="009257D9">
        <w:rPr>
          <w:rStyle w:val="FootnoteReference"/>
        </w:rPr>
        <w:footnoteReference w:id="13"/>
      </w:r>
      <w:r w:rsidRPr="009257D9">
        <w:t>;</w:t>
      </w:r>
    </w:p>
    <w:p w:rsidR="005B7DF1" w:rsidRPr="009257D9" w:rsidRDefault="005B7DF1" w:rsidP="008A0242">
      <w:pPr>
        <w:pStyle w:val="NormalHanging12a"/>
        <w:widowControl/>
      </w:pPr>
      <w:r w:rsidRPr="009257D9">
        <w:t>J.</w:t>
      </w:r>
      <w:r w:rsidRPr="009257D9">
        <w:tab/>
      </w:r>
      <w:proofErr w:type="gramStart"/>
      <w:r w:rsidRPr="009257D9">
        <w:t xml:space="preserve">mivel azok a felhasználások, amelyek tekintetében a meghatározási határértéket meghaladó maximális maradékanyag-határértékek biztonságosnak tekinthetők, magukban foglalják a </w:t>
      </w:r>
      <w:proofErr w:type="spellStart"/>
      <w:r w:rsidRPr="009257D9">
        <w:t>tiakloprid</w:t>
      </w:r>
      <w:proofErr w:type="spellEnd"/>
      <w:r w:rsidRPr="009257D9">
        <w:t xml:space="preserve"> felhasználását papaya, tea, fán termő héjas gyümölcsűek, birsek, naspolyák, japánnaspolya, sárgabarackok, cseresznyék, szilvák, eprek, szedrek, egyéb apró gyümölcsök és bogyós gyümölcsök, kivi, burgonya, paradicsom, padlizsán/tojásgyümölcs, dinnye, görögdinnye, rizs, búza, állati (sertés-, szarvasmarha-, juh-, ló-, baromfi- és egyéb haszonállat), szövetekből (izom, máj, vese és ehető belsőség) készült termékek,</w:t>
      </w:r>
      <w:proofErr w:type="gramEnd"/>
      <w:r w:rsidRPr="009257D9">
        <w:t xml:space="preserve"> </w:t>
      </w:r>
      <w:proofErr w:type="gramStart"/>
      <w:r w:rsidRPr="009257D9">
        <w:t>tej</w:t>
      </w:r>
      <w:proofErr w:type="gramEnd"/>
      <w:r w:rsidRPr="009257D9">
        <w:t xml:space="preserve"> és tojás, málna, uborka, cukkini, repcemag/káposztamag, mustármag és gyapotmag esetében; mivel az e felhasználásokra javasolt maximális maradékanyag-határértékek a meghatározási határ kétszeresétől a meghatározási határ ezerszereséig terjednek (teáknál történő felhasználás esetében);</w:t>
      </w:r>
    </w:p>
    <w:p w:rsidR="005B7DF1" w:rsidRPr="009257D9" w:rsidRDefault="005B7DF1" w:rsidP="008A0242">
      <w:pPr>
        <w:pStyle w:val="NormalHanging12a"/>
        <w:widowControl/>
      </w:pPr>
      <w:r w:rsidRPr="009257D9">
        <w:t>K.</w:t>
      </w:r>
      <w:r w:rsidRPr="009257D9">
        <w:tab/>
        <w:t xml:space="preserve">mivel ezzel szemben az </w:t>
      </w:r>
      <w:proofErr w:type="gramStart"/>
      <w:r w:rsidRPr="009257D9">
        <w:t>import</w:t>
      </w:r>
      <w:proofErr w:type="gramEnd"/>
      <w:r w:rsidRPr="009257D9">
        <w:t xml:space="preserve"> tűréshatár iránti kérelmet csak két felhasználás esetében utasították el (az őszibarack és az étkezési paprika esetében), mivel az akut referenciadózis túllépése nem zárható ki, és ezért a Bizottság azt javasolta, hogy a </w:t>
      </w:r>
      <w:proofErr w:type="spellStart"/>
      <w:r w:rsidRPr="009257D9">
        <w:t>tiaklopridra</w:t>
      </w:r>
      <w:proofErr w:type="spellEnd"/>
      <w:r w:rsidRPr="009257D9">
        <w:t xml:space="preserve"> vonatkozó maximális maradékanyag-határértékeket csak e felhasználások tekintetében csökkentsék a meghatározási határra; </w:t>
      </w:r>
    </w:p>
    <w:p w:rsidR="005B7DF1" w:rsidRPr="009257D9" w:rsidRDefault="005B7DF1" w:rsidP="008A0242">
      <w:pPr>
        <w:pStyle w:val="NormalHanging12a"/>
        <w:widowControl/>
      </w:pPr>
      <w:r w:rsidRPr="009257D9">
        <w:t>L.</w:t>
      </w:r>
      <w:r w:rsidRPr="009257D9">
        <w:tab/>
        <w:t xml:space="preserve">mivel a 396/2005/EK rendelet (5) preambulumbekezdése előírja, hogy a maradékanyagok nem lehetnek jelen olyan mennyiségben, amely elfogadhatatlan kockázatot jelent az emberekre és adott esetben az állatokra nézve; </w:t>
      </w:r>
    </w:p>
    <w:p w:rsidR="005B7DF1" w:rsidRPr="009257D9" w:rsidRDefault="005B7DF1" w:rsidP="008A0242">
      <w:pPr>
        <w:pStyle w:val="NormalHanging12a"/>
        <w:widowControl/>
      </w:pPr>
      <w:proofErr w:type="gramStart"/>
      <w:r w:rsidRPr="009257D9">
        <w:t>M.</w:t>
      </w:r>
      <w:r w:rsidRPr="009257D9">
        <w:tab/>
        <w:t xml:space="preserve">mivel az 1107/2009/EK rendelet 4. cikke (2) bekezdésének a) pontja előírja, hogy a növényvédő szerek </w:t>
      </w:r>
      <w:proofErr w:type="spellStart"/>
      <w:r w:rsidRPr="009257D9">
        <w:t>maradékanyagai</w:t>
      </w:r>
      <w:proofErr w:type="spellEnd"/>
      <w:r w:rsidRPr="009257D9">
        <w:t xml:space="preserve"> – figyelembe véve az ismert halmozódó és </w:t>
      </w:r>
      <w:proofErr w:type="spellStart"/>
      <w:r w:rsidRPr="009257D9">
        <w:t>szinergikus</w:t>
      </w:r>
      <w:proofErr w:type="spellEnd"/>
      <w:r w:rsidRPr="009257D9">
        <w:t xml:space="preserve"> hatásokat – nem befolyásolhatják károsan az emberek, köztük a veszélyeztetett csoportok egészségét vagy az állatok egészségét; mivel az említett rendelet II. mellékletének 3.6.4. pontja úgy rendelkezik, hogy az 1272/2008/EK rendeletnek megfelelően 1A. vagy 1B. kategóriájú, reprodukciót károsító anyagként besorolt hatóanyag csak akkor hagyható jóvá, ha „az érintett hatóanyag élelmiszerekben és takarmányokban található szermaradékai</w:t>
      </w:r>
      <w:proofErr w:type="gramEnd"/>
      <w:r w:rsidRPr="009257D9">
        <w:t xml:space="preserve"> </w:t>
      </w:r>
      <w:proofErr w:type="gramStart"/>
      <w:r w:rsidRPr="009257D9">
        <w:t>nem</w:t>
      </w:r>
      <w:proofErr w:type="gramEnd"/>
      <w:r w:rsidRPr="009257D9">
        <w:t xml:space="preserve"> haladják meg a 396/2005/EK rendelet 18. cikke (1) bekezdésének b) pontjával összhangban megállapított alapértelmezett értéket”; mivel a 396/2005/EK rendelet 18. cikke (1) bekezdésének b) pontja az alapértelmezett értéket 0,01 mg/kg-ban határozza meg;</w:t>
      </w:r>
    </w:p>
    <w:p w:rsidR="005B7DF1" w:rsidRPr="009257D9" w:rsidRDefault="005B7DF1" w:rsidP="008A0242">
      <w:pPr>
        <w:pStyle w:val="NormalHanging12a"/>
        <w:widowControl/>
      </w:pPr>
      <w:r w:rsidRPr="009257D9">
        <w:t>N.</w:t>
      </w:r>
      <w:r w:rsidRPr="009257D9">
        <w:tab/>
      </w:r>
      <w:proofErr w:type="gramStart"/>
      <w:r w:rsidRPr="009257D9">
        <w:t xml:space="preserve">mivel a 396/2005/EK rendelet 3. cikke (2) bekezdésének g) pontja úgy rendelkezik, hogy az import tűréshatár az importált termékek tekintetében abban az esetben állapít meg maximális maradékanyag-határértéket, ha „egy adott terméken előforduló növényvédő szerben található hatóanyag használata a Közösségen belül nem engedélyezett a közegészségügytől eltérő okokból az adott termék és használat tekintetében”; mivel a </w:t>
      </w:r>
      <w:proofErr w:type="spellStart"/>
      <w:r w:rsidRPr="009257D9">
        <w:t>tiakloprid</w:t>
      </w:r>
      <w:proofErr w:type="spellEnd"/>
      <w:r w:rsidRPr="009257D9">
        <w:t xml:space="preserve"> nem felel meg ezeknek a kritériumoknak, mert azt egészségügyi okokból betiltották, mivel 1B. kategóriájú reprodukciót károsító anyagként lett besorolva;</w:t>
      </w:r>
      <w:proofErr w:type="gramEnd"/>
    </w:p>
    <w:p w:rsidR="005B7DF1" w:rsidRPr="009257D9" w:rsidRDefault="005B7DF1" w:rsidP="008A0242">
      <w:pPr>
        <w:pStyle w:val="NormalHanging12a"/>
        <w:widowControl/>
      </w:pPr>
      <w:r w:rsidRPr="009257D9">
        <w:t>O.</w:t>
      </w:r>
      <w:r w:rsidRPr="009257D9">
        <w:tab/>
        <w:t>mivel a 178/2002/EK rendelet 5. cikkének (1) bekezdése értelmében az élelmiszerjognak az emberi élet és egészség magas szintű védelmének és a fogyasztói érdekek védelmének egy vagy több általános célját kell szolgálnia, beleértve az élelmiszerkereskedelem tisztességes gyakorlatának érvényesítését; ennek során lehetőség szerint tekintettel kell lenni az állatok egészségének és jóllétének védelmére, valamint a növények egészségének és a környezetnek a védelmére;</w:t>
      </w:r>
    </w:p>
    <w:p w:rsidR="005B7DF1" w:rsidRPr="009257D9" w:rsidRDefault="005B7DF1" w:rsidP="008A0242">
      <w:pPr>
        <w:pStyle w:val="NormalHanging12a"/>
        <w:widowControl/>
      </w:pPr>
      <w:r w:rsidRPr="009257D9">
        <w:t>P.</w:t>
      </w:r>
      <w:r w:rsidRPr="009257D9">
        <w:tab/>
        <w:t xml:space="preserve">mivel a beporzók jelenlegi válsága a biológiai sokféleséget, valamint a </w:t>
      </w:r>
      <w:proofErr w:type="gramStart"/>
      <w:r w:rsidRPr="009257D9">
        <w:t>globális</w:t>
      </w:r>
      <w:proofErr w:type="gramEnd"/>
      <w:r w:rsidRPr="009257D9">
        <w:t xml:space="preserve"> és helyi élelmezésbiztonságot fenyegető egyik fő veszély; mivel ez a válság súlyosbíthatja a rejtett éhezés problémáját, gyengíti az ökoszisztéma </w:t>
      </w:r>
      <w:proofErr w:type="spellStart"/>
      <w:r w:rsidRPr="009257D9">
        <w:t>rezilienciáját</w:t>
      </w:r>
      <w:proofErr w:type="spellEnd"/>
      <w:r w:rsidRPr="009257D9">
        <w:t>, és destabilizálhatja az életfenntartó rendszerünket alkotó ökoszisztémákat</w:t>
      </w:r>
      <w:r w:rsidRPr="009257D9">
        <w:rPr>
          <w:rStyle w:val="FootnoteReference"/>
        </w:rPr>
        <w:footnoteReference w:id="14"/>
      </w:r>
      <w:r w:rsidRPr="009257D9">
        <w:t>;</w:t>
      </w:r>
    </w:p>
    <w:p w:rsidR="005B7DF1" w:rsidRPr="009257D9" w:rsidRDefault="005B7DF1" w:rsidP="008A0242">
      <w:pPr>
        <w:pStyle w:val="NormalHanging12a"/>
        <w:widowControl/>
      </w:pPr>
      <w:r w:rsidRPr="009257D9">
        <w:t>Q.</w:t>
      </w:r>
      <w:r w:rsidRPr="009257D9">
        <w:tab/>
      </w:r>
      <w:proofErr w:type="gramStart"/>
      <w:r w:rsidRPr="009257D9">
        <w:t>mivel a Bizottság „A »termelőtől a fogyasztóig« stratégia a méltányos, egészséges és környezetbarát élelmiszerrendszerért” című, 2020. május 20-i közleményében</w:t>
      </w:r>
      <w:r w:rsidRPr="009257D9">
        <w:rPr>
          <w:rStyle w:val="FootnoteReference"/>
        </w:rPr>
        <w:footnoteReference w:id="15"/>
      </w:r>
      <w:r w:rsidRPr="009257D9">
        <w:t xml:space="preserve"> bejelentette, hogy az „EU – e stratégia célkitűzéseivel és a fenntartható fejlődési célokkal összhangban – támogatni fogja a fenntartható agrár-élelmiszeripari rendszerekre való globális átállást”, és hogy „[e] stratégia révén az EU kulcsszerepet játszhat abban, hogy globális normákat határozzon meg”; mivel a Bizottság a stratégiában kifejezetten kijelentette, hogy „a fenntarthatóbb uniós élelmiszerrendszerhez kereskedelmi partnereink</w:t>
      </w:r>
      <w:proofErr w:type="gramEnd"/>
      <w:r w:rsidRPr="009257D9">
        <w:t xml:space="preserve"> </w:t>
      </w:r>
      <w:proofErr w:type="gramStart"/>
      <w:r w:rsidRPr="009257D9">
        <w:t>részéről</w:t>
      </w:r>
      <w:proofErr w:type="gramEnd"/>
      <w:r w:rsidRPr="009257D9">
        <w:t xml:space="preserve"> is egyre fenntarthatóbb gyakorlatokra van szükség. A biztonságosabb növényvédő szerek használata felé való fokozatos elmozdulás előmozdítása érdekében az EU – a WTO-szabályokkal összhangban és kockázatértékelést követően – fontolóra veszi a kizárási </w:t>
      </w:r>
      <w:proofErr w:type="gramStart"/>
      <w:r w:rsidRPr="009257D9">
        <w:t>kritériumoknak</w:t>
      </w:r>
      <w:proofErr w:type="gramEnd"/>
      <w:r w:rsidRPr="009257D9">
        <w:t xml:space="preserve"> megfelelő és az emberi egészségre nagy kockázatot jelentő anyagokra vonatkozó import tűréshatárok felülvizsgálatát.”</w:t>
      </w:r>
    </w:p>
    <w:p w:rsidR="005B7DF1" w:rsidRPr="009257D9" w:rsidRDefault="005B7DF1" w:rsidP="008A0242">
      <w:pPr>
        <w:pStyle w:val="NormalHanging12a"/>
        <w:widowControl/>
      </w:pPr>
      <w:r w:rsidRPr="009257D9">
        <w:t>R.</w:t>
      </w:r>
      <w:r w:rsidRPr="009257D9">
        <w:tab/>
        <w:t>mivel 2022-ben a Bizottság a legújabb technológiákkal mérhető legalacsonyabb szintre csökkentette</w:t>
      </w:r>
      <w:r w:rsidRPr="009257D9">
        <w:rPr>
          <w:rStyle w:val="FootnoteReference"/>
        </w:rPr>
        <w:footnoteReference w:id="16"/>
      </w:r>
      <w:r w:rsidRPr="009257D9">
        <w:t xml:space="preserve"> két olyan </w:t>
      </w:r>
      <w:proofErr w:type="spellStart"/>
      <w:r w:rsidRPr="009257D9">
        <w:t>neonikotinoid</w:t>
      </w:r>
      <w:proofErr w:type="spellEnd"/>
      <w:r w:rsidRPr="009257D9">
        <w:t xml:space="preserve"> maximális maradékanyag-határértékét, amelyek nagy kockázatot jelentenek a beporzókra nézve, aminek következtében az </w:t>
      </w:r>
      <w:proofErr w:type="gramStart"/>
      <w:r w:rsidRPr="009257D9">
        <w:t>importált</w:t>
      </w:r>
      <w:proofErr w:type="gramEnd"/>
      <w:r w:rsidRPr="009257D9">
        <w:t xml:space="preserve"> termékek már nem tartalmazhatják a </w:t>
      </w:r>
      <w:proofErr w:type="spellStart"/>
      <w:r w:rsidRPr="009257D9">
        <w:t>klotianidin</w:t>
      </w:r>
      <w:proofErr w:type="spellEnd"/>
      <w:r w:rsidRPr="009257D9">
        <w:t xml:space="preserve"> és a </w:t>
      </w:r>
      <w:proofErr w:type="spellStart"/>
      <w:r w:rsidRPr="009257D9">
        <w:t>tiametoxam</w:t>
      </w:r>
      <w:proofErr w:type="spellEnd"/>
      <w:r w:rsidRPr="009257D9">
        <w:t xml:space="preserve"> szermaradékait; </w:t>
      </w:r>
    </w:p>
    <w:p w:rsidR="005B7DF1" w:rsidRPr="009257D9" w:rsidRDefault="005B7DF1" w:rsidP="008A0242">
      <w:pPr>
        <w:pStyle w:val="NormalHanging12a"/>
        <w:widowControl/>
      </w:pPr>
      <w:r w:rsidRPr="009257D9">
        <w:t>S.</w:t>
      </w:r>
      <w:r w:rsidRPr="009257D9">
        <w:tab/>
      </w:r>
      <w:proofErr w:type="gramStart"/>
      <w:r w:rsidRPr="009257D9">
        <w:t xml:space="preserve">mivel ezzel összefüggésben a Bizottság azzal érvelt, hogy „a tárgy szempontjából releváns valamennyi tényezőt figyelembe véve, a 14. cikk (2) bekezdésének megfelelően, és e cikket az Európai Unió működéséről szóló szerződés azt előíró 11. cikkével összefüggésben értelmezve, hogy »a környezetvédelmi követelményeket – különösen a fenntartható fejlődés előmozdítására tekintettel – be kell illeszteni az uniós politikák és tevékenységek meghatározásába és végrehajtásába«, a </w:t>
      </w:r>
      <w:proofErr w:type="spellStart"/>
      <w:r w:rsidRPr="009257D9">
        <w:t>klotianidin</w:t>
      </w:r>
      <w:proofErr w:type="spellEnd"/>
      <w:r w:rsidRPr="009257D9">
        <w:t xml:space="preserve"> és/vagy a </w:t>
      </w:r>
      <w:proofErr w:type="spellStart"/>
      <w:r w:rsidRPr="009257D9">
        <w:t>tiametoxam</w:t>
      </w:r>
      <w:proofErr w:type="spellEnd"/>
      <w:r w:rsidRPr="009257D9">
        <w:t xml:space="preserve"> tekintetében a 396/2005/EK rendeletben meghatározott valamennyi jelenlegi maximális maradékanyag-határértéket</w:t>
      </w:r>
      <w:proofErr w:type="gramEnd"/>
      <w:r w:rsidRPr="009257D9">
        <w:t xml:space="preserve"> </w:t>
      </w:r>
      <w:proofErr w:type="gramStart"/>
      <w:r w:rsidRPr="009257D9">
        <w:t>a</w:t>
      </w:r>
      <w:proofErr w:type="gramEnd"/>
      <w:r w:rsidRPr="009257D9">
        <w:t xml:space="preserve"> kimutatási határértékre kell csökkenteni”</w:t>
      </w:r>
      <w:r w:rsidRPr="009257D9">
        <w:rPr>
          <w:rStyle w:val="FootnoteReference"/>
        </w:rPr>
        <w:footnoteReference w:id="17"/>
      </w:r>
      <w:r w:rsidRPr="009257D9">
        <w:t>;</w:t>
      </w:r>
    </w:p>
    <w:p w:rsidR="005B7DF1" w:rsidRPr="009257D9" w:rsidRDefault="005B7DF1" w:rsidP="008A0242">
      <w:pPr>
        <w:pStyle w:val="NormalHanging12a"/>
        <w:widowControl/>
      </w:pPr>
      <w:r w:rsidRPr="009257D9">
        <w:t>T.</w:t>
      </w:r>
      <w:r w:rsidRPr="009257D9">
        <w:tab/>
      </w:r>
      <w:proofErr w:type="gramStart"/>
      <w:r w:rsidRPr="009257D9">
        <w:t xml:space="preserve">mivel a Növények, Állatok, Élelmiszerek és Takarmányok Állandó Bizottsága 2023. május 10–11-én tartott ülésén „a Bizottság emlékeztetett arra, hogy a </w:t>
      </w:r>
      <w:proofErr w:type="spellStart"/>
      <w:r w:rsidRPr="009257D9">
        <w:t>tiakloprid</w:t>
      </w:r>
      <w:proofErr w:type="spellEnd"/>
      <w:r w:rsidRPr="009257D9">
        <w:t xml:space="preserve"> a </w:t>
      </w:r>
      <w:proofErr w:type="spellStart"/>
      <w:r w:rsidRPr="009257D9">
        <w:t>neonikotinoidok</w:t>
      </w:r>
      <w:proofErr w:type="spellEnd"/>
      <w:r w:rsidRPr="009257D9">
        <w:t xml:space="preserve"> hatóanyagainak csoportjába tartozik, [de] mivel a </w:t>
      </w:r>
      <w:proofErr w:type="spellStart"/>
      <w:r w:rsidRPr="009257D9">
        <w:t>klotianidintől</w:t>
      </w:r>
      <w:proofErr w:type="spellEnd"/>
      <w:r w:rsidRPr="009257D9">
        <w:t xml:space="preserve"> és a </w:t>
      </w:r>
      <w:proofErr w:type="spellStart"/>
      <w:r w:rsidRPr="009257D9">
        <w:t>tiametoxamtól</w:t>
      </w:r>
      <w:proofErr w:type="spellEnd"/>
      <w:r w:rsidRPr="009257D9">
        <w:t xml:space="preserve"> eltérő tulajdonságokkal rendelkezik, jelenleg nem ugyanazt a megközelítést kell követni, mint a </w:t>
      </w:r>
      <w:proofErr w:type="spellStart"/>
      <w:r w:rsidRPr="009257D9">
        <w:t>klotianidin</w:t>
      </w:r>
      <w:proofErr w:type="spellEnd"/>
      <w:r w:rsidRPr="009257D9">
        <w:t xml:space="preserve"> és a </w:t>
      </w:r>
      <w:proofErr w:type="spellStart"/>
      <w:r w:rsidRPr="009257D9">
        <w:t>tiametoxam</w:t>
      </w:r>
      <w:proofErr w:type="spellEnd"/>
      <w:r w:rsidRPr="009257D9">
        <w:t xml:space="preserve"> esetében, amely a „termelőtől a fogyasztóig” stratégiát valósítja meg azáltal, hogy valamennyi maximális maradékanyag-</w:t>
      </w:r>
      <w:proofErr w:type="spellStart"/>
      <w:r w:rsidRPr="009257D9">
        <w:t>határértékt</w:t>
      </w:r>
      <w:proofErr w:type="spellEnd"/>
      <w:r w:rsidRPr="009257D9">
        <w:t xml:space="preserve"> a meghatározási határra csökkenti”</w:t>
      </w:r>
      <w:r w:rsidRPr="009257D9">
        <w:rPr>
          <w:rStyle w:val="FootnoteReference"/>
        </w:rPr>
        <w:footnoteReference w:id="18"/>
      </w:r>
      <w:r w:rsidRPr="009257D9">
        <w:t>;</w:t>
      </w:r>
      <w:proofErr w:type="gramEnd"/>
    </w:p>
    <w:p w:rsidR="005B7DF1" w:rsidRPr="009257D9" w:rsidRDefault="005B7DF1" w:rsidP="008A0242">
      <w:pPr>
        <w:pStyle w:val="NormalHanging12a"/>
        <w:widowControl/>
      </w:pPr>
      <w:r w:rsidRPr="009257D9">
        <w:t>U.</w:t>
      </w:r>
      <w:r w:rsidRPr="009257D9">
        <w:tab/>
        <w:t xml:space="preserve">mivel a tudományos szakirodalom vitatja, hogy a </w:t>
      </w:r>
      <w:proofErr w:type="spellStart"/>
      <w:r w:rsidRPr="009257D9">
        <w:t>tiakloprid</w:t>
      </w:r>
      <w:proofErr w:type="spellEnd"/>
      <w:r w:rsidRPr="009257D9">
        <w:t xml:space="preserve"> más tulajdonságokkal rendelkezne, mint más </w:t>
      </w:r>
      <w:proofErr w:type="spellStart"/>
      <w:r w:rsidRPr="009257D9">
        <w:t>neonikotinoidok</w:t>
      </w:r>
      <w:proofErr w:type="spellEnd"/>
      <w:r w:rsidRPr="009257D9">
        <w:t xml:space="preserve">, és az eredmények azt mutatják, hogy „a </w:t>
      </w:r>
      <w:proofErr w:type="spellStart"/>
      <w:r w:rsidRPr="009257D9">
        <w:t>tiaklopridról</w:t>
      </w:r>
      <w:proofErr w:type="spellEnd"/>
      <w:r w:rsidRPr="009257D9">
        <w:t xml:space="preserve">, mint viszonylag </w:t>
      </w:r>
      <w:proofErr w:type="spellStart"/>
      <w:r w:rsidRPr="009257D9">
        <w:t>benigid</w:t>
      </w:r>
      <w:proofErr w:type="spellEnd"/>
      <w:r w:rsidRPr="009257D9">
        <w:t xml:space="preserve"> </w:t>
      </w:r>
      <w:proofErr w:type="spellStart"/>
      <w:r w:rsidRPr="009257D9">
        <w:t>neonikotinoidról</w:t>
      </w:r>
      <w:proofErr w:type="spellEnd"/>
      <w:r w:rsidRPr="009257D9">
        <w:t xml:space="preserve"> kialakult képet </w:t>
      </w:r>
      <w:proofErr w:type="gramStart"/>
      <w:r w:rsidRPr="009257D9">
        <w:t>ezentúl</w:t>
      </w:r>
      <w:proofErr w:type="gramEnd"/>
      <w:r w:rsidRPr="009257D9">
        <w:t xml:space="preserve"> meg kellene </w:t>
      </w:r>
      <w:proofErr w:type="spellStart"/>
      <w:r w:rsidRPr="009257D9">
        <w:t>kérdőjelezni</w:t>
      </w:r>
      <w:proofErr w:type="spellEnd"/>
      <w:r w:rsidRPr="009257D9">
        <w:t>”</w:t>
      </w:r>
      <w:r w:rsidRPr="009257D9">
        <w:rPr>
          <w:rStyle w:val="FootnoteReference"/>
        </w:rPr>
        <w:footnoteReference w:id="19"/>
      </w:r>
      <w:r w:rsidRPr="009257D9">
        <w:t>;</w:t>
      </w:r>
    </w:p>
    <w:p w:rsidR="005B7DF1" w:rsidRPr="009257D9" w:rsidRDefault="005B7DF1" w:rsidP="008A0242">
      <w:pPr>
        <w:pStyle w:val="NormalHanging12a"/>
        <w:widowControl/>
      </w:pPr>
      <w:r w:rsidRPr="009257D9">
        <w:t>V.</w:t>
      </w:r>
      <w:r w:rsidRPr="009257D9">
        <w:tab/>
        <w:t xml:space="preserve">mivel különösen a </w:t>
      </w:r>
      <w:proofErr w:type="spellStart"/>
      <w:r w:rsidRPr="009257D9">
        <w:t>tiaklopridnak</w:t>
      </w:r>
      <w:proofErr w:type="spellEnd"/>
      <w:r w:rsidRPr="009257D9">
        <w:t xml:space="preserve"> kitett poszméh-kolóniákról állapították meg, hogy nagyobb a valószínűsége annak, hogy idő előtt elpusztulnak, és azok, amelyek fennmaradtak </w:t>
      </w:r>
      <w:proofErr w:type="spellStart"/>
      <w:r w:rsidRPr="009257D9">
        <w:t>szubletális</w:t>
      </w:r>
      <w:proofErr w:type="spellEnd"/>
      <w:r w:rsidRPr="009257D9">
        <w:t xml:space="preserve"> hatásoktól szenvednek</w:t>
      </w:r>
      <w:r w:rsidRPr="009257D9">
        <w:rPr>
          <w:rStyle w:val="FootnoteReference"/>
        </w:rPr>
        <w:footnoteReference w:id="20"/>
      </w:r>
      <w:r w:rsidRPr="009257D9">
        <w:t xml:space="preserve">; mivel megállapítást nyert, hogy a </w:t>
      </w:r>
      <w:proofErr w:type="spellStart"/>
      <w:r w:rsidRPr="009257D9">
        <w:t>tiakloprid</w:t>
      </w:r>
      <w:proofErr w:type="spellEnd"/>
      <w:r w:rsidRPr="009257D9">
        <w:t xml:space="preserve"> az </w:t>
      </w:r>
      <w:proofErr w:type="spellStart"/>
      <w:r w:rsidRPr="009257D9">
        <w:t>imidaklopridhoz</w:t>
      </w:r>
      <w:proofErr w:type="spellEnd"/>
      <w:r w:rsidRPr="009257D9">
        <w:t xml:space="preserve">, a </w:t>
      </w:r>
      <w:proofErr w:type="spellStart"/>
      <w:r w:rsidRPr="009257D9">
        <w:t>klotianidinhez</w:t>
      </w:r>
      <w:proofErr w:type="spellEnd"/>
      <w:r w:rsidRPr="009257D9">
        <w:t xml:space="preserve"> és a </w:t>
      </w:r>
      <w:proofErr w:type="spellStart"/>
      <w:r w:rsidRPr="009257D9">
        <w:t>tiametoxamhoz</w:t>
      </w:r>
      <w:proofErr w:type="spellEnd"/>
      <w:r w:rsidRPr="009257D9">
        <w:t xml:space="preserve"> hasonlóan befolyásolja a mézelő méhek viselkedését és immunrendszerét</w:t>
      </w:r>
      <w:r w:rsidRPr="009257D9">
        <w:rPr>
          <w:rStyle w:val="FootnoteReference"/>
        </w:rPr>
        <w:footnoteReference w:id="21"/>
      </w:r>
      <w:r w:rsidRPr="009257D9">
        <w:rPr>
          <w:rStyle w:val="FootnoteReference"/>
        </w:rPr>
        <w:footnoteReference w:id="22"/>
      </w:r>
      <w:r w:rsidRPr="009257D9">
        <w:t>;</w:t>
      </w:r>
    </w:p>
    <w:p w:rsidR="005B7DF1" w:rsidRPr="009257D9" w:rsidRDefault="005B7DF1" w:rsidP="008A0242">
      <w:pPr>
        <w:pStyle w:val="NormalHanging12a"/>
        <w:widowControl/>
      </w:pPr>
      <w:r w:rsidRPr="009257D9">
        <w:t>W.</w:t>
      </w:r>
      <w:r w:rsidRPr="009257D9">
        <w:tab/>
      </w:r>
      <w:proofErr w:type="gramStart"/>
      <w:r w:rsidRPr="009257D9">
        <w:t>mivel</w:t>
      </w:r>
      <w:proofErr w:type="gramEnd"/>
      <w:r w:rsidRPr="009257D9">
        <w:t xml:space="preserve"> egyre több bizonyíték támasztja alá azt, hogy a </w:t>
      </w:r>
      <w:proofErr w:type="spellStart"/>
      <w:r w:rsidRPr="009257D9">
        <w:t>tiakloprid</w:t>
      </w:r>
      <w:proofErr w:type="spellEnd"/>
      <w:r w:rsidRPr="009257D9">
        <w:t xml:space="preserve"> használata pusztító hatást gyakorol a biológiai sokféleségre, és különösen a méhekre és más beporzókra</w:t>
      </w:r>
      <w:r w:rsidRPr="009257D9">
        <w:rPr>
          <w:rStyle w:val="FootnoteReference"/>
          <w:szCs w:val="24"/>
        </w:rPr>
        <w:footnoteReference w:id="23"/>
      </w:r>
      <w:r w:rsidRPr="009257D9">
        <w:t>;</w:t>
      </w:r>
    </w:p>
    <w:p w:rsidR="005B7DF1" w:rsidRPr="009257D9" w:rsidRDefault="005B7DF1" w:rsidP="008A0242">
      <w:pPr>
        <w:pStyle w:val="NormalHanging12a"/>
        <w:widowControl/>
      </w:pPr>
      <w:r w:rsidRPr="009257D9">
        <w:t>X.</w:t>
      </w:r>
      <w:r w:rsidRPr="009257D9">
        <w:tab/>
        <w:t>mivel 2019. október 22-i, a megújítás mellőzéséről szóló jelentésében</w:t>
      </w:r>
      <w:r w:rsidRPr="009257D9">
        <w:rPr>
          <w:rStyle w:val="FootnoteReference"/>
        </w:rPr>
        <w:footnoteReference w:id="24"/>
      </w:r>
      <w:r w:rsidRPr="009257D9">
        <w:t xml:space="preserve"> az EFSA arra a következtetésre jutott, hogy „a rendelkezésre álló </w:t>
      </w:r>
      <w:proofErr w:type="gramStart"/>
      <w:r w:rsidRPr="009257D9">
        <w:t>információk</w:t>
      </w:r>
      <w:proofErr w:type="gramEnd"/>
      <w:r w:rsidRPr="009257D9">
        <w:t xml:space="preserve"> nem elegendőek az 1107/2009/EK rendelet 4. cikkének (1)–(3) bekezdésében meghatározott követelmények teljesítéséhez”, és különösen, hogy „a méhekre vonatkozó kockázatértékelést nem lehetett véglegesíteni”;</w:t>
      </w:r>
    </w:p>
    <w:p w:rsidR="005B7DF1" w:rsidRPr="009257D9" w:rsidRDefault="005B7DF1" w:rsidP="008A0242">
      <w:pPr>
        <w:pStyle w:val="NormalHanging12a"/>
        <w:widowControl/>
      </w:pPr>
      <w:r w:rsidRPr="009257D9">
        <w:t>Y.</w:t>
      </w:r>
      <w:r w:rsidRPr="009257D9">
        <w:tab/>
        <w:t xml:space="preserve">mivel ezért a </w:t>
      </w:r>
      <w:proofErr w:type="spellStart"/>
      <w:r w:rsidRPr="009257D9">
        <w:t>tiaklopridra</w:t>
      </w:r>
      <w:proofErr w:type="spellEnd"/>
      <w:r w:rsidRPr="009257D9">
        <w:t xml:space="preserve"> </w:t>
      </w:r>
      <w:proofErr w:type="spellStart"/>
      <w:r w:rsidRPr="009257D9">
        <w:t>ugyanazoknak</w:t>
      </w:r>
      <w:proofErr w:type="spellEnd"/>
      <w:r w:rsidRPr="009257D9">
        <w:t xml:space="preserve"> az indokoknak és szabályoknak kell vonatkozniuk, mint a </w:t>
      </w:r>
      <w:proofErr w:type="spellStart"/>
      <w:r w:rsidRPr="009257D9">
        <w:t>klotianidinra</w:t>
      </w:r>
      <w:proofErr w:type="spellEnd"/>
      <w:r w:rsidRPr="009257D9">
        <w:t xml:space="preserve"> és a </w:t>
      </w:r>
      <w:proofErr w:type="spellStart"/>
      <w:r w:rsidRPr="009257D9">
        <w:t>tiametoxamra</w:t>
      </w:r>
      <w:proofErr w:type="spellEnd"/>
      <w:r w:rsidRPr="009257D9">
        <w:t>;</w:t>
      </w:r>
    </w:p>
    <w:p w:rsidR="005B7DF1" w:rsidRPr="009257D9" w:rsidRDefault="005B7DF1" w:rsidP="008A0242">
      <w:pPr>
        <w:pStyle w:val="NormalHanging12a"/>
        <w:widowControl/>
      </w:pPr>
      <w:r w:rsidRPr="009257D9">
        <w:t>Z.</w:t>
      </w:r>
      <w:r w:rsidRPr="009257D9">
        <w:tab/>
        <w:t xml:space="preserve">mivel a Bizottságnak a rendelkezésre álló tudományos </w:t>
      </w:r>
      <w:proofErr w:type="gramStart"/>
      <w:r w:rsidRPr="009257D9">
        <w:t>információk</w:t>
      </w:r>
      <w:proofErr w:type="gramEnd"/>
      <w:r w:rsidRPr="009257D9">
        <w:t xml:space="preserve"> alapján védenie kell a környezetet és az uniós polgárokat, kihasználva azokat a kötelezettségeket és jogi lehetőségeket, amelyeket a 396/2005/EK rendelet és a 178/2002/EK rendelet ír elő az emberi és állati egészség, valamint a környezet magas szintű védelmének biztosítása érdekében;</w:t>
      </w:r>
    </w:p>
    <w:p w:rsidR="005B7DF1" w:rsidRPr="009257D9" w:rsidRDefault="005B7DF1" w:rsidP="008A0242">
      <w:pPr>
        <w:pStyle w:val="NormalHanging12a"/>
        <w:widowControl/>
      </w:pPr>
      <w:r w:rsidRPr="009257D9">
        <w:t>AA.</w:t>
      </w:r>
      <w:r w:rsidRPr="009257D9">
        <w:tab/>
        <w:t xml:space="preserve">mivel a javasolt maximális maradékanyag-határértékek nem védik az uniós polgárok egészségét, és nem biztosítanak magas szintű védelmet a méhek és más beporzók számára, és </w:t>
      </w:r>
      <w:proofErr w:type="gramStart"/>
      <w:r w:rsidRPr="009257D9">
        <w:t>ezáltal</w:t>
      </w:r>
      <w:proofErr w:type="gramEnd"/>
      <w:r w:rsidRPr="009257D9">
        <w:t xml:space="preserve"> ellentétesek a 396/2005/EK és a 178/2002/EK rendelettel;</w:t>
      </w:r>
    </w:p>
    <w:p w:rsidR="005B7DF1" w:rsidRPr="009257D9" w:rsidRDefault="005B7DF1" w:rsidP="008A0242">
      <w:pPr>
        <w:pStyle w:val="NormalHanging12a"/>
        <w:widowControl/>
      </w:pPr>
      <w:r w:rsidRPr="009257D9">
        <w:t>AB.</w:t>
      </w:r>
      <w:r w:rsidRPr="009257D9">
        <w:tab/>
      </w:r>
      <w:proofErr w:type="gramStart"/>
      <w:r w:rsidRPr="009257D9">
        <w:t xml:space="preserve">mivel nem indokolt maximális maradékanyag-határértékeket megállapítani azokra a hatóanyagokra, amelyeket egészségügyi okokból nem hagytak jóvá az Unióban; mivel ezért nem szabad import tűréshatárokat megállapítani a </w:t>
      </w:r>
      <w:proofErr w:type="spellStart"/>
      <w:r w:rsidRPr="009257D9">
        <w:t>tiaklopridra</w:t>
      </w:r>
      <w:proofErr w:type="spellEnd"/>
      <w:r w:rsidRPr="009257D9">
        <w:t xml:space="preserve">, mivel az 1B. kategóriájú, reprodukciót károsító anyagként van besorolva; mivel továbbá a </w:t>
      </w:r>
      <w:proofErr w:type="spellStart"/>
      <w:r w:rsidRPr="009257D9">
        <w:t>tiakloprid</w:t>
      </w:r>
      <w:proofErr w:type="spellEnd"/>
      <w:r w:rsidRPr="009257D9">
        <w:t xml:space="preserve"> 1B. kategóriába tartozó, reprodukciót károsító anyagként való besorolásának elegendő indoknak kellett volna lennie ahhoz, hogy a Bizottság elutasítsa a harmadik országok polgárainak egészségét érintő kockázatokra vonatkozó behozatali tűréshatárok iránti kérelmeket;</w:t>
      </w:r>
      <w:proofErr w:type="gramEnd"/>
      <w:r w:rsidRPr="009257D9">
        <w:t xml:space="preserve"> </w:t>
      </w:r>
    </w:p>
    <w:p w:rsidR="005B7DF1" w:rsidRPr="009257D9" w:rsidRDefault="005B7DF1" w:rsidP="008A0242">
      <w:pPr>
        <w:pStyle w:val="NormalHanging12a"/>
        <w:widowControl/>
      </w:pPr>
      <w:r w:rsidRPr="009257D9">
        <w:t>1.</w:t>
      </w:r>
      <w:r w:rsidRPr="009257D9">
        <w:tab/>
      </w:r>
      <w:proofErr w:type="spellStart"/>
      <w:r w:rsidRPr="009257D9">
        <w:t>ellenzi</w:t>
      </w:r>
      <w:proofErr w:type="spellEnd"/>
      <w:r w:rsidRPr="009257D9">
        <w:t xml:space="preserve"> a tanácsi rendeletre irányuló javaslat elfogadását;</w:t>
      </w:r>
    </w:p>
    <w:p w:rsidR="005B7DF1" w:rsidRPr="009257D9" w:rsidRDefault="005B7DF1" w:rsidP="008A0242">
      <w:pPr>
        <w:pStyle w:val="NormalHanging12a"/>
        <w:widowControl/>
      </w:pPr>
      <w:r w:rsidRPr="009257D9">
        <w:t>2.</w:t>
      </w:r>
      <w:r w:rsidRPr="009257D9">
        <w:tab/>
        <w:t>úgy véli, hogy a tanácsi rendeletre irányuló javaslat nem egyeztethető össze a 396/2005/EK és a 178/2002/EK rendelet céljával és tartalmával, valamint az 1107/2009/EK rendelettel, többek között annak II. melléklete 3.6.4. pontjával;</w:t>
      </w:r>
    </w:p>
    <w:p w:rsidR="005B7DF1" w:rsidRPr="009257D9" w:rsidRDefault="005B7DF1" w:rsidP="008A0242">
      <w:pPr>
        <w:pStyle w:val="NormalHanging12a"/>
        <w:widowControl/>
      </w:pPr>
      <w:r w:rsidRPr="009257D9">
        <w:t>3.</w:t>
      </w:r>
      <w:r w:rsidRPr="009257D9">
        <w:tab/>
        <w:t>felkéri a Bizottságot, hogy vonja vissza a tanácsi rendeletre irányuló javaslatot;</w:t>
      </w:r>
    </w:p>
    <w:p w:rsidR="005B7DF1" w:rsidRPr="009257D9" w:rsidRDefault="005B7DF1" w:rsidP="008A0242">
      <w:pPr>
        <w:pStyle w:val="NormalHanging12a"/>
        <w:widowControl/>
      </w:pPr>
      <w:r w:rsidRPr="009257D9">
        <w:t>4.</w:t>
      </w:r>
      <w:r w:rsidRPr="009257D9">
        <w:tab/>
        <w:t xml:space="preserve">felhívja a Bizottságot, hogy nyújtson be új tervezetet a bizottságnak a </w:t>
      </w:r>
      <w:proofErr w:type="spellStart"/>
      <w:r w:rsidRPr="009257D9">
        <w:t>tiaklopridra</w:t>
      </w:r>
      <w:proofErr w:type="spellEnd"/>
      <w:r w:rsidRPr="009257D9">
        <w:t xml:space="preserve"> vonatkozó valamennyi maximális maradékanyag-határértéknek a meghatározási határra való csökkentéséről valamennyi felhasználás tekintetében, és utasítsa el az </w:t>
      </w:r>
      <w:proofErr w:type="gramStart"/>
      <w:r w:rsidRPr="009257D9">
        <w:t>import</w:t>
      </w:r>
      <w:proofErr w:type="gramEnd"/>
      <w:r w:rsidRPr="009257D9">
        <w:t xml:space="preserve"> tűréshatárokra vonatkozó kérelmeket;</w:t>
      </w:r>
    </w:p>
    <w:p w:rsidR="005B7DF1" w:rsidRPr="00CB59E7" w:rsidRDefault="005B7DF1" w:rsidP="008A0242">
      <w:pPr>
        <w:widowControl/>
        <w:spacing w:after="240"/>
        <w:ind w:left="567" w:hanging="567"/>
      </w:pPr>
      <w:r w:rsidRPr="009257D9">
        <w:t>5.</w:t>
      </w:r>
      <w:r w:rsidRPr="009257D9">
        <w:tab/>
        <w:t>utasítja elnökét, hogy továbbítsa ezt az állásfoglalást a Tanácsnak és a Bizottságnak, valamint a tagállamok kormányainak és parlamentjeinek.</w:t>
      </w:r>
    </w:p>
    <w:p w:rsidR="00E365E1" w:rsidRPr="00CB59E7" w:rsidRDefault="00E365E1" w:rsidP="008A0242">
      <w:pPr>
        <w:widowControl/>
        <w:spacing w:after="240"/>
        <w:ind w:left="567" w:hanging="567"/>
      </w:pPr>
      <w:bookmarkStart w:id="7" w:name="TextBodyEnd"/>
      <w:bookmarkStart w:id="8" w:name="_GoBack"/>
      <w:bookmarkEnd w:id="7"/>
      <w:bookmarkEnd w:id="8"/>
    </w:p>
    <w:sectPr w:rsidR="00E365E1" w:rsidRPr="00CB59E7" w:rsidSect="00CB59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74E" w:rsidRPr="00CB59E7" w:rsidRDefault="000E574E">
      <w:r w:rsidRPr="00CB59E7">
        <w:separator/>
      </w:r>
    </w:p>
  </w:endnote>
  <w:endnote w:type="continuationSeparator" w:id="0">
    <w:p w:rsidR="000E574E" w:rsidRPr="00CB59E7" w:rsidRDefault="000E574E">
      <w:r w:rsidRPr="00CB59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59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59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59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74E" w:rsidRPr="00CB59E7" w:rsidRDefault="000E574E">
      <w:r w:rsidRPr="00CB59E7">
        <w:separator/>
      </w:r>
    </w:p>
  </w:footnote>
  <w:footnote w:type="continuationSeparator" w:id="0">
    <w:p w:rsidR="000E574E" w:rsidRPr="00CB59E7" w:rsidRDefault="000E574E">
      <w:r w:rsidRPr="00CB59E7">
        <w:continuationSeparator/>
      </w:r>
    </w:p>
  </w:footnote>
  <w:footnote w:id="1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>HL L 70., 2005.3.16</w:t>
      </w:r>
      <w:proofErr w:type="gramStart"/>
      <w:r w:rsidRPr="00CB59E7">
        <w:rPr>
          <w:sz w:val="24"/>
          <w:lang w:val="hu-HU"/>
        </w:rPr>
        <w:t>.,</w:t>
      </w:r>
      <w:proofErr w:type="gramEnd"/>
      <w:r w:rsidRPr="00CB59E7">
        <w:rPr>
          <w:sz w:val="24"/>
          <w:lang w:val="hu-HU"/>
        </w:rPr>
        <w:t xml:space="preserve"> 1. o.</w:t>
      </w:r>
    </w:p>
  </w:footnote>
  <w:footnote w:id="2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>HL L 309., 2009.11.24</w:t>
      </w:r>
      <w:proofErr w:type="gramStart"/>
      <w:r w:rsidRPr="00CB59E7">
        <w:rPr>
          <w:sz w:val="24"/>
          <w:lang w:val="hu-HU"/>
        </w:rPr>
        <w:t>.,</w:t>
      </w:r>
      <w:proofErr w:type="gramEnd"/>
      <w:r w:rsidRPr="00CB59E7">
        <w:rPr>
          <w:sz w:val="24"/>
          <w:lang w:val="hu-HU"/>
        </w:rPr>
        <w:t xml:space="preserve"> 1. o.</w:t>
      </w:r>
    </w:p>
  </w:footnote>
  <w:footnote w:id="3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>HL L 31</w:t>
      </w:r>
      <w:proofErr w:type="gramStart"/>
      <w:r w:rsidRPr="00CB59E7">
        <w:rPr>
          <w:sz w:val="24"/>
          <w:lang w:val="hu-HU"/>
        </w:rPr>
        <w:t>.,</w:t>
      </w:r>
      <w:proofErr w:type="gramEnd"/>
      <w:r w:rsidRPr="00CB59E7">
        <w:rPr>
          <w:sz w:val="24"/>
          <w:lang w:val="hu-HU"/>
        </w:rPr>
        <w:t xml:space="preserve"> 2002.2.1., 1. o.</w:t>
      </w:r>
    </w:p>
  </w:footnote>
  <w:footnote w:id="4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 xml:space="preserve">European </w:t>
      </w:r>
      <w:proofErr w:type="spellStart"/>
      <w:r w:rsidRPr="00CB59E7">
        <w:rPr>
          <w:sz w:val="24"/>
          <w:lang w:val="hu-HU"/>
        </w:rPr>
        <w:t>Food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Safety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Authority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Statement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on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the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short-term</w:t>
      </w:r>
      <w:proofErr w:type="spellEnd"/>
      <w:r w:rsidRPr="00CB59E7">
        <w:rPr>
          <w:sz w:val="24"/>
          <w:lang w:val="hu-HU"/>
        </w:rPr>
        <w:t xml:space="preserve"> (</w:t>
      </w:r>
      <w:proofErr w:type="spellStart"/>
      <w:r w:rsidRPr="00CB59E7">
        <w:rPr>
          <w:sz w:val="24"/>
          <w:lang w:val="hu-HU"/>
        </w:rPr>
        <w:t>acute</w:t>
      </w:r>
      <w:proofErr w:type="spellEnd"/>
      <w:r w:rsidRPr="00CB59E7">
        <w:rPr>
          <w:sz w:val="24"/>
          <w:lang w:val="hu-HU"/>
        </w:rPr>
        <w:t xml:space="preserve">) </w:t>
      </w:r>
      <w:proofErr w:type="spellStart"/>
      <w:r w:rsidRPr="00CB59E7">
        <w:rPr>
          <w:sz w:val="24"/>
          <w:lang w:val="hu-HU"/>
        </w:rPr>
        <w:t>dietary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risk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assessment</w:t>
      </w:r>
      <w:proofErr w:type="spellEnd"/>
      <w:r w:rsidRPr="00CB59E7">
        <w:rPr>
          <w:sz w:val="24"/>
          <w:lang w:val="hu-HU"/>
        </w:rPr>
        <w:t xml:space="preserve"> and </w:t>
      </w:r>
      <w:proofErr w:type="spellStart"/>
      <w:r w:rsidRPr="00CB59E7">
        <w:rPr>
          <w:sz w:val="24"/>
          <w:lang w:val="hu-HU"/>
        </w:rPr>
        <w:t>evaluation</w:t>
      </w:r>
      <w:proofErr w:type="spellEnd"/>
      <w:r w:rsidRPr="00CB59E7">
        <w:rPr>
          <w:sz w:val="24"/>
          <w:lang w:val="hu-HU"/>
        </w:rPr>
        <w:t xml:space="preserve"> of </w:t>
      </w:r>
      <w:proofErr w:type="spellStart"/>
      <w:r w:rsidRPr="00CB59E7">
        <w:rPr>
          <w:sz w:val="24"/>
          <w:lang w:val="hu-HU"/>
        </w:rPr>
        <w:t>confirmatory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data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for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certain</w:t>
      </w:r>
      <w:proofErr w:type="spellEnd"/>
      <w:r w:rsidRPr="00CB59E7">
        <w:rPr>
          <w:sz w:val="24"/>
          <w:lang w:val="hu-HU"/>
        </w:rPr>
        <w:t xml:space="preserve"> maximum </w:t>
      </w:r>
      <w:proofErr w:type="spellStart"/>
      <w:r w:rsidRPr="00CB59E7">
        <w:rPr>
          <w:sz w:val="24"/>
          <w:lang w:val="hu-HU"/>
        </w:rPr>
        <w:t>residue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levels</w:t>
      </w:r>
      <w:proofErr w:type="spellEnd"/>
      <w:r w:rsidRPr="00CB59E7">
        <w:rPr>
          <w:sz w:val="24"/>
          <w:lang w:val="hu-HU"/>
        </w:rPr>
        <w:t xml:space="preserve"> (</w:t>
      </w:r>
      <w:proofErr w:type="spellStart"/>
      <w:r w:rsidRPr="00CB59E7">
        <w:rPr>
          <w:sz w:val="24"/>
          <w:lang w:val="hu-HU"/>
        </w:rPr>
        <w:t>MRLs</w:t>
      </w:r>
      <w:proofErr w:type="spellEnd"/>
      <w:r w:rsidRPr="00CB59E7">
        <w:rPr>
          <w:sz w:val="24"/>
          <w:lang w:val="hu-HU"/>
        </w:rPr>
        <w:t xml:space="preserve">) </w:t>
      </w:r>
      <w:proofErr w:type="spellStart"/>
      <w:r w:rsidRPr="00CB59E7">
        <w:rPr>
          <w:sz w:val="24"/>
          <w:lang w:val="hu-HU"/>
        </w:rPr>
        <w:t>for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thiacloprid</w:t>
      </w:r>
      <w:proofErr w:type="spellEnd"/>
      <w:r w:rsidRPr="00CB59E7">
        <w:rPr>
          <w:sz w:val="24"/>
          <w:lang w:val="hu-HU"/>
        </w:rPr>
        <w:t xml:space="preserve"> (Az Európai Élelmiszerbiztonsági Hatóság nyilatkozata a </w:t>
      </w:r>
      <w:proofErr w:type="spellStart"/>
      <w:r w:rsidRPr="00CB59E7">
        <w:rPr>
          <w:sz w:val="24"/>
          <w:lang w:val="hu-HU"/>
        </w:rPr>
        <w:t>tiakloprid</w:t>
      </w:r>
      <w:proofErr w:type="spellEnd"/>
      <w:r w:rsidRPr="00CB59E7">
        <w:rPr>
          <w:sz w:val="24"/>
          <w:lang w:val="hu-HU"/>
        </w:rPr>
        <w:t xml:space="preserve"> egyes megengedett szermaradék-határértékeit illetően a táplálkozással kapcsolatos, rövid távú (</w:t>
      </w:r>
      <w:proofErr w:type="gramStart"/>
      <w:r w:rsidRPr="00CB59E7">
        <w:rPr>
          <w:sz w:val="24"/>
          <w:lang w:val="hu-HU"/>
        </w:rPr>
        <w:t>akut</w:t>
      </w:r>
      <w:proofErr w:type="gramEnd"/>
      <w:r w:rsidRPr="00CB59E7">
        <w:rPr>
          <w:sz w:val="24"/>
          <w:lang w:val="hu-HU"/>
        </w:rPr>
        <w:t xml:space="preserve">) kockázatok értékeléséről és a megerősítő adatok értékeléséről), </w:t>
      </w:r>
      <w:hyperlink r:id="rId1" w:history="1">
        <w:r w:rsidRPr="00CB59E7">
          <w:rPr>
            <w:rStyle w:val="Hyperlink"/>
            <w:sz w:val="24"/>
            <w:lang w:val="hu-HU"/>
          </w:rPr>
          <w:t>https://doi.org/10.2903/j.efsa.2023.7888</w:t>
        </w:r>
      </w:hyperlink>
      <w:r w:rsidRPr="00CB59E7">
        <w:rPr>
          <w:sz w:val="24"/>
          <w:lang w:val="hu-HU"/>
        </w:rPr>
        <w:t>..</w:t>
      </w:r>
    </w:p>
  </w:footnote>
  <w:footnote w:id="5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 xml:space="preserve">EFSA </w:t>
      </w:r>
      <w:proofErr w:type="spellStart"/>
      <w:r w:rsidRPr="00CB59E7">
        <w:rPr>
          <w:sz w:val="24"/>
          <w:lang w:val="hu-HU"/>
        </w:rPr>
        <w:t>Conclusion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on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the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peer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review</w:t>
      </w:r>
      <w:proofErr w:type="spellEnd"/>
      <w:r w:rsidRPr="00CB59E7">
        <w:rPr>
          <w:sz w:val="24"/>
          <w:lang w:val="hu-HU"/>
        </w:rPr>
        <w:t xml:space="preserve"> of </w:t>
      </w:r>
      <w:proofErr w:type="spellStart"/>
      <w:r w:rsidRPr="00CB59E7">
        <w:rPr>
          <w:sz w:val="24"/>
          <w:lang w:val="hu-HU"/>
        </w:rPr>
        <w:t>the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pesticide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risk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assessment</w:t>
      </w:r>
      <w:proofErr w:type="spellEnd"/>
      <w:r w:rsidRPr="00CB59E7">
        <w:rPr>
          <w:sz w:val="24"/>
          <w:lang w:val="hu-HU"/>
        </w:rPr>
        <w:t xml:space="preserve"> of </w:t>
      </w:r>
      <w:proofErr w:type="spellStart"/>
      <w:r w:rsidRPr="00CB59E7">
        <w:rPr>
          <w:sz w:val="24"/>
          <w:lang w:val="hu-HU"/>
        </w:rPr>
        <w:t>the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active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substance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tiacloprid</w:t>
      </w:r>
      <w:proofErr w:type="spellEnd"/>
      <w:r w:rsidRPr="00CB59E7">
        <w:rPr>
          <w:sz w:val="24"/>
          <w:lang w:val="hu-HU"/>
        </w:rPr>
        <w:t xml:space="preserve"> (A </w:t>
      </w:r>
      <w:proofErr w:type="spellStart"/>
      <w:r w:rsidRPr="00CB59E7">
        <w:rPr>
          <w:sz w:val="24"/>
          <w:lang w:val="hu-HU"/>
        </w:rPr>
        <w:t>tiakloprid</w:t>
      </w:r>
      <w:proofErr w:type="spellEnd"/>
      <w:r w:rsidRPr="00CB59E7">
        <w:rPr>
          <w:sz w:val="24"/>
          <w:lang w:val="hu-HU"/>
        </w:rPr>
        <w:t xml:space="preserve"> hatóanyagú növényvédő szereknél felmerülő kockázatok értékelésének szakmai vizsgálatából levont következtetés), EFSA Journal 2019</w:t>
      </w:r>
      <w:proofErr w:type="gramStart"/>
      <w:r w:rsidRPr="00CB59E7">
        <w:rPr>
          <w:sz w:val="24"/>
          <w:lang w:val="hu-HU"/>
        </w:rPr>
        <w:t>;17</w:t>
      </w:r>
      <w:proofErr w:type="gramEnd"/>
      <w:r w:rsidRPr="00CB59E7">
        <w:rPr>
          <w:sz w:val="24"/>
          <w:lang w:val="hu-HU"/>
        </w:rPr>
        <w:t xml:space="preserve">(3):5595, </w:t>
      </w:r>
      <w:hyperlink r:id="rId2" w:history="1">
        <w:r w:rsidRPr="00CB59E7">
          <w:rPr>
            <w:rStyle w:val="Hyperlink"/>
            <w:sz w:val="24"/>
            <w:lang w:val="hu-HU"/>
          </w:rPr>
          <w:t>https://doi.org/10.2903/j.efsa.2019.5595</w:t>
        </w:r>
      </w:hyperlink>
      <w:r w:rsidRPr="00CB59E7">
        <w:rPr>
          <w:sz w:val="24"/>
          <w:lang w:val="hu-HU"/>
        </w:rPr>
        <w:t>..</w:t>
      </w:r>
    </w:p>
  </w:footnote>
  <w:footnote w:id="6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 xml:space="preserve">A kockázatértékelési bizottság véleménye, amely a </w:t>
      </w:r>
      <w:proofErr w:type="spellStart"/>
      <w:r w:rsidRPr="00CB59E7">
        <w:rPr>
          <w:sz w:val="24"/>
          <w:lang w:val="hu-HU"/>
        </w:rPr>
        <w:t>tiakloprid</w:t>
      </w:r>
      <w:proofErr w:type="spellEnd"/>
      <w:r w:rsidRPr="00CB59E7">
        <w:rPr>
          <w:sz w:val="24"/>
          <w:lang w:val="hu-HU"/>
        </w:rPr>
        <w:t xml:space="preserve"> (ISO) uniós szintű harmonizált osztályozását és címkézését javasolja; П(2Z)-3-[(6-klórpiridin-3-il</w:t>
      </w:r>
      <w:proofErr w:type="gramStart"/>
      <w:r w:rsidRPr="00CB59E7">
        <w:rPr>
          <w:sz w:val="24"/>
          <w:lang w:val="hu-HU"/>
        </w:rPr>
        <w:t>)metil</w:t>
      </w:r>
      <w:proofErr w:type="gramEnd"/>
      <w:r w:rsidRPr="00CB59E7">
        <w:rPr>
          <w:sz w:val="24"/>
          <w:lang w:val="hu-HU"/>
        </w:rPr>
        <w:t>]-1,3-tiaz olidin-2-ilidén-ciánamid,</w:t>
      </w:r>
      <w:hyperlink r:id="rId3" w:history="1">
        <w:r w:rsidRPr="00CB59E7">
          <w:rPr>
            <w:rStyle w:val="Hyperlink"/>
            <w:sz w:val="24"/>
            <w:lang w:val="hu-HU"/>
          </w:rPr>
          <w:t>https://echa.europa.eu/registry-of-clh-intentions-until-outcome/-/dislist/details/0b0236e180638ff8</w:t>
        </w:r>
      </w:hyperlink>
      <w:r w:rsidRPr="00CB59E7">
        <w:rPr>
          <w:sz w:val="24"/>
          <w:lang w:val="hu-HU"/>
        </w:rPr>
        <w:t>.</w:t>
      </w:r>
    </w:p>
  </w:footnote>
  <w:footnote w:id="7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>HL L 184., 1999.7.17</w:t>
      </w:r>
      <w:proofErr w:type="gramStart"/>
      <w:r w:rsidRPr="00CB59E7">
        <w:rPr>
          <w:sz w:val="24"/>
          <w:lang w:val="hu-HU"/>
        </w:rPr>
        <w:t>.,</w:t>
      </w:r>
      <w:proofErr w:type="gramEnd"/>
      <w:r w:rsidRPr="00CB59E7">
        <w:rPr>
          <w:sz w:val="24"/>
          <w:lang w:val="hu-HU"/>
        </w:rPr>
        <w:t xml:space="preserve"> 23. o.</w:t>
      </w:r>
    </w:p>
  </w:footnote>
  <w:footnote w:id="8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 xml:space="preserve">A Bizottság (EU) 2020/23 végrehajtási rendelete (2020. január 13.) a </w:t>
      </w:r>
      <w:proofErr w:type="spellStart"/>
      <w:r w:rsidRPr="00CB59E7">
        <w:rPr>
          <w:sz w:val="24"/>
          <w:lang w:val="hu-HU"/>
        </w:rPr>
        <w:t>tiakloprid</w:t>
      </w:r>
      <w:proofErr w:type="spellEnd"/>
      <w:r w:rsidRPr="00CB59E7">
        <w:rPr>
          <w:sz w:val="24"/>
          <w:lang w:val="hu-HU"/>
        </w:rPr>
        <w:t xml:space="preserve"> hatóanyag jóváhagyásának a növényvédő szerek forgalomba hozataláról szóló 1107/2009/EK európai parlamenti és tanácsi rendelet szerinti meg nem hosszabbításáról, valamint az 540/2011/EU bizottsági végrehajtási rendelet mellékletének módosításáról (HL L 8</w:t>
      </w:r>
      <w:proofErr w:type="gramStart"/>
      <w:r w:rsidRPr="00CB59E7">
        <w:rPr>
          <w:sz w:val="24"/>
          <w:lang w:val="hu-HU"/>
        </w:rPr>
        <w:t>.,</w:t>
      </w:r>
      <w:proofErr w:type="gramEnd"/>
      <w:r w:rsidRPr="00CB59E7">
        <w:rPr>
          <w:sz w:val="24"/>
          <w:lang w:val="hu-HU"/>
        </w:rPr>
        <w:t xml:space="preserve"> 2020.1.14., 8. o.).</w:t>
      </w:r>
    </w:p>
  </w:footnote>
  <w:footnote w:id="9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>Az EFSA 2019. január 17-i következtetései.</w:t>
      </w:r>
    </w:p>
  </w:footnote>
  <w:footnote w:id="10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>Az Európai Parlament és a Tanács 1272/2008/EK rendelete (2008. december 16.) az anyagok és keverékek osztályozásáról, címkézéséről és csomagolásáról, a 67/548/EGK és az 1999/45/EK irányelv módosításáról és hatályon kívül helyezéséről, valamint az 1907/2006/EK rendelet módosításáról (HL L 353., 2008.12.31</w:t>
      </w:r>
      <w:proofErr w:type="gramStart"/>
      <w:r w:rsidRPr="00CB59E7">
        <w:rPr>
          <w:sz w:val="24"/>
          <w:lang w:val="hu-HU"/>
        </w:rPr>
        <w:t>.,</w:t>
      </w:r>
      <w:proofErr w:type="gramEnd"/>
      <w:r w:rsidRPr="00CB59E7">
        <w:rPr>
          <w:sz w:val="24"/>
          <w:lang w:val="hu-HU"/>
        </w:rPr>
        <w:t xml:space="preserve"> 1. o.).</w:t>
      </w:r>
    </w:p>
  </w:footnote>
  <w:footnote w:id="11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 xml:space="preserve">A PAFF bizottság 2023. szeptember 18–19-i ülésének összefoglaló jelentése, </w:t>
      </w:r>
      <w:hyperlink r:id="rId4" w:history="1">
        <w:r w:rsidRPr="00CB59E7">
          <w:rPr>
            <w:rStyle w:val="Hyperlink"/>
            <w:sz w:val="24"/>
            <w:lang w:val="hu-HU"/>
          </w:rPr>
          <w:t>https://ec.europa.eu/transparency/comitology-register/screen/documents/092486/1/consult?lang=en</w:t>
        </w:r>
      </w:hyperlink>
      <w:r w:rsidRPr="00CB59E7">
        <w:rPr>
          <w:sz w:val="24"/>
          <w:lang w:val="hu-HU"/>
        </w:rPr>
        <w:t>.</w:t>
      </w:r>
    </w:p>
  </w:footnote>
  <w:footnote w:id="12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>Ibid.</w:t>
      </w:r>
    </w:p>
  </w:footnote>
  <w:footnote w:id="13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>Az EFSA 2023. február 9-i, indokolással ellátott véleménye.</w:t>
      </w:r>
    </w:p>
  </w:footnote>
  <w:footnote w:id="14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 xml:space="preserve">Van der </w:t>
      </w:r>
      <w:proofErr w:type="spellStart"/>
      <w:r w:rsidRPr="00CB59E7">
        <w:rPr>
          <w:sz w:val="24"/>
          <w:lang w:val="hu-HU"/>
        </w:rPr>
        <w:t>Sluijs</w:t>
      </w:r>
      <w:proofErr w:type="spellEnd"/>
      <w:r w:rsidRPr="00CB59E7">
        <w:rPr>
          <w:sz w:val="24"/>
          <w:lang w:val="hu-HU"/>
        </w:rPr>
        <w:t xml:space="preserve">, J.P., </w:t>
      </w:r>
      <w:proofErr w:type="spellStart"/>
      <w:r w:rsidRPr="00CB59E7">
        <w:rPr>
          <w:sz w:val="24"/>
          <w:lang w:val="hu-HU"/>
        </w:rPr>
        <w:t>Vaage</w:t>
      </w:r>
      <w:proofErr w:type="spellEnd"/>
      <w:r w:rsidRPr="00CB59E7">
        <w:rPr>
          <w:sz w:val="24"/>
          <w:lang w:val="hu-HU"/>
        </w:rPr>
        <w:t>, N.S., „</w:t>
      </w:r>
      <w:proofErr w:type="spellStart"/>
      <w:r w:rsidRPr="00CB59E7">
        <w:rPr>
          <w:sz w:val="24"/>
          <w:lang w:val="hu-HU"/>
        </w:rPr>
        <w:t>Pollinators</w:t>
      </w:r>
      <w:proofErr w:type="spellEnd"/>
      <w:r w:rsidRPr="00CB59E7">
        <w:rPr>
          <w:sz w:val="24"/>
          <w:lang w:val="hu-HU"/>
        </w:rPr>
        <w:t xml:space="preserve"> and Global </w:t>
      </w:r>
      <w:proofErr w:type="spellStart"/>
      <w:r w:rsidRPr="00CB59E7">
        <w:rPr>
          <w:sz w:val="24"/>
          <w:lang w:val="hu-HU"/>
        </w:rPr>
        <w:t>Food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Security</w:t>
      </w:r>
      <w:proofErr w:type="spellEnd"/>
      <w:r w:rsidRPr="00CB59E7">
        <w:rPr>
          <w:sz w:val="24"/>
          <w:lang w:val="hu-HU"/>
        </w:rPr>
        <w:t xml:space="preserve">: </w:t>
      </w:r>
      <w:proofErr w:type="spellStart"/>
      <w:r w:rsidRPr="00CB59E7">
        <w:rPr>
          <w:sz w:val="24"/>
          <w:lang w:val="hu-HU"/>
        </w:rPr>
        <w:t>the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Need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for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Holistic</w:t>
      </w:r>
      <w:proofErr w:type="spellEnd"/>
      <w:r w:rsidRPr="00CB59E7">
        <w:rPr>
          <w:sz w:val="24"/>
          <w:lang w:val="hu-HU"/>
        </w:rPr>
        <w:t xml:space="preserve"> Global </w:t>
      </w:r>
      <w:proofErr w:type="spellStart"/>
      <w:r w:rsidRPr="00CB59E7">
        <w:rPr>
          <w:sz w:val="24"/>
          <w:lang w:val="hu-HU"/>
        </w:rPr>
        <w:t>Stewardship</w:t>
      </w:r>
      <w:proofErr w:type="spellEnd"/>
      <w:r w:rsidRPr="00CB59E7">
        <w:rPr>
          <w:sz w:val="24"/>
          <w:lang w:val="hu-HU"/>
        </w:rPr>
        <w:t xml:space="preserve">” („A beporzók és a </w:t>
      </w:r>
      <w:proofErr w:type="gramStart"/>
      <w:r w:rsidRPr="00CB59E7">
        <w:rPr>
          <w:sz w:val="24"/>
          <w:lang w:val="hu-HU"/>
        </w:rPr>
        <w:t>globális</w:t>
      </w:r>
      <w:proofErr w:type="gramEnd"/>
      <w:r w:rsidRPr="00CB59E7">
        <w:rPr>
          <w:sz w:val="24"/>
          <w:lang w:val="hu-HU"/>
        </w:rPr>
        <w:t xml:space="preserve"> élelmezésbiztonság: a holisztikus globális védelem szükségessége”), </w:t>
      </w:r>
      <w:proofErr w:type="spellStart"/>
      <w:r w:rsidRPr="00CB59E7">
        <w:rPr>
          <w:sz w:val="24"/>
          <w:lang w:val="hu-HU"/>
        </w:rPr>
        <w:t>Food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ethics</w:t>
      </w:r>
      <w:proofErr w:type="spellEnd"/>
      <w:r w:rsidRPr="00CB59E7">
        <w:rPr>
          <w:sz w:val="24"/>
          <w:lang w:val="hu-HU"/>
        </w:rPr>
        <w:t xml:space="preserve"> 1, 75–91. (2016), </w:t>
      </w:r>
      <w:hyperlink r:id="rId5" w:history="1">
        <w:r w:rsidRPr="00CB59E7">
          <w:rPr>
            <w:rStyle w:val="Hyperlink"/>
            <w:sz w:val="24"/>
            <w:lang w:val="hu-HU"/>
          </w:rPr>
          <w:t>https://doi.org/10.1007/s41055-016-0003-z</w:t>
        </w:r>
      </w:hyperlink>
      <w:r w:rsidRPr="00CB59E7">
        <w:rPr>
          <w:sz w:val="24"/>
          <w:lang w:val="hu-HU"/>
        </w:rPr>
        <w:t>.</w:t>
      </w:r>
    </w:p>
  </w:footnote>
  <w:footnote w:id="15">
    <w:p w:rsidR="005B7DF1" w:rsidRPr="00CB59E7" w:rsidRDefault="005B7DF1" w:rsidP="00CB59E7">
      <w:pPr>
        <w:pStyle w:val="FootnoteText"/>
        <w:ind w:left="567" w:hanging="567"/>
        <w:rPr>
          <w:iCs/>
          <w:sz w:val="24"/>
          <w:szCs w:val="22"/>
          <w:lang w:val="hu-HU"/>
        </w:rPr>
      </w:pPr>
      <w:r w:rsidRPr="00CB59E7">
        <w:rPr>
          <w:iCs/>
          <w:sz w:val="24"/>
          <w:szCs w:val="22"/>
          <w:vertAlign w:val="superscript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proofErr w:type="gramStart"/>
      <w:r w:rsidRPr="00CB59E7">
        <w:rPr>
          <w:sz w:val="24"/>
          <w:lang w:val="hu-HU"/>
        </w:rPr>
        <w:t>COM(</w:t>
      </w:r>
      <w:proofErr w:type="gramEnd"/>
      <w:r w:rsidRPr="00CB59E7">
        <w:rPr>
          <w:sz w:val="24"/>
          <w:lang w:val="hu-HU"/>
        </w:rPr>
        <w:t>2020)0381.</w:t>
      </w:r>
    </w:p>
  </w:footnote>
  <w:footnote w:id="16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 xml:space="preserve">A Bizottság (EU) 2023/334 rendelete (2023. február 2.) a 396/2005/EK európai parlamenti és tanácsi rendelet II. és V. mellékletének a bizonyos termékekben, illetve azok felületén található </w:t>
      </w:r>
      <w:proofErr w:type="spellStart"/>
      <w:r w:rsidRPr="00CB59E7">
        <w:rPr>
          <w:sz w:val="24"/>
          <w:lang w:val="hu-HU"/>
        </w:rPr>
        <w:t>klotianidin</w:t>
      </w:r>
      <w:proofErr w:type="spellEnd"/>
      <w:r w:rsidRPr="00CB59E7">
        <w:rPr>
          <w:sz w:val="24"/>
          <w:lang w:val="hu-HU"/>
        </w:rPr>
        <w:t xml:space="preserve"> és </w:t>
      </w:r>
      <w:proofErr w:type="spellStart"/>
      <w:r w:rsidRPr="00CB59E7">
        <w:rPr>
          <w:sz w:val="24"/>
          <w:lang w:val="hu-HU"/>
        </w:rPr>
        <w:t>tiametoxam</w:t>
      </w:r>
      <w:proofErr w:type="spellEnd"/>
      <w:r w:rsidRPr="00CB59E7">
        <w:rPr>
          <w:sz w:val="24"/>
          <w:lang w:val="hu-HU"/>
        </w:rPr>
        <w:t xml:space="preserve"> megengedett maradékanyag-határértéke tekintetében történő módosításáról (HL L 47., 2023.2.15</w:t>
      </w:r>
      <w:proofErr w:type="gramStart"/>
      <w:r w:rsidRPr="00CB59E7">
        <w:rPr>
          <w:sz w:val="24"/>
          <w:lang w:val="hu-HU"/>
        </w:rPr>
        <w:t>.,</w:t>
      </w:r>
      <w:proofErr w:type="gramEnd"/>
      <w:r w:rsidRPr="00CB59E7">
        <w:rPr>
          <w:sz w:val="24"/>
          <w:lang w:val="hu-HU"/>
        </w:rPr>
        <w:t xml:space="preserve"> 29. o.).</w:t>
      </w:r>
    </w:p>
  </w:footnote>
  <w:footnote w:id="17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>Ibid.</w:t>
      </w:r>
    </w:p>
  </w:footnote>
  <w:footnote w:id="18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 xml:space="preserve">A Növények, Állatok, Élelmiszerek és Takarmányok Állandó Bizottsága 2023. május 10–11-i ülésének összefoglaló jelentése, </w:t>
      </w:r>
      <w:hyperlink r:id="rId6" w:history="1">
        <w:r w:rsidRPr="00CB59E7">
          <w:rPr>
            <w:rStyle w:val="Hyperlink"/>
            <w:sz w:val="24"/>
            <w:lang w:val="hu-HU"/>
          </w:rPr>
          <w:t>https://ec.europa.eu/transparency/comitology-register/screen/documents/090500/1/consult?lang=en</w:t>
        </w:r>
      </w:hyperlink>
      <w:r w:rsidRPr="00CB59E7">
        <w:rPr>
          <w:sz w:val="24"/>
          <w:lang w:val="hu-HU"/>
        </w:rPr>
        <w:t>.</w:t>
      </w:r>
    </w:p>
  </w:footnote>
  <w:footnote w:id="19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 xml:space="preserve">Ellis, C., Park, K.J., </w:t>
      </w:r>
      <w:proofErr w:type="spellStart"/>
      <w:r w:rsidRPr="00CB59E7">
        <w:rPr>
          <w:sz w:val="24"/>
          <w:lang w:val="hu-HU"/>
        </w:rPr>
        <w:t>Whitehorn</w:t>
      </w:r>
      <w:proofErr w:type="spellEnd"/>
      <w:r w:rsidRPr="00CB59E7">
        <w:rPr>
          <w:sz w:val="24"/>
          <w:lang w:val="hu-HU"/>
        </w:rPr>
        <w:t xml:space="preserve">, P., David, </w:t>
      </w:r>
      <w:proofErr w:type="gramStart"/>
      <w:r w:rsidRPr="00CB59E7">
        <w:rPr>
          <w:sz w:val="24"/>
          <w:lang w:val="hu-HU"/>
        </w:rPr>
        <w:t>A</w:t>
      </w:r>
      <w:proofErr w:type="gramEnd"/>
      <w:r w:rsidRPr="00CB59E7">
        <w:rPr>
          <w:sz w:val="24"/>
          <w:lang w:val="hu-HU"/>
        </w:rPr>
        <w:t xml:space="preserve">., </w:t>
      </w:r>
      <w:proofErr w:type="spellStart"/>
      <w:r w:rsidRPr="00CB59E7">
        <w:rPr>
          <w:sz w:val="24"/>
          <w:lang w:val="hu-HU"/>
        </w:rPr>
        <w:t>Goulson</w:t>
      </w:r>
      <w:proofErr w:type="spellEnd"/>
      <w:r w:rsidRPr="00CB59E7">
        <w:rPr>
          <w:sz w:val="24"/>
          <w:lang w:val="hu-HU"/>
        </w:rPr>
        <w:t xml:space="preserve">, D., ‘The </w:t>
      </w:r>
      <w:proofErr w:type="spellStart"/>
      <w:r w:rsidRPr="00CB59E7">
        <w:rPr>
          <w:sz w:val="24"/>
          <w:lang w:val="hu-HU"/>
        </w:rPr>
        <w:t>Neonicotinoid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Insecticide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Thiacloprid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Impacts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upon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Bumblebee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Colony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Development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under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Field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Conditions</w:t>
      </w:r>
      <w:proofErr w:type="spellEnd"/>
      <w:r w:rsidRPr="00CB59E7">
        <w:rPr>
          <w:sz w:val="24"/>
          <w:lang w:val="hu-HU"/>
        </w:rPr>
        <w:t xml:space="preserve">’ (A </w:t>
      </w:r>
      <w:proofErr w:type="spellStart"/>
      <w:r w:rsidRPr="00CB59E7">
        <w:rPr>
          <w:sz w:val="24"/>
          <w:lang w:val="hu-HU"/>
        </w:rPr>
        <w:t>neonikotinoid</w:t>
      </w:r>
      <w:proofErr w:type="spellEnd"/>
      <w:r w:rsidRPr="00CB59E7">
        <w:rPr>
          <w:sz w:val="24"/>
          <w:lang w:val="hu-HU"/>
        </w:rPr>
        <w:t xml:space="preserve"> rovarirtó </w:t>
      </w:r>
      <w:proofErr w:type="spellStart"/>
      <w:r w:rsidRPr="00CB59E7">
        <w:rPr>
          <w:sz w:val="24"/>
          <w:lang w:val="hu-HU"/>
        </w:rPr>
        <w:t>tiakloprid</w:t>
      </w:r>
      <w:proofErr w:type="spellEnd"/>
      <w:r w:rsidRPr="00CB59E7">
        <w:rPr>
          <w:sz w:val="24"/>
          <w:lang w:val="hu-HU"/>
        </w:rPr>
        <w:t xml:space="preserve"> hatással van a poszméh-telepek helyi körülmények közötti fejlődésére), </w:t>
      </w:r>
      <w:proofErr w:type="spellStart"/>
      <w:r w:rsidRPr="00CB59E7">
        <w:rPr>
          <w:sz w:val="24"/>
          <w:lang w:val="hu-HU"/>
        </w:rPr>
        <w:t>Environmental</w:t>
      </w:r>
      <w:proofErr w:type="spellEnd"/>
      <w:r w:rsidRPr="00CB59E7">
        <w:rPr>
          <w:sz w:val="24"/>
          <w:lang w:val="hu-HU"/>
        </w:rPr>
        <w:t xml:space="preserve"> Science &amp; </w:t>
      </w:r>
      <w:proofErr w:type="spellStart"/>
      <w:r w:rsidRPr="00CB59E7">
        <w:rPr>
          <w:sz w:val="24"/>
          <w:lang w:val="hu-HU"/>
        </w:rPr>
        <w:t>Technology</w:t>
      </w:r>
      <w:proofErr w:type="spellEnd"/>
      <w:r w:rsidRPr="00CB59E7">
        <w:rPr>
          <w:sz w:val="24"/>
          <w:lang w:val="hu-HU"/>
        </w:rPr>
        <w:t xml:space="preserve"> 2017, 51, 3, 1727–1732, </w:t>
      </w:r>
      <w:hyperlink r:id="rId7" w:history="1">
        <w:r w:rsidRPr="00CB59E7">
          <w:rPr>
            <w:rStyle w:val="Hyperlink"/>
            <w:sz w:val="24"/>
            <w:lang w:val="hu-HU"/>
          </w:rPr>
          <w:t>https://pubs.acs.org/doi/10.1021/acs.est.6b04791</w:t>
        </w:r>
      </w:hyperlink>
      <w:r w:rsidRPr="00CB59E7">
        <w:rPr>
          <w:sz w:val="24"/>
          <w:lang w:val="hu-HU"/>
        </w:rPr>
        <w:t>.</w:t>
      </w:r>
    </w:p>
  </w:footnote>
  <w:footnote w:id="20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>Ibid.</w:t>
      </w:r>
    </w:p>
  </w:footnote>
  <w:footnote w:id="21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 xml:space="preserve">Brandt, </w:t>
      </w:r>
      <w:proofErr w:type="gramStart"/>
      <w:r w:rsidRPr="00CB59E7">
        <w:rPr>
          <w:sz w:val="24"/>
          <w:lang w:val="hu-HU"/>
        </w:rPr>
        <w:t>A</w:t>
      </w:r>
      <w:proofErr w:type="gramEnd"/>
      <w:r w:rsidRPr="00CB59E7">
        <w:rPr>
          <w:sz w:val="24"/>
          <w:lang w:val="hu-HU"/>
        </w:rPr>
        <w:t xml:space="preserve">., </w:t>
      </w:r>
      <w:proofErr w:type="spellStart"/>
      <w:r w:rsidRPr="00CB59E7">
        <w:rPr>
          <w:sz w:val="24"/>
          <w:lang w:val="hu-HU"/>
        </w:rPr>
        <w:t>Gorenflo</w:t>
      </w:r>
      <w:proofErr w:type="spellEnd"/>
      <w:r w:rsidRPr="00CB59E7">
        <w:rPr>
          <w:sz w:val="24"/>
          <w:lang w:val="hu-HU"/>
        </w:rPr>
        <w:t xml:space="preserve">, A., </w:t>
      </w:r>
      <w:proofErr w:type="spellStart"/>
      <w:r w:rsidRPr="00CB59E7">
        <w:rPr>
          <w:sz w:val="24"/>
          <w:lang w:val="hu-HU"/>
        </w:rPr>
        <w:t>siede</w:t>
      </w:r>
      <w:proofErr w:type="spellEnd"/>
      <w:r w:rsidRPr="00CB59E7">
        <w:rPr>
          <w:sz w:val="24"/>
          <w:lang w:val="hu-HU"/>
        </w:rPr>
        <w:t xml:space="preserve">, R., </w:t>
      </w:r>
      <w:proofErr w:type="spellStart"/>
      <w:r w:rsidRPr="00CB59E7">
        <w:rPr>
          <w:sz w:val="24"/>
          <w:lang w:val="hu-HU"/>
        </w:rPr>
        <w:t>Meixner</w:t>
      </w:r>
      <w:proofErr w:type="spellEnd"/>
      <w:r w:rsidRPr="00CB59E7">
        <w:rPr>
          <w:sz w:val="24"/>
          <w:lang w:val="hu-HU"/>
        </w:rPr>
        <w:t xml:space="preserve">, M., </w:t>
      </w:r>
      <w:proofErr w:type="spellStart"/>
      <w:r w:rsidRPr="00CB59E7">
        <w:rPr>
          <w:sz w:val="24"/>
          <w:lang w:val="hu-HU"/>
        </w:rPr>
        <w:t>Büchler</w:t>
      </w:r>
      <w:proofErr w:type="spellEnd"/>
      <w:r w:rsidRPr="00CB59E7">
        <w:rPr>
          <w:sz w:val="24"/>
          <w:lang w:val="hu-HU"/>
        </w:rPr>
        <w:t xml:space="preserve">, R., ‘The </w:t>
      </w:r>
      <w:proofErr w:type="spellStart"/>
      <w:r w:rsidRPr="00CB59E7">
        <w:rPr>
          <w:sz w:val="24"/>
          <w:lang w:val="hu-HU"/>
        </w:rPr>
        <w:t>neonicotinoids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thiacloprid</w:t>
      </w:r>
      <w:proofErr w:type="spellEnd"/>
      <w:r w:rsidRPr="00CB59E7">
        <w:rPr>
          <w:sz w:val="24"/>
          <w:lang w:val="hu-HU"/>
        </w:rPr>
        <w:t xml:space="preserve">, </w:t>
      </w:r>
      <w:proofErr w:type="spellStart"/>
      <w:r w:rsidRPr="00CB59E7">
        <w:rPr>
          <w:sz w:val="24"/>
          <w:lang w:val="hu-HU"/>
        </w:rPr>
        <w:t>imidacloprid</w:t>
      </w:r>
      <w:proofErr w:type="spellEnd"/>
      <w:r w:rsidRPr="00CB59E7">
        <w:rPr>
          <w:sz w:val="24"/>
          <w:lang w:val="hu-HU"/>
        </w:rPr>
        <w:t xml:space="preserve">, and </w:t>
      </w:r>
      <w:proofErr w:type="spellStart"/>
      <w:r w:rsidRPr="00CB59E7">
        <w:rPr>
          <w:sz w:val="24"/>
          <w:lang w:val="hu-HU"/>
        </w:rPr>
        <w:t>clothianidin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affect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the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immunocompetence</w:t>
      </w:r>
      <w:proofErr w:type="spellEnd"/>
      <w:r w:rsidRPr="00CB59E7">
        <w:rPr>
          <w:sz w:val="24"/>
          <w:lang w:val="hu-HU"/>
        </w:rPr>
        <w:t xml:space="preserve"> of </w:t>
      </w:r>
      <w:proofErr w:type="spellStart"/>
      <w:r w:rsidRPr="00CB59E7">
        <w:rPr>
          <w:sz w:val="24"/>
          <w:lang w:val="hu-HU"/>
        </w:rPr>
        <w:t>honey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bees</w:t>
      </w:r>
      <w:proofErr w:type="spellEnd"/>
      <w:r w:rsidRPr="00CB59E7">
        <w:rPr>
          <w:sz w:val="24"/>
          <w:lang w:val="hu-HU"/>
        </w:rPr>
        <w:t xml:space="preserve"> („A  </w:t>
      </w:r>
      <w:proofErr w:type="spellStart"/>
      <w:r w:rsidRPr="00CB59E7">
        <w:rPr>
          <w:sz w:val="24"/>
          <w:lang w:val="hu-HU"/>
        </w:rPr>
        <w:t>tiakloprid</w:t>
      </w:r>
      <w:proofErr w:type="spellEnd"/>
      <w:r w:rsidRPr="00CB59E7">
        <w:rPr>
          <w:sz w:val="24"/>
          <w:lang w:val="hu-HU"/>
        </w:rPr>
        <w:t xml:space="preserve">, </w:t>
      </w:r>
      <w:proofErr w:type="spellStart"/>
      <w:r w:rsidRPr="00CB59E7">
        <w:rPr>
          <w:sz w:val="24"/>
          <w:lang w:val="hu-HU"/>
        </w:rPr>
        <w:t>imidakloprid</w:t>
      </w:r>
      <w:proofErr w:type="spellEnd"/>
      <w:r w:rsidRPr="00CB59E7">
        <w:rPr>
          <w:sz w:val="24"/>
          <w:lang w:val="hu-HU"/>
        </w:rPr>
        <w:t xml:space="preserve"> és </w:t>
      </w:r>
      <w:proofErr w:type="spellStart"/>
      <w:r w:rsidRPr="00CB59E7">
        <w:rPr>
          <w:sz w:val="24"/>
          <w:lang w:val="hu-HU"/>
        </w:rPr>
        <w:t>klotianidin</w:t>
      </w:r>
      <w:proofErr w:type="spellEnd"/>
      <w:r w:rsidRPr="00CB59E7">
        <w:rPr>
          <w:sz w:val="24"/>
          <w:lang w:val="hu-HU"/>
        </w:rPr>
        <w:t xml:space="preserve"> olyan </w:t>
      </w:r>
      <w:proofErr w:type="spellStart"/>
      <w:r w:rsidRPr="00CB59E7">
        <w:rPr>
          <w:sz w:val="24"/>
          <w:lang w:val="hu-HU"/>
        </w:rPr>
        <w:t>neonikotinoidok</w:t>
      </w:r>
      <w:proofErr w:type="spellEnd"/>
      <w:r w:rsidRPr="00CB59E7">
        <w:rPr>
          <w:sz w:val="24"/>
          <w:lang w:val="hu-HU"/>
        </w:rPr>
        <w:t>, amelyek befolyásolják a mézelő méhek immunkompetenciáját”) (</w:t>
      </w:r>
      <w:proofErr w:type="spellStart"/>
      <w:r w:rsidRPr="00CB59E7">
        <w:rPr>
          <w:i/>
          <w:sz w:val="24"/>
          <w:lang w:val="hu-HU"/>
        </w:rPr>
        <w:t>Apis</w:t>
      </w:r>
      <w:proofErr w:type="spellEnd"/>
      <w:r w:rsidRPr="00CB59E7">
        <w:rPr>
          <w:i/>
          <w:sz w:val="24"/>
          <w:lang w:val="hu-HU"/>
        </w:rPr>
        <w:t xml:space="preserve"> </w:t>
      </w:r>
      <w:proofErr w:type="spellStart"/>
      <w:r w:rsidRPr="00CB59E7">
        <w:rPr>
          <w:i/>
          <w:sz w:val="24"/>
          <w:lang w:val="hu-HU"/>
        </w:rPr>
        <w:t>mellifera</w:t>
      </w:r>
      <w:proofErr w:type="spellEnd"/>
      <w:r w:rsidRPr="00CB59E7">
        <w:rPr>
          <w:sz w:val="24"/>
          <w:lang w:val="hu-HU"/>
        </w:rPr>
        <w:t xml:space="preserve"> L.)’  , Journal of </w:t>
      </w:r>
      <w:proofErr w:type="spellStart"/>
      <w:r w:rsidRPr="00CB59E7">
        <w:rPr>
          <w:sz w:val="24"/>
          <w:lang w:val="hu-HU"/>
        </w:rPr>
        <w:t>Insect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Physiology</w:t>
      </w:r>
      <w:proofErr w:type="spellEnd"/>
      <w:r w:rsidRPr="00CB59E7">
        <w:rPr>
          <w:sz w:val="24"/>
          <w:lang w:val="hu-HU"/>
        </w:rPr>
        <w:t>, 86. kötet, 2016. március, 40–47. o., https://www.sciencedirect.com/science/article/pii/S0022191016300014</w:t>
      </w:r>
      <w:hyperlink r:id="rId8" w:history="1">
        <w:r w:rsidRPr="00CB59E7">
          <w:rPr>
            <w:rStyle w:val="Hyperlink"/>
            <w:sz w:val="24"/>
            <w:lang w:val="hu-HU"/>
          </w:rPr>
          <w:t>https://www.sciencedirect.com/science/article/pii/S0022191016300014</w:t>
        </w:r>
      </w:hyperlink>
      <w:proofErr w:type="gramStart"/>
      <w:r w:rsidRPr="00CB59E7">
        <w:rPr>
          <w:sz w:val="24"/>
          <w:lang w:val="hu-HU"/>
        </w:rPr>
        <w:t>..</w:t>
      </w:r>
      <w:proofErr w:type="gramEnd"/>
    </w:p>
  </w:footnote>
  <w:footnote w:id="22">
    <w:p w:rsidR="005B7DF1" w:rsidRPr="00CB59E7" w:rsidRDefault="005B7DF1" w:rsidP="00CB59E7">
      <w:pPr>
        <w:pStyle w:val="FootnoteText"/>
        <w:keepNext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proofErr w:type="spellStart"/>
      <w:proofErr w:type="gramStart"/>
      <w:r w:rsidRPr="00CB59E7">
        <w:rPr>
          <w:sz w:val="24"/>
          <w:lang w:val="hu-HU"/>
        </w:rPr>
        <w:t>Tison</w:t>
      </w:r>
      <w:proofErr w:type="spellEnd"/>
      <w:r w:rsidRPr="00CB59E7">
        <w:rPr>
          <w:sz w:val="24"/>
          <w:lang w:val="hu-HU"/>
        </w:rPr>
        <w:t xml:space="preserve">, L., Hahn, M.-L., </w:t>
      </w:r>
      <w:proofErr w:type="spellStart"/>
      <w:r w:rsidRPr="00CB59E7">
        <w:rPr>
          <w:sz w:val="24"/>
          <w:lang w:val="hu-HU"/>
        </w:rPr>
        <w:t>Holtz</w:t>
      </w:r>
      <w:proofErr w:type="spellEnd"/>
      <w:r w:rsidRPr="00CB59E7">
        <w:rPr>
          <w:sz w:val="24"/>
          <w:lang w:val="hu-HU"/>
        </w:rPr>
        <w:t xml:space="preserve">, S., </w:t>
      </w:r>
      <w:proofErr w:type="spellStart"/>
      <w:r w:rsidRPr="00CB59E7">
        <w:rPr>
          <w:sz w:val="24"/>
          <w:lang w:val="hu-HU"/>
        </w:rPr>
        <w:t>Rößner</w:t>
      </w:r>
      <w:proofErr w:type="spellEnd"/>
      <w:r w:rsidRPr="00CB59E7">
        <w:rPr>
          <w:sz w:val="24"/>
          <w:lang w:val="hu-HU"/>
        </w:rPr>
        <w:t xml:space="preserve"> A., </w:t>
      </w:r>
      <w:proofErr w:type="spellStart"/>
      <w:r w:rsidRPr="00CB59E7">
        <w:rPr>
          <w:sz w:val="24"/>
          <w:lang w:val="hu-HU"/>
        </w:rPr>
        <w:t>Greggers</w:t>
      </w:r>
      <w:proofErr w:type="spellEnd"/>
      <w:r w:rsidRPr="00CB59E7">
        <w:rPr>
          <w:sz w:val="24"/>
          <w:lang w:val="hu-HU"/>
        </w:rPr>
        <w:t xml:space="preserve">, U., </w:t>
      </w:r>
      <w:proofErr w:type="spellStart"/>
      <w:r w:rsidRPr="00CB59E7">
        <w:rPr>
          <w:sz w:val="24"/>
          <w:lang w:val="hu-HU"/>
        </w:rPr>
        <w:t>Bischoff</w:t>
      </w:r>
      <w:proofErr w:type="spellEnd"/>
      <w:r w:rsidRPr="00CB59E7">
        <w:rPr>
          <w:sz w:val="24"/>
          <w:lang w:val="hu-HU"/>
        </w:rPr>
        <w:t>, G., and Menzel, R., ‘</w:t>
      </w:r>
      <w:proofErr w:type="spellStart"/>
      <w:r w:rsidRPr="00CB59E7">
        <w:rPr>
          <w:sz w:val="24"/>
          <w:lang w:val="hu-HU"/>
        </w:rPr>
        <w:t>Honey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Bees</w:t>
      </w:r>
      <w:proofErr w:type="spellEnd"/>
      <w:r w:rsidRPr="00CB59E7">
        <w:rPr>
          <w:sz w:val="24"/>
          <w:lang w:val="hu-HU"/>
        </w:rPr>
        <w:t xml:space="preserve">’ </w:t>
      </w:r>
      <w:proofErr w:type="spellStart"/>
      <w:r w:rsidRPr="00CB59E7">
        <w:rPr>
          <w:sz w:val="24"/>
          <w:lang w:val="hu-HU"/>
        </w:rPr>
        <w:t>Behavior</w:t>
      </w:r>
      <w:proofErr w:type="spellEnd"/>
      <w:r w:rsidRPr="00CB59E7">
        <w:rPr>
          <w:sz w:val="24"/>
          <w:lang w:val="hu-HU"/>
        </w:rPr>
        <w:t xml:space="preserve"> Is </w:t>
      </w:r>
      <w:proofErr w:type="spellStart"/>
      <w:r w:rsidRPr="00CB59E7">
        <w:rPr>
          <w:sz w:val="24"/>
          <w:lang w:val="hu-HU"/>
        </w:rPr>
        <w:t>Impaired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by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Chronic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Exposure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to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the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Neonicotinoid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Thiacloprid</w:t>
      </w:r>
      <w:proofErr w:type="spellEnd"/>
      <w:r w:rsidRPr="00CB59E7">
        <w:rPr>
          <w:sz w:val="24"/>
          <w:lang w:val="hu-HU"/>
        </w:rPr>
        <w:t xml:space="preserve"> in </w:t>
      </w:r>
      <w:proofErr w:type="spellStart"/>
      <w:r w:rsidRPr="00CB59E7">
        <w:rPr>
          <w:sz w:val="24"/>
          <w:lang w:val="hu-HU"/>
        </w:rPr>
        <w:t>the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Field</w:t>
      </w:r>
      <w:proofErr w:type="spellEnd"/>
      <w:r w:rsidRPr="00CB59E7">
        <w:rPr>
          <w:sz w:val="24"/>
          <w:lang w:val="hu-HU"/>
        </w:rPr>
        <w:t xml:space="preserve">’ (A „mézelő méhek” viselkedését károsan befolyásolja a területen a </w:t>
      </w:r>
      <w:proofErr w:type="spellStart"/>
      <w:r w:rsidRPr="00CB59E7">
        <w:rPr>
          <w:sz w:val="24"/>
          <w:lang w:val="hu-HU"/>
        </w:rPr>
        <w:t>tiakloprid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neonikotinoidnak</w:t>
      </w:r>
      <w:proofErr w:type="spellEnd"/>
      <w:r w:rsidRPr="00CB59E7">
        <w:rPr>
          <w:sz w:val="24"/>
          <w:lang w:val="hu-HU"/>
        </w:rPr>
        <w:t xml:space="preserve"> való krónikus kitettség”), </w:t>
      </w:r>
      <w:proofErr w:type="spellStart"/>
      <w:r w:rsidRPr="00CB59E7">
        <w:rPr>
          <w:sz w:val="24"/>
          <w:lang w:val="hu-HU"/>
        </w:rPr>
        <w:t>Environmental</w:t>
      </w:r>
      <w:proofErr w:type="spellEnd"/>
      <w:r w:rsidRPr="00CB59E7">
        <w:rPr>
          <w:sz w:val="24"/>
          <w:lang w:val="hu-HU"/>
        </w:rPr>
        <w:t xml:space="preserve"> Science &amp; </w:t>
      </w:r>
      <w:proofErr w:type="spellStart"/>
      <w:r w:rsidRPr="00CB59E7">
        <w:rPr>
          <w:sz w:val="24"/>
          <w:lang w:val="hu-HU"/>
        </w:rPr>
        <w:t>Technology</w:t>
      </w:r>
      <w:proofErr w:type="spellEnd"/>
      <w:r w:rsidRPr="00CB59E7">
        <w:rPr>
          <w:sz w:val="24"/>
          <w:lang w:val="hu-HU"/>
        </w:rPr>
        <w:t xml:space="preserve"> 2016, 50, 13, 7218–7227, </w:t>
      </w:r>
      <w:hyperlink r:id="rId9" w:history="1">
        <w:r w:rsidRPr="00CB59E7">
          <w:rPr>
            <w:rStyle w:val="Hyperlink"/>
            <w:sz w:val="24"/>
            <w:lang w:val="hu-HU"/>
          </w:rPr>
          <w:t>https://pubs.acs.org/doi/full/10.1021/acs.est.6b02658</w:t>
        </w:r>
      </w:hyperlink>
      <w:r w:rsidRPr="00CB59E7">
        <w:rPr>
          <w:sz w:val="24"/>
          <w:lang w:val="hu-HU"/>
        </w:rPr>
        <w:t>.</w:t>
      </w:r>
      <w:proofErr w:type="gramEnd"/>
      <w:r w:rsidRPr="00CB59E7">
        <w:rPr>
          <w:sz w:val="24"/>
          <w:lang w:val="hu-HU"/>
        </w:rPr>
        <w:t xml:space="preserve"> </w:t>
      </w:r>
    </w:p>
  </w:footnote>
  <w:footnote w:id="23">
    <w:p w:rsidR="005B7DF1" w:rsidRPr="00CB59E7" w:rsidRDefault="005B7DF1" w:rsidP="00CB59E7">
      <w:pPr>
        <w:pStyle w:val="FootnoteText"/>
        <w:ind w:left="567" w:hanging="567"/>
        <w:rPr>
          <w:iCs/>
          <w:sz w:val="24"/>
          <w:szCs w:val="22"/>
          <w:lang w:val="hu-HU"/>
        </w:rPr>
      </w:pPr>
      <w:r w:rsidRPr="00CB59E7">
        <w:rPr>
          <w:iCs/>
          <w:sz w:val="24"/>
          <w:szCs w:val="22"/>
          <w:vertAlign w:val="superscript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r w:rsidRPr="00CB59E7">
        <w:rPr>
          <w:sz w:val="24"/>
          <w:lang w:val="hu-HU"/>
        </w:rPr>
        <w:t xml:space="preserve">Pisa, L., </w:t>
      </w:r>
      <w:proofErr w:type="spellStart"/>
      <w:r w:rsidRPr="00CB59E7">
        <w:rPr>
          <w:sz w:val="24"/>
          <w:lang w:val="hu-HU"/>
        </w:rPr>
        <w:t>Goulson</w:t>
      </w:r>
      <w:proofErr w:type="spellEnd"/>
      <w:r w:rsidRPr="00CB59E7">
        <w:rPr>
          <w:sz w:val="24"/>
          <w:lang w:val="hu-HU"/>
        </w:rPr>
        <w:t xml:space="preserve">, D., </w:t>
      </w:r>
      <w:proofErr w:type="spellStart"/>
      <w:r w:rsidRPr="00CB59E7">
        <w:rPr>
          <w:sz w:val="24"/>
          <w:lang w:val="hu-HU"/>
        </w:rPr>
        <w:t>Yang</w:t>
      </w:r>
      <w:proofErr w:type="spellEnd"/>
      <w:r w:rsidRPr="00CB59E7">
        <w:rPr>
          <w:sz w:val="24"/>
          <w:lang w:val="hu-HU"/>
        </w:rPr>
        <w:t>, E</w:t>
      </w:r>
      <w:proofErr w:type="gramStart"/>
      <w:r w:rsidRPr="00CB59E7">
        <w:rPr>
          <w:sz w:val="24"/>
          <w:lang w:val="hu-HU"/>
        </w:rPr>
        <w:t>.C.</w:t>
      </w:r>
      <w:proofErr w:type="gramEnd"/>
      <w:r w:rsidRPr="00CB59E7">
        <w:rPr>
          <w:sz w:val="24"/>
          <w:lang w:val="hu-HU"/>
        </w:rPr>
        <w:t xml:space="preserve">, et </w:t>
      </w:r>
      <w:proofErr w:type="spellStart"/>
      <w:r w:rsidRPr="00CB59E7">
        <w:rPr>
          <w:sz w:val="24"/>
          <w:lang w:val="hu-HU"/>
        </w:rPr>
        <w:t>al</w:t>
      </w:r>
      <w:proofErr w:type="spellEnd"/>
      <w:r w:rsidRPr="00CB59E7">
        <w:rPr>
          <w:sz w:val="24"/>
          <w:lang w:val="hu-HU"/>
        </w:rPr>
        <w:t xml:space="preserve">., „An update of </w:t>
      </w:r>
      <w:proofErr w:type="spellStart"/>
      <w:r w:rsidRPr="00CB59E7">
        <w:rPr>
          <w:sz w:val="24"/>
          <w:lang w:val="hu-HU"/>
        </w:rPr>
        <w:t>the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Worldwide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Integrated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Assessment</w:t>
      </w:r>
      <w:proofErr w:type="spellEnd"/>
      <w:r w:rsidRPr="00CB59E7">
        <w:rPr>
          <w:sz w:val="24"/>
          <w:lang w:val="hu-HU"/>
        </w:rPr>
        <w:t xml:space="preserve"> (WIA) </w:t>
      </w:r>
      <w:proofErr w:type="spellStart"/>
      <w:r w:rsidRPr="00CB59E7">
        <w:rPr>
          <w:sz w:val="24"/>
          <w:lang w:val="hu-HU"/>
        </w:rPr>
        <w:t>on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systemic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insecticides</w:t>
      </w:r>
      <w:proofErr w:type="spellEnd"/>
      <w:r w:rsidRPr="00CB59E7">
        <w:rPr>
          <w:sz w:val="24"/>
          <w:lang w:val="hu-HU"/>
        </w:rPr>
        <w:t xml:space="preserve">. Part 2: </w:t>
      </w:r>
      <w:proofErr w:type="spellStart"/>
      <w:r w:rsidRPr="00CB59E7">
        <w:rPr>
          <w:sz w:val="24"/>
          <w:lang w:val="hu-HU"/>
        </w:rPr>
        <w:t>impacts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on</w:t>
      </w:r>
      <w:proofErr w:type="spell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organisms</w:t>
      </w:r>
      <w:proofErr w:type="spellEnd"/>
      <w:r w:rsidRPr="00CB59E7">
        <w:rPr>
          <w:sz w:val="24"/>
          <w:lang w:val="hu-HU"/>
        </w:rPr>
        <w:t xml:space="preserve"> and </w:t>
      </w:r>
      <w:proofErr w:type="spellStart"/>
      <w:r w:rsidRPr="00CB59E7">
        <w:rPr>
          <w:sz w:val="24"/>
          <w:lang w:val="hu-HU"/>
        </w:rPr>
        <w:t>ecosystems</w:t>
      </w:r>
      <w:proofErr w:type="spellEnd"/>
      <w:r w:rsidRPr="00CB59E7">
        <w:rPr>
          <w:sz w:val="24"/>
          <w:lang w:val="hu-HU"/>
        </w:rPr>
        <w:t>,” („</w:t>
      </w:r>
      <w:proofErr w:type="gramStart"/>
      <w:r w:rsidRPr="00CB59E7">
        <w:rPr>
          <w:sz w:val="24"/>
          <w:lang w:val="hu-HU"/>
        </w:rPr>
        <w:t>A</w:t>
      </w:r>
      <w:proofErr w:type="gramEnd"/>
      <w:r w:rsidRPr="00CB59E7">
        <w:rPr>
          <w:sz w:val="24"/>
          <w:lang w:val="hu-HU"/>
        </w:rPr>
        <w:t xml:space="preserve"> </w:t>
      </w:r>
      <w:proofErr w:type="spellStart"/>
      <w:r w:rsidRPr="00CB59E7">
        <w:rPr>
          <w:sz w:val="24"/>
          <w:lang w:val="hu-HU"/>
        </w:rPr>
        <w:t>szisztemikus</w:t>
      </w:r>
      <w:proofErr w:type="spellEnd"/>
      <w:r w:rsidRPr="00CB59E7">
        <w:rPr>
          <w:sz w:val="24"/>
          <w:lang w:val="hu-HU"/>
        </w:rPr>
        <w:t xml:space="preserve"> növényvédő szerekre vonatkozó világszintű integrált értékelés frissítése, 2. rész: a szervezetekre és ökoszisztémákra gyakorolt hatások”) </w:t>
      </w:r>
      <w:proofErr w:type="spellStart"/>
      <w:r w:rsidRPr="00CB59E7">
        <w:rPr>
          <w:sz w:val="24"/>
          <w:lang w:val="hu-HU"/>
        </w:rPr>
        <w:t>Environmental</w:t>
      </w:r>
      <w:proofErr w:type="spellEnd"/>
      <w:r w:rsidRPr="00CB59E7">
        <w:rPr>
          <w:sz w:val="24"/>
          <w:lang w:val="hu-HU"/>
        </w:rPr>
        <w:t xml:space="preserve"> Science and </w:t>
      </w:r>
      <w:proofErr w:type="spellStart"/>
      <w:r w:rsidRPr="00CB59E7">
        <w:rPr>
          <w:sz w:val="24"/>
          <w:lang w:val="hu-HU"/>
        </w:rPr>
        <w:t>Pollution</w:t>
      </w:r>
      <w:proofErr w:type="spellEnd"/>
      <w:r w:rsidRPr="00CB59E7">
        <w:rPr>
          <w:sz w:val="24"/>
          <w:lang w:val="hu-HU"/>
        </w:rPr>
        <w:t xml:space="preserve"> Research 28, 11749–11797. (2021), </w:t>
      </w:r>
      <w:hyperlink r:id="rId10" w:history="1">
        <w:r w:rsidRPr="00CB59E7">
          <w:rPr>
            <w:rStyle w:val="Hyperlink"/>
            <w:sz w:val="24"/>
            <w:lang w:val="hu-HU"/>
          </w:rPr>
          <w:t>https://doi.org/10.1007/s11356-017-0341-3</w:t>
        </w:r>
      </w:hyperlink>
      <w:r w:rsidRPr="00CB59E7">
        <w:rPr>
          <w:sz w:val="24"/>
          <w:lang w:val="hu-HU"/>
        </w:rPr>
        <w:t>.</w:t>
      </w:r>
    </w:p>
  </w:footnote>
  <w:footnote w:id="24">
    <w:p w:rsidR="005B7DF1" w:rsidRPr="00CB59E7" w:rsidRDefault="005B7DF1" w:rsidP="00CB59E7">
      <w:pPr>
        <w:pStyle w:val="FootnoteText"/>
        <w:ind w:left="567" w:hanging="567"/>
        <w:rPr>
          <w:sz w:val="24"/>
          <w:szCs w:val="22"/>
          <w:lang w:val="hu-HU"/>
        </w:rPr>
      </w:pPr>
      <w:r w:rsidRPr="00CB59E7">
        <w:rPr>
          <w:rStyle w:val="FootnoteReference"/>
          <w:sz w:val="24"/>
          <w:szCs w:val="22"/>
          <w:lang w:val="hu-HU"/>
        </w:rPr>
        <w:footnoteRef/>
      </w:r>
      <w:r w:rsidR="00CB59E7" w:rsidRPr="00CB59E7">
        <w:rPr>
          <w:sz w:val="24"/>
          <w:lang w:val="hu-HU"/>
        </w:rPr>
        <w:t xml:space="preserve"> </w:t>
      </w:r>
      <w:r w:rsidR="00CB59E7" w:rsidRPr="00CB59E7">
        <w:rPr>
          <w:sz w:val="24"/>
          <w:lang w:val="hu-HU"/>
        </w:rPr>
        <w:tab/>
      </w:r>
      <w:hyperlink r:id="rId11" w:history="1">
        <w:r w:rsidRPr="00CB59E7">
          <w:rPr>
            <w:rStyle w:val="Hyperlink"/>
            <w:sz w:val="24"/>
            <w:lang w:val="hu-HU"/>
          </w:rPr>
          <w:t>https://ec.europa.eu/food/plant/pesticides/eu-pesticides-database/start/screen/active-substances/details/841</w:t>
        </w:r>
      </w:hyperlink>
      <w:r w:rsidRPr="00CB59E7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59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59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59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57/2024"/>
    <w:docVar w:name="dvlangue" w:val="HU"/>
    <w:docVar w:name="dvnumam" w:val="0"/>
    <w:docVar w:name="dvpe" w:val="757.277"/>
    <w:docVar w:name="dvtitre" w:val="Az Európai Parlament 2024.  ...-i állásfoglalása a 396/2005/EK európai parlamenti és tanácsi rendelet II. mellékletének a bizonyos termékekben, illetve azok felületén található tiakloprid megengedett szermaradék-határértékei tekintetében történő módosításáról szóló tanácsi rendeletre irányuló javaslatról(COM(2023)0739 – 2023/3005(RPS))"/>
  </w:docVars>
  <w:rsids>
    <w:rsidRoot w:val="000E574E"/>
    <w:rsid w:val="00002272"/>
    <w:rsid w:val="00064002"/>
    <w:rsid w:val="000677B9"/>
    <w:rsid w:val="000831BA"/>
    <w:rsid w:val="000A42CC"/>
    <w:rsid w:val="000E574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DF1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242"/>
    <w:rsid w:val="008C2AC6"/>
    <w:rsid w:val="009257D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59E7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54D8"/>
    <w:rsid w:val="00E820A4"/>
    <w:rsid w:val="00EB006A"/>
    <w:rsid w:val="00EB4772"/>
    <w:rsid w:val="00ED169E"/>
    <w:rsid w:val="00ED4235"/>
    <w:rsid w:val="00F04346"/>
    <w:rsid w:val="00F075DC"/>
    <w:rsid w:val="00F149E9"/>
    <w:rsid w:val="00F36B3B"/>
    <w:rsid w:val="00F46CB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7715C1"/>
  <w15:chartTrackingRefBased/>
  <w15:docId w15:val="{7D07A1B3-3D10-485E-8326-37DD981B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7DF1"/>
    <w:pPr>
      <w:spacing w:before="480" w:after="240"/>
    </w:pPr>
  </w:style>
  <w:style w:type="paragraph" w:customStyle="1" w:styleId="NormalHanging12a">
    <w:name w:val="NormalHanging12a"/>
    <w:basedOn w:val="Normal"/>
    <w:rsid w:val="005B7DF1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5B7D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0022191016300014" TargetMode="External"/><Relationship Id="rId3" Type="http://schemas.openxmlformats.org/officeDocument/2006/relationships/hyperlink" Target="https://echa.europa.eu/registry-of-clh-intentions-until-outcome/-/dislist/details/0b0236e180638ff8" TargetMode="External"/><Relationship Id="rId7" Type="http://schemas.openxmlformats.org/officeDocument/2006/relationships/hyperlink" Target="https://pubs.acs.org/doi/10.1021/acs.est.6b04791" TargetMode="External"/><Relationship Id="rId2" Type="http://schemas.openxmlformats.org/officeDocument/2006/relationships/hyperlink" Target="https://doi.org/10.2903/j.efsa.2019.5595" TargetMode="External"/><Relationship Id="rId1" Type="http://schemas.openxmlformats.org/officeDocument/2006/relationships/hyperlink" Target="https://doi.org/10.2903/j.efsa.2023.7888" TargetMode="External"/><Relationship Id="rId6" Type="http://schemas.openxmlformats.org/officeDocument/2006/relationships/hyperlink" Target="https://ec.europa.eu/transparency/comitology-register/screen/documents/090500/1/consult?lang=hu" TargetMode="External"/><Relationship Id="rId11" Type="http://schemas.openxmlformats.org/officeDocument/2006/relationships/hyperlink" Target="https://ec.europa.eu/food/plant/pesticides/eu-pesticides-database/start/screen/active-substances/details/841" TargetMode="External"/><Relationship Id="rId5" Type="http://schemas.openxmlformats.org/officeDocument/2006/relationships/hyperlink" Target="https://doi.org/10.1007/s41055-016-0003-z" TargetMode="External"/><Relationship Id="rId10" Type="http://schemas.openxmlformats.org/officeDocument/2006/relationships/hyperlink" Target="https://doi.org/10.1007/s11356-017-0341-3" TargetMode="External"/><Relationship Id="rId4" Type="http://schemas.openxmlformats.org/officeDocument/2006/relationships/hyperlink" Target="https://ec.europa.eu/transparency/comitology-register/screen/documents/092486/1/consult?lang=hu" TargetMode="External"/><Relationship Id="rId9" Type="http://schemas.openxmlformats.org/officeDocument/2006/relationships/hyperlink" Target="https://pubs.acs.org/doi/full/10.1021/acs.est.6b026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AAE94-6C1A-4C7A-9E62-C1F2DD801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2050</Words>
  <Characters>14793</Characters>
  <Application>Microsoft Office Word</Application>
  <DocSecurity>0</DocSecurity>
  <Lines>123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P9_TA(2024)0000</vt:lpstr>
      <vt:lpstr>    Végrehajtási jogi aktussal szembeni kifogás:a tiakloprid megengedett szermaradék</vt:lpstr>
      <vt:lpstr>        Az Európai Parlament 2024. január ...-17-i állásfoglalása a 396/2005/EK európai </vt:lpstr>
    </vt:vector>
  </TitlesOfParts>
  <Company/>
  <LinksUpToDate>false</LinksUpToDate>
  <CharactersWithSpaces>16810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2024-01-17T12:00:00Z</dcterms:created>
  <dcterms:modified xsi:type="dcterms:W3CDTF">2024-01-17T12:00:00Z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B9-0057/2024</vt:lpwstr>
  </property>
  <property fmtid="{D5CDD505-2E9C-101B-9397-08002B2CF9AE}" pid="4" name="&lt;Type&gt;">
    <vt:lpwstr>RR</vt:lpwstr>
  </property>
</Properties>
</file>