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44F4" w:rsidTr="0010095E">
        <w:trPr>
          <w:trHeight w:hRule="exact" w:val="1418"/>
        </w:trPr>
        <w:tc>
          <w:tcPr>
            <w:tcW w:w="6804" w:type="dxa"/>
            <w:shd w:val="clear" w:color="auto" w:fill="auto"/>
            <w:vAlign w:val="center"/>
          </w:tcPr>
          <w:p w:rsidR="00751A4A" w:rsidRPr="00A344F4" w:rsidRDefault="00E206D1" w:rsidP="0010095E">
            <w:pPr>
              <w:pStyle w:val="EPName"/>
            </w:pPr>
            <w:r w:rsidRPr="00A344F4">
              <w:t>Europos Parlamentas</w:t>
            </w:r>
          </w:p>
          <w:p w:rsidR="00751A4A" w:rsidRPr="00A344F4" w:rsidRDefault="00817416" w:rsidP="00756632">
            <w:pPr>
              <w:pStyle w:val="EPTerm"/>
              <w:rPr>
                <w:rStyle w:val="HideTWBExt"/>
                <w:noProof w:val="0"/>
                <w:vanish w:val="0"/>
                <w:color w:val="auto"/>
              </w:rPr>
            </w:pPr>
            <w:r w:rsidRPr="00A344F4">
              <w:t>2019-2024</w:t>
            </w:r>
          </w:p>
        </w:tc>
        <w:tc>
          <w:tcPr>
            <w:tcW w:w="2268" w:type="dxa"/>
            <w:shd w:val="clear" w:color="auto" w:fill="auto"/>
          </w:tcPr>
          <w:p w:rsidR="00751A4A" w:rsidRPr="00A344F4" w:rsidRDefault="00187494" w:rsidP="0010095E">
            <w:pPr>
              <w:pStyle w:val="EPLogo"/>
            </w:pPr>
            <w:r w:rsidRPr="00A344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44F4" w:rsidRDefault="00D058B8" w:rsidP="004C5D52">
      <w:pPr>
        <w:pStyle w:val="LineTop"/>
      </w:pPr>
    </w:p>
    <w:p w:rsidR="00680577" w:rsidRPr="00A344F4" w:rsidRDefault="00E206D1" w:rsidP="00680577">
      <w:pPr>
        <w:pStyle w:val="EPBodyTA1"/>
      </w:pPr>
      <w:r w:rsidRPr="00A344F4">
        <w:t>PRIIMTI TEKSTAI</w:t>
      </w:r>
    </w:p>
    <w:p w:rsidR="00D058B8" w:rsidRPr="00A344F4" w:rsidRDefault="00D058B8" w:rsidP="00D058B8">
      <w:pPr>
        <w:pStyle w:val="LineBottom"/>
      </w:pPr>
    </w:p>
    <w:p w:rsidR="00E206D1" w:rsidRPr="00A344F4" w:rsidRDefault="00E206D1" w:rsidP="00E206D1">
      <w:pPr>
        <w:pStyle w:val="ATHeading1"/>
      </w:pPr>
      <w:bookmarkStart w:id="0" w:name="TANumber"/>
      <w:r w:rsidRPr="00A344F4">
        <w:t>P9_TA(2024)00</w:t>
      </w:r>
      <w:r w:rsidR="006062B6">
        <w:t>16</w:t>
      </w:r>
      <w:bookmarkEnd w:id="0"/>
    </w:p>
    <w:p w:rsidR="00E206D1" w:rsidRPr="00A344F4" w:rsidRDefault="00FD52C9" w:rsidP="00FD52C9">
      <w:pPr>
        <w:pStyle w:val="ATHeading2"/>
      </w:pPr>
      <w:bookmarkStart w:id="1" w:name="title"/>
      <w:r>
        <w:t xml:space="preserve">Prieštaravimas įgyvendinimo aktui: didžiausia leidžiamoji </w:t>
      </w:r>
      <w:proofErr w:type="spellStart"/>
      <w:r>
        <w:t>tiakloprido</w:t>
      </w:r>
      <w:proofErr w:type="spellEnd"/>
      <w:r>
        <w:t xml:space="preserve"> liekanų koncentracija</w:t>
      </w:r>
      <w:bookmarkEnd w:id="1"/>
    </w:p>
    <w:p w:rsidR="00E206D1" w:rsidRPr="00A344F4" w:rsidRDefault="00E206D1" w:rsidP="00E206D1">
      <w:pPr>
        <w:rPr>
          <w:i/>
          <w:vanish/>
        </w:rPr>
      </w:pPr>
      <w:r w:rsidRPr="00A344F4">
        <w:rPr>
          <w:i/>
        </w:rPr>
        <w:fldChar w:fldCharType="begin"/>
      </w:r>
      <w:r w:rsidRPr="00A344F4">
        <w:rPr>
          <w:i/>
        </w:rPr>
        <w:instrText xml:space="preserve"> TC"(</w:instrText>
      </w:r>
      <w:bookmarkStart w:id="2" w:name="DocNumber"/>
      <w:r w:rsidRPr="00A344F4">
        <w:rPr>
          <w:i/>
        </w:rPr>
        <w:instrText>B9-0057/2024</w:instrText>
      </w:r>
      <w:bookmarkEnd w:id="2"/>
      <w:r w:rsidRPr="00A344F4">
        <w:rPr>
          <w:i/>
        </w:rPr>
        <w:instrText xml:space="preserve">)"\l3 \n&gt; \* MERGEFORMAT </w:instrText>
      </w:r>
      <w:r w:rsidRPr="00A344F4">
        <w:rPr>
          <w:i/>
        </w:rPr>
        <w:fldChar w:fldCharType="end"/>
      </w:r>
    </w:p>
    <w:p w:rsidR="00E206D1" w:rsidRPr="00A344F4" w:rsidRDefault="00E206D1" w:rsidP="00E206D1">
      <w:pPr>
        <w:rPr>
          <w:vanish/>
        </w:rPr>
      </w:pPr>
      <w:bookmarkStart w:id="3" w:name="PE"/>
      <w:r w:rsidRPr="00A344F4">
        <w:rPr>
          <w:vanish/>
        </w:rPr>
        <w:t>PE757.277</w:t>
      </w:r>
      <w:bookmarkEnd w:id="3"/>
    </w:p>
    <w:p w:rsidR="00E206D1" w:rsidRPr="00A344F4" w:rsidRDefault="00FD52C9" w:rsidP="00F56661">
      <w:pPr>
        <w:pStyle w:val="ATHeading3"/>
      </w:pPr>
      <w:bookmarkStart w:id="4" w:name="Sujet"/>
      <w:r>
        <w:t xml:space="preserve">2024 m. sausio 17 d. </w:t>
      </w:r>
      <w:r w:rsidR="00E206D1" w:rsidRPr="00A344F4">
        <w:t xml:space="preserve">Europos Parlamento rezoliucija dėl pasiūlymo dėl Tarybos reglamento, kuriuo dėl didžiausios leidžiamosios </w:t>
      </w:r>
      <w:proofErr w:type="spellStart"/>
      <w:r w:rsidR="00E206D1" w:rsidRPr="00A344F4">
        <w:t>tiakloprido</w:t>
      </w:r>
      <w:proofErr w:type="spellEnd"/>
      <w:r w:rsidR="00E206D1" w:rsidRPr="00A344F4">
        <w:t xml:space="preserve"> liekanų koncentracijos tam tikruose produktuose ar ant jų iš dalies keičiamas Europos Parlamento ir Tarybos reglamento (EB) Nr. 396/2005 II priedas</w:t>
      </w:r>
      <w:bookmarkEnd w:id="4"/>
      <w:r w:rsidR="00E206D1" w:rsidRPr="00A344F4">
        <w:t xml:space="preserve"> </w:t>
      </w:r>
      <w:bookmarkStart w:id="5" w:name="References"/>
      <w:r w:rsidR="00E206D1" w:rsidRPr="00A344F4">
        <w:t>(COM(2023)0739 – 2023/3005(RPS))</w:t>
      </w:r>
      <w:bookmarkEnd w:id="5"/>
    </w:p>
    <w:p w:rsidR="00603F4E" w:rsidRPr="00A344F4" w:rsidRDefault="00603F4E" w:rsidP="00603F4E">
      <w:pPr>
        <w:pStyle w:val="EPComma"/>
      </w:pPr>
      <w:bookmarkStart w:id="6" w:name="TextBodyBegin"/>
      <w:bookmarkEnd w:id="6"/>
      <w:r w:rsidRPr="00A344F4">
        <w:rPr>
          <w:i/>
        </w:rPr>
        <w:t>Europos Parlamentas</w:t>
      </w:r>
      <w:r w:rsidRPr="00A344F4">
        <w:t>,</w:t>
      </w:r>
    </w:p>
    <w:p w:rsidR="00603F4E" w:rsidRPr="00A344F4" w:rsidRDefault="00603F4E" w:rsidP="00F56661">
      <w:pPr>
        <w:pStyle w:val="NormalHanging12a"/>
      </w:pPr>
      <w:r w:rsidRPr="00A344F4">
        <w:t>–</w:t>
      </w:r>
      <w:r w:rsidRPr="00A344F4">
        <w:tab/>
        <w:t xml:space="preserve">atsižvelgdamas į pasiūlymą dėl Tarybos reglamento, kuriuo dėl didžiausios leidžiamosios </w:t>
      </w:r>
      <w:proofErr w:type="spellStart"/>
      <w:r w:rsidRPr="00A344F4">
        <w:t>tiakloprido</w:t>
      </w:r>
      <w:proofErr w:type="spellEnd"/>
      <w:r w:rsidRPr="00A344F4">
        <w:t xml:space="preserve"> liekanų koncentracijos tam tikruose produktuose ar ant jų iš dalies keičiamas Europos Parlamento ir Tarybos reglamento (EB) Nr. 396/2005 II priedas (COM(2023)0739),</w:t>
      </w:r>
    </w:p>
    <w:p w:rsidR="00603F4E" w:rsidRPr="00A344F4" w:rsidRDefault="00603F4E" w:rsidP="00F56661">
      <w:pPr>
        <w:pStyle w:val="NormalHanging12a"/>
        <w:rPr>
          <w:szCs w:val="24"/>
        </w:rPr>
      </w:pPr>
      <w:r w:rsidRPr="00A344F4">
        <w:t>–</w:t>
      </w:r>
      <w:r w:rsidRPr="00A344F4">
        <w:tab/>
        <w:t>atsižvelgdamas į 2005 m. vasario 23 d. Europos Parlamento ir Tarybos reglamentą (EB) Nr. 396/2005 dėl didžiausių pesticidų likučių kiekių augalinės ir gyvūninės kilmės maiste ir pašaruose ar ant jų ir iš dalies keičiantis Tarybos direktyvą 91/414/EEB</w:t>
      </w:r>
      <w:r w:rsidRPr="00A344F4">
        <w:rPr>
          <w:rStyle w:val="FootnoteReference"/>
        </w:rPr>
        <w:footnoteReference w:id="1"/>
      </w:r>
      <w:r w:rsidRPr="00A344F4">
        <w:t xml:space="preserve">, ypač į jo 14 straipsnio 1 dalies a punktą ir 49 straipsnio 2 dalį, </w:t>
      </w:r>
    </w:p>
    <w:p w:rsidR="00603F4E" w:rsidRPr="00A344F4" w:rsidRDefault="00603F4E" w:rsidP="00F56661">
      <w:pPr>
        <w:pStyle w:val="NormalHanging12a"/>
        <w:rPr>
          <w:szCs w:val="24"/>
        </w:rPr>
      </w:pPr>
      <w:r w:rsidRPr="00A344F4">
        <w:t>–</w:t>
      </w:r>
      <w:r w:rsidRPr="00A344F4">
        <w:tab/>
        <w:t>atsižvelgdamas į 2009 m. spalio 21 d. Europos Parlamento ir Tarybos reglamentą (EB) Nr. 1107/2009 dėl augalų apsaugos produktų pateikimo į rinką ir panaikinantis Tarybos direktyvas 79/117/EEB ir 91/414/EEB</w:t>
      </w:r>
      <w:r w:rsidRPr="00A344F4">
        <w:rPr>
          <w:rStyle w:val="FootnoteReference"/>
          <w:szCs w:val="24"/>
        </w:rPr>
        <w:footnoteReference w:id="2"/>
      </w:r>
      <w:r w:rsidRPr="00A344F4">
        <w:t>, ypač į jo 4 straipsnio 1 dalį ir 4 straipsnio 2 dalies pirmos pastraipos a punktą bei II priedo 3.6.4 punktą,</w:t>
      </w:r>
    </w:p>
    <w:p w:rsidR="00603F4E" w:rsidRPr="00A344F4" w:rsidRDefault="00603F4E" w:rsidP="00F56661">
      <w:pPr>
        <w:pStyle w:val="NormalHanging12a"/>
        <w:rPr>
          <w:szCs w:val="24"/>
        </w:rPr>
      </w:pPr>
      <w:r w:rsidRPr="00A344F4">
        <w:t>–</w:t>
      </w:r>
      <w:r w:rsidRPr="00A344F4">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A344F4">
        <w:rPr>
          <w:rStyle w:val="FootnoteReference"/>
          <w:szCs w:val="24"/>
        </w:rPr>
        <w:footnoteReference w:id="3"/>
      </w:r>
      <w:r w:rsidRPr="00A344F4">
        <w:t>, ypač į jo 5 straipsnio 1 dalį,</w:t>
      </w:r>
    </w:p>
    <w:p w:rsidR="00603F4E" w:rsidRPr="00A344F4" w:rsidRDefault="00603F4E" w:rsidP="00F56661">
      <w:pPr>
        <w:pStyle w:val="NormalHanging12a"/>
        <w:rPr>
          <w:szCs w:val="24"/>
        </w:rPr>
      </w:pPr>
      <w:r w:rsidRPr="00A344F4">
        <w:t>–</w:t>
      </w:r>
      <w:r w:rsidRPr="00A344F4">
        <w:tab/>
        <w:t>atsižvelgdamas į Sutarties dėl Europos Sąjungos veikimo 11, 13, 168 ir 191 straipsnius,</w:t>
      </w:r>
    </w:p>
    <w:p w:rsidR="00603F4E" w:rsidRPr="00A344F4" w:rsidRDefault="00603F4E" w:rsidP="00F56661">
      <w:pPr>
        <w:pStyle w:val="NormalHanging12a"/>
      </w:pPr>
      <w:r w:rsidRPr="00A344F4">
        <w:t>–</w:t>
      </w:r>
      <w:r w:rsidRPr="00A344F4">
        <w:tab/>
        <w:t xml:space="preserve">atsižvelgdamas į 2023 m. vasario 9 d. Europos maisto saugos tarnybos (EFSA) priimtą </w:t>
      </w:r>
      <w:r w:rsidRPr="00A344F4">
        <w:lastRenderedPageBreak/>
        <w:t>pagrįstą nuomonę, kuri paskelbta 2023 m. kovo 15 d.</w:t>
      </w:r>
      <w:r w:rsidRPr="00A344F4">
        <w:rPr>
          <w:rStyle w:val="FootnoteReference"/>
        </w:rPr>
        <w:footnoteReference w:id="4"/>
      </w:r>
      <w:r w:rsidRPr="00A344F4">
        <w:t>,</w:t>
      </w:r>
    </w:p>
    <w:p w:rsidR="00603F4E" w:rsidRPr="00A344F4" w:rsidRDefault="00603F4E" w:rsidP="00F56661">
      <w:pPr>
        <w:pStyle w:val="NormalHanging12a"/>
        <w:rPr>
          <w:szCs w:val="24"/>
        </w:rPr>
      </w:pPr>
      <w:r w:rsidRPr="00A344F4">
        <w:t>–</w:t>
      </w:r>
      <w:r w:rsidRPr="00A344F4">
        <w:tab/>
        <w:t>atsižvelgdamas į 2019 m. sausio 17 d. EFSA patvirtintą ir 2019 m. kovo 14 d. paskelbtą tarpusavio vertinimo išvadą dėl pesticidų</w:t>
      </w:r>
      <w:r w:rsidRPr="00A344F4">
        <w:rPr>
          <w:rStyle w:val="FootnoteReference"/>
          <w:szCs w:val="24"/>
        </w:rPr>
        <w:footnoteReference w:id="5"/>
      </w:r>
      <w:r w:rsidRPr="00A344F4">
        <w:t>,</w:t>
      </w:r>
    </w:p>
    <w:p w:rsidR="00603F4E" w:rsidRPr="00A344F4" w:rsidRDefault="00603F4E" w:rsidP="00F56661">
      <w:pPr>
        <w:pStyle w:val="NormalHanging12a"/>
        <w:rPr>
          <w:szCs w:val="24"/>
        </w:rPr>
      </w:pPr>
      <w:r w:rsidRPr="00A344F4">
        <w:t>–</w:t>
      </w:r>
      <w:r w:rsidRPr="00A344F4">
        <w:tab/>
        <w:t>atsižvelgdamas į 2015 m. kovo 12 d. Europos cheminių medžiagų agentūros (ECHA) Rizikos vertinimo komiteto (RAC) priimtą nuomonę</w:t>
      </w:r>
      <w:r w:rsidRPr="00A344F4">
        <w:rPr>
          <w:rStyle w:val="FootnoteReference"/>
          <w:szCs w:val="24"/>
        </w:rPr>
        <w:footnoteReference w:id="6"/>
      </w:r>
      <w:r w:rsidRPr="00A344F4">
        <w:t>,</w:t>
      </w:r>
    </w:p>
    <w:p w:rsidR="00603F4E" w:rsidRPr="00A344F4" w:rsidRDefault="00603F4E" w:rsidP="00F56661">
      <w:pPr>
        <w:pStyle w:val="NormalHanging12a"/>
        <w:rPr>
          <w:szCs w:val="24"/>
        </w:rPr>
      </w:pPr>
      <w:r w:rsidRPr="00A344F4">
        <w:t>–</w:t>
      </w:r>
      <w:r w:rsidRPr="00A344F4">
        <w:tab/>
        <w:t>atsižvelgdamas į 1999 m. birželio 28 d. Tarybos sprendimo 1999/468/EB, nustatančio Komisijos naudojimosi jai suteiktais įgyvendinimo įgaliojimais tvarką</w:t>
      </w:r>
      <w:r w:rsidRPr="00A344F4">
        <w:rPr>
          <w:rStyle w:val="FootnoteReference"/>
          <w:szCs w:val="24"/>
        </w:rPr>
        <w:footnoteReference w:id="7"/>
      </w:r>
      <w:r w:rsidRPr="00A344F4">
        <w:t>, 5a straipsnio 4 dalies e punktą ir 5a straipsnio 5 dalį,</w:t>
      </w:r>
    </w:p>
    <w:p w:rsidR="00603F4E" w:rsidRPr="00A344F4" w:rsidRDefault="00603F4E" w:rsidP="00F56661">
      <w:pPr>
        <w:pStyle w:val="NormalHanging12a"/>
      </w:pPr>
      <w:r w:rsidRPr="00A344F4">
        <w:t>–</w:t>
      </w:r>
      <w:r w:rsidRPr="00A344F4">
        <w:tab/>
        <w:t>atsižvelgdamas į Darbo tvarkos taisyklių 112 straipsnio 2 ir 3 dalis ir 4 dalies c punktą,</w:t>
      </w:r>
    </w:p>
    <w:p w:rsidR="00603F4E" w:rsidRPr="00A344F4" w:rsidRDefault="00603F4E" w:rsidP="00F56661">
      <w:pPr>
        <w:pStyle w:val="NormalHanging12a"/>
      </w:pPr>
      <w:r w:rsidRPr="00A344F4">
        <w:t>–</w:t>
      </w:r>
      <w:r w:rsidRPr="00A344F4">
        <w:tab/>
        <w:t>atsižvelgdamas į Aplinkos, visuomenės sveikatos ir maisto saugos komiteto pasiūlymą dėl rezoliucijos,</w:t>
      </w:r>
    </w:p>
    <w:p w:rsidR="00603F4E" w:rsidRPr="00A344F4" w:rsidRDefault="00603F4E" w:rsidP="00F56661">
      <w:pPr>
        <w:pStyle w:val="NormalHanging12a"/>
      </w:pPr>
      <w:r w:rsidRPr="00A344F4">
        <w:t>A.</w:t>
      </w:r>
      <w:r w:rsidRPr="00A344F4">
        <w:tab/>
        <w:t xml:space="preserve">kadangi </w:t>
      </w:r>
      <w:proofErr w:type="spellStart"/>
      <w:r w:rsidRPr="00A344F4">
        <w:t>tiaklopridas</w:t>
      </w:r>
      <w:proofErr w:type="spellEnd"/>
      <w:r w:rsidRPr="00A344F4">
        <w:t xml:space="preserve"> yra veiklioji medžiaga, esanti insekticidų, kurie daugiausia naudojami ant </w:t>
      </w:r>
      <w:proofErr w:type="spellStart"/>
      <w:r w:rsidRPr="00A344F4">
        <w:t>vilnamedžių</w:t>
      </w:r>
      <w:proofErr w:type="spellEnd"/>
      <w:r w:rsidRPr="00A344F4">
        <w:t>, sėklavaisių, daržovių ir bulvių, sudėtyje;</w:t>
      </w:r>
    </w:p>
    <w:p w:rsidR="00603F4E" w:rsidRPr="00A344F4" w:rsidRDefault="00603F4E" w:rsidP="00F56661">
      <w:pPr>
        <w:pStyle w:val="NormalHanging12a"/>
      </w:pPr>
      <w:r w:rsidRPr="00A344F4">
        <w:t>B.</w:t>
      </w:r>
      <w:r w:rsidRPr="00A344F4">
        <w:tab/>
        <w:t xml:space="preserve">kadangi veikliosios medžiagos </w:t>
      </w:r>
      <w:proofErr w:type="spellStart"/>
      <w:r w:rsidRPr="00A344F4">
        <w:t>tiakloprido</w:t>
      </w:r>
      <w:proofErr w:type="spellEnd"/>
      <w:r w:rsidRPr="00A344F4">
        <w:t xml:space="preserve"> patvirtinimo galiojimas baigėsi 2020 m. vasario 3 d. ir nebuvo pratęstas pagal Komisijos įgyvendinimo reglamentą (ES) 2020/23</w:t>
      </w:r>
      <w:r w:rsidRPr="00A344F4">
        <w:rPr>
          <w:rStyle w:val="FootnoteReference"/>
        </w:rPr>
        <w:footnoteReference w:id="8"/>
      </w:r>
      <w:r w:rsidRPr="00A344F4">
        <w:t xml:space="preserve">; kadangi augalų apsaugos produktams, kurių sudėtyje yra </w:t>
      </w:r>
      <w:proofErr w:type="spellStart"/>
      <w:r w:rsidRPr="00A344F4">
        <w:t>tiakloprido</w:t>
      </w:r>
      <w:proofErr w:type="spellEnd"/>
      <w:r w:rsidRPr="00A344F4">
        <w:t>, nustatytas lengvatinis laikotarpis baigėsi 2021 m. vasario 3 d.;</w:t>
      </w:r>
    </w:p>
    <w:p w:rsidR="00603F4E" w:rsidRPr="00A344F4" w:rsidRDefault="00603F4E" w:rsidP="00F56661">
      <w:pPr>
        <w:pStyle w:val="NormalHanging12a"/>
      </w:pPr>
      <w:r w:rsidRPr="00A344F4">
        <w:t>C.</w:t>
      </w:r>
      <w:r w:rsidRPr="00A344F4">
        <w:tab/>
        <w:t xml:space="preserve">kadangi veikliosios medžiagos </w:t>
      </w:r>
      <w:proofErr w:type="spellStart"/>
      <w:r w:rsidRPr="00A344F4">
        <w:t>tiakloprido</w:t>
      </w:r>
      <w:proofErr w:type="spellEnd"/>
      <w:r w:rsidRPr="00A344F4">
        <w:t xml:space="preserve"> patvirtinimo galiojimas nebuvo pratęstas, nes nebuvo nustatyta, kad yra laikomasi Reglamento (EB) Nr. 1107/2009 4 straipsnyje nustatytų patvirtinimo kriterijų, kai bent vienas augalų apsaugos produktas naudojamas pagal vieną ar kelias tipiškas paskirtis; kadangi visų pirma EFSA nustatė dvi didelį susirūpinimą keliančias sritis; kadangi pirmoji didelį susirūpinimą kelianti sritis buvo susijusi su tuo, kad būta požymių, jog požeminis vanduo buvo užterštas keliais atitinkamais </w:t>
      </w:r>
      <w:proofErr w:type="spellStart"/>
      <w:r w:rsidRPr="00A344F4">
        <w:t>tiakloprido</w:t>
      </w:r>
      <w:proofErr w:type="spellEnd"/>
      <w:r w:rsidRPr="00A344F4">
        <w:t xml:space="preserve"> metabolitais (M30, M34 ir M46), kurių kancerogeninio potencialo galimybės negalima atmesti, kai jų vertė naudojant juos pagal visas tipiškas paskirtis viršija geriamajam vandeniui nustatytą 0,1 </w:t>
      </w:r>
      <w:proofErr w:type="spellStart"/>
      <w:r w:rsidRPr="00A344F4">
        <w:t>μg</w:t>
      </w:r>
      <w:proofErr w:type="spellEnd"/>
      <w:r w:rsidRPr="00A344F4">
        <w:t>/l parametrinę ribinę vertę</w:t>
      </w:r>
      <w:r w:rsidRPr="00A344F4">
        <w:rPr>
          <w:rStyle w:val="FootnoteReference"/>
        </w:rPr>
        <w:footnoteReference w:id="9"/>
      </w:r>
      <w:r w:rsidRPr="00A344F4">
        <w:t xml:space="preserve">; </w:t>
      </w:r>
      <w:r w:rsidRPr="00A344F4">
        <w:lastRenderedPageBreak/>
        <w:t>kadangi antroji didelį susirūpinimą kelianti sritis buvo susijusi su tuo, kad pagal Europos Parlamento ir Tarybos reglamentą (EB) Nr. 1272/2008</w:t>
      </w:r>
      <w:r w:rsidRPr="00A344F4">
        <w:rPr>
          <w:rStyle w:val="FootnoteReference"/>
        </w:rPr>
        <w:footnoteReference w:id="10"/>
      </w:r>
      <w:r w:rsidRPr="00A344F4">
        <w:t xml:space="preserve"> ECHA suderintoje klasifikacijoje </w:t>
      </w:r>
      <w:proofErr w:type="spellStart"/>
      <w:r w:rsidRPr="00A344F4">
        <w:t>tiaklopridas</w:t>
      </w:r>
      <w:proofErr w:type="spellEnd"/>
      <w:r w:rsidRPr="00A344F4">
        <w:t xml:space="preserve"> laikomas medžiaga, galinčia pakenkti vaisingumui arba negimusiam vaikui (1B kategorijos toksiška reprodukcijai medžiaga), todėl </w:t>
      </w:r>
      <w:proofErr w:type="spellStart"/>
      <w:r w:rsidRPr="00A344F4">
        <w:t>tiaklopridas</w:t>
      </w:r>
      <w:proofErr w:type="spellEnd"/>
      <w:r w:rsidRPr="00A344F4">
        <w:t xml:space="preserve"> yra atmetama veiklioji medžiaga pagal Reglamento (EB) Nr. 1107/2009 4 straipsnio 1 dalį; </w:t>
      </w:r>
    </w:p>
    <w:p w:rsidR="00603F4E" w:rsidRPr="00A344F4" w:rsidRDefault="00603F4E" w:rsidP="00F56661">
      <w:pPr>
        <w:pStyle w:val="NormalHanging12a"/>
      </w:pPr>
      <w:r w:rsidRPr="00A344F4">
        <w:t>D.</w:t>
      </w:r>
      <w:r w:rsidRPr="00A344F4">
        <w:tab/>
        <w:t>kadangi EFSA taip pat padarė išvadą, kad rizikos bitėms ir netiksliniams sausumos augalams vertinimo nebuvo galima užbaigti;</w:t>
      </w:r>
    </w:p>
    <w:p w:rsidR="00603F4E" w:rsidRPr="00A344F4" w:rsidRDefault="00603F4E" w:rsidP="00F56661">
      <w:pPr>
        <w:pStyle w:val="NormalHanging12a"/>
      </w:pPr>
      <w:r w:rsidRPr="00A344F4">
        <w:t>E.</w:t>
      </w:r>
      <w:r w:rsidRPr="00A344F4">
        <w:tab/>
        <w:t xml:space="preserve">kadangi pagal Reglamentą (EB) Nr. 1272/2008 </w:t>
      </w:r>
      <w:proofErr w:type="spellStart"/>
      <w:r w:rsidRPr="00A344F4">
        <w:t>tiaklopridas</w:t>
      </w:r>
      <w:proofErr w:type="spellEnd"/>
      <w:r w:rsidRPr="00A344F4">
        <w:t xml:space="preserve"> taip pat klasifikuojamas kaip medžiaga, kuri, kaip įtariama, sukelia vėžį (2 kategorijos kancerogeninė medžiaga), yra labai toksiška vandens organizmams (ūmus pavojus vandens aplinkai, 1 kategorija) ir labai toksiška vandens organizmams, sukelia ilgalaikius pakitimus (lėtinis pavojus vandens aplinkai, 1 kategorija);</w:t>
      </w:r>
    </w:p>
    <w:p w:rsidR="00603F4E" w:rsidRPr="00A344F4" w:rsidRDefault="00603F4E" w:rsidP="00F56661">
      <w:pPr>
        <w:pStyle w:val="NormalHanging12a"/>
      </w:pPr>
      <w:r w:rsidRPr="00A344F4">
        <w:t>F.</w:t>
      </w:r>
      <w:r w:rsidRPr="00A344F4">
        <w:tab/>
        <w:t>kadangi Augalų, gyvūnų, maisto ir pašarų nuolatinis komitetas nepateikė nuomonės dėl pasiūlymo dėl Tarybos reglamento; kadangi per 2023 m. rugsėjo 18–19 d. vykusį Augalų, gyvūnų, maisto ir pašarų nuolatinio komiteto posėdį aštuonios valstybės narės nepritarė reglamento projektui. Šešios iš jų pirmiausia paminėjo savo problemas išlaikant CXL vertes ir leidžiamuosius importo nuokrypius, nustatytus nepatvirtintai medžiagai, kuri atitinka vieną iš atmetimo kriterijų pagal Reglamentą (EB) Nr. 1107/2009 (toksiška reprodukcijai medžiaga). Be to, viena iš reglamento projektui nepritarusių valstybių narių išreiškė susirūpinimą dėl EFSA nurodytų atvejų, kai tam tikriems produktams nustatyta ūmi referencinė dozė tam tikromis netipinėmis aplinkybėmis buvo viršyta, kita valstybė narė paminėjo ES ūkininkų diskriminaciją, kuri lemtų nesąžiningą konkurenciją, nes jie nebegali naudoti augalų apsaugos produktų, kurių sudėtyje yra šios veikliosios medžiagos, o trečiųjų šalių ūkininkai tai galėtų toliau daryti</w:t>
      </w:r>
      <w:r w:rsidRPr="00A344F4">
        <w:rPr>
          <w:rStyle w:val="FootnoteReference"/>
        </w:rPr>
        <w:footnoteReference w:id="11"/>
      </w:r>
      <w:r w:rsidRPr="00A344F4">
        <w:t>;</w:t>
      </w:r>
    </w:p>
    <w:p w:rsidR="00603F4E" w:rsidRPr="00A344F4" w:rsidRDefault="00603F4E" w:rsidP="00F56661">
      <w:pPr>
        <w:pStyle w:val="NormalHanging12a"/>
      </w:pPr>
      <w:r w:rsidRPr="00A344F4">
        <w:t>G.</w:t>
      </w:r>
      <w:r w:rsidRPr="00A344F4">
        <w:tab/>
        <w:t>kadangi Vokietija paprašė į 2023 m. rugsėjo 18–19 d. Augalų, gyvūnų, maisto ir pašarų nuolatinio komiteto posėdžio apibendrinamąją ataskaitą įtraukti šią deklaraciją: „</w:t>
      </w:r>
      <w:proofErr w:type="spellStart"/>
      <w:r w:rsidRPr="00A344F4">
        <w:t>Tiaklopridas</w:t>
      </w:r>
      <w:proofErr w:type="spellEnd"/>
      <w:r w:rsidRPr="00A344F4">
        <w:t xml:space="preserve"> yra atmetama veiklio</w:t>
      </w:r>
      <w:r w:rsidR="00DE1571">
        <w:t>ji medžiaga pagal Reglamentą (EB</w:t>
      </w:r>
      <w:r w:rsidRPr="00A344F4">
        <w:t>) Nr. 1107/2009. Per šios veikliosios medžiagos pakartotinio patvirtinimo procedūrą buvo nustatyta, kad ji atitinka atmetimo kriterijus, nes yra klasifikuojama kaip 1B kategorijos toksiška reprodukcijai medžiaga. Todėl ši veiklioji medžiaga nebuvo pakartotinai patvirtinta. Vokietija apskritai nepritaria tam, kad veikliosioms medžiagoms, kurios nėra patvirtintos ES dėl priežasčių, susijusių su sveikata, būtų nustatyta [didžiausia leidžiamoji liekanų koncentracija (DLK)]. Šiuo atžvilgiu lemiamas veiksnys yra tai, kad atmetimo kriterijai nustatyti vykdant veikliosios medžiagos patvirtinimo arba pakartotinio patvirtinimo procedūrą pagal Reglamentą (EB) Nr. 1107/2009“</w:t>
      </w:r>
      <w:r w:rsidRPr="00A344F4">
        <w:rPr>
          <w:rStyle w:val="FootnoteReference"/>
        </w:rPr>
        <w:footnoteReference w:id="12"/>
      </w:r>
      <w:r w:rsidRPr="00A344F4">
        <w:t>;</w:t>
      </w:r>
    </w:p>
    <w:p w:rsidR="00603F4E" w:rsidRPr="00A344F4" w:rsidRDefault="00603F4E" w:rsidP="00F56661">
      <w:pPr>
        <w:pStyle w:val="NormalHanging12a"/>
      </w:pPr>
      <w:r w:rsidRPr="00A344F4">
        <w:lastRenderedPageBreak/>
        <w:t>H.</w:t>
      </w:r>
      <w:r w:rsidRPr="00A344F4">
        <w:tab/>
        <w:t xml:space="preserve">kadangi todėl pagal Reglamento (EB) Nr. 396/2005 17 straipsnį kartu su to reglamento 14 straipsnio 1 dalies a punktu tikslinga to reglamento II priede išbraukti </w:t>
      </w:r>
      <w:proofErr w:type="spellStart"/>
      <w:r w:rsidRPr="00A344F4">
        <w:t>tiaklopridui</w:t>
      </w:r>
      <w:proofErr w:type="spellEnd"/>
      <w:r w:rsidRPr="00A344F4">
        <w:t xml:space="preserve"> nustatytą esamą DLK;</w:t>
      </w:r>
    </w:p>
    <w:p w:rsidR="00603F4E" w:rsidRPr="00A344F4" w:rsidRDefault="00603F4E" w:rsidP="00F56661">
      <w:pPr>
        <w:pStyle w:val="NormalHanging12a"/>
      </w:pPr>
      <w:r w:rsidRPr="00A344F4">
        <w:t>I.</w:t>
      </w:r>
      <w:r w:rsidRPr="00A344F4">
        <w:tab/>
        <w:t>kadangi pasiūlyme dėl Tarybos reglamento Komisija, remdamasi EFSA pagrįsta nuomone</w:t>
      </w:r>
      <w:r w:rsidRPr="00A344F4">
        <w:rPr>
          <w:rStyle w:val="FootnoteReference"/>
        </w:rPr>
        <w:footnoteReference w:id="13"/>
      </w:r>
      <w:r w:rsidRPr="00A344F4">
        <w:t xml:space="preserve">, vis dėlto siūlo importo tikslais išlaikyti didesnę už nustatymo ribą </w:t>
      </w:r>
      <w:proofErr w:type="spellStart"/>
      <w:r w:rsidRPr="00A344F4">
        <w:t>tiaklopridui</w:t>
      </w:r>
      <w:proofErr w:type="spellEnd"/>
      <w:r w:rsidRPr="00A344F4">
        <w:t xml:space="preserve"> taikomą DLK, kai jis naudojamas daugiau nei 30 produktų;</w:t>
      </w:r>
    </w:p>
    <w:p w:rsidR="00603F4E" w:rsidRPr="00A344F4" w:rsidRDefault="00603F4E" w:rsidP="00F56661">
      <w:pPr>
        <w:pStyle w:val="NormalHanging12a"/>
      </w:pPr>
      <w:r w:rsidRPr="00A344F4">
        <w:t>J.</w:t>
      </w:r>
      <w:r w:rsidRPr="00A344F4">
        <w:tab/>
        <w:t xml:space="preserve">kadangi naudojimo būdai, kurių atveju taikoma didesnė už nustatymo ribą DLK laikoma saugia, apima </w:t>
      </w:r>
      <w:proofErr w:type="spellStart"/>
      <w:r w:rsidRPr="00A344F4">
        <w:t>tiakloprido</w:t>
      </w:r>
      <w:proofErr w:type="spellEnd"/>
      <w:r w:rsidRPr="00A344F4">
        <w:t xml:space="preserve"> naudojimą papajose, medžių riešutuose, svarainiuose, </w:t>
      </w:r>
      <w:proofErr w:type="spellStart"/>
      <w:r w:rsidRPr="00A344F4">
        <w:t>šliandrose</w:t>
      </w:r>
      <w:proofErr w:type="spellEnd"/>
      <w:r w:rsidRPr="00A344F4">
        <w:t xml:space="preserve">, </w:t>
      </w:r>
      <w:proofErr w:type="spellStart"/>
      <w:r w:rsidRPr="00A344F4">
        <w:t>lokvose</w:t>
      </w:r>
      <w:proofErr w:type="spellEnd"/>
      <w:r w:rsidRPr="00A344F4">
        <w:t xml:space="preserve"> / </w:t>
      </w:r>
      <w:proofErr w:type="spellStart"/>
      <w:r w:rsidRPr="00A344F4">
        <w:t>japoninėse</w:t>
      </w:r>
      <w:proofErr w:type="spellEnd"/>
      <w:r w:rsidRPr="00A344F4">
        <w:t xml:space="preserve"> </w:t>
      </w:r>
      <w:proofErr w:type="spellStart"/>
      <w:r w:rsidRPr="00A344F4">
        <w:t>lokvose</w:t>
      </w:r>
      <w:proofErr w:type="spellEnd"/>
      <w:r w:rsidRPr="00A344F4">
        <w:t xml:space="preserve">, abrikosuose, vyšniose (saldžiosiose), slyvose, braškėse ir žemuogėse, gervuogėse, paprastosiose gervuogėse, kituose smulkiuose vaisiuose ir uogose, kiviuose, bulvėse, pomidoruose, baklažanuose, melionuose, arbūzuose, ryžiuose, paprastuosiuose kviečiuose, iš gyvūnų (kiaulių, galvijų, avių, arklių, naminių paukščių ir kitų ūkiuose auginamų gyvūnų) audinių (raumenų, kepenų, inkstų ir valgomųjų subproduktų) pagamintuose produktuose, piene ir kiaušiniuose, avietėse, agurkuose, cukinijose, rapsų sėklose, garstyčių sėklose ir </w:t>
      </w:r>
      <w:proofErr w:type="spellStart"/>
      <w:r w:rsidRPr="00A344F4">
        <w:t>vilnamedžių</w:t>
      </w:r>
      <w:proofErr w:type="spellEnd"/>
      <w:r w:rsidRPr="00A344F4">
        <w:t xml:space="preserve"> sėklose; kadangi DLK vertės, kurias siūloma taikyti tų naudojimo būdų atveju, gali būti labai įvairios – nuo vertės, kuri du kartus viršija nustatymo ribą, iki vertės, kurį tą ribą viršija tūkstantį kartų;</w:t>
      </w:r>
    </w:p>
    <w:p w:rsidR="00603F4E" w:rsidRPr="00A344F4" w:rsidRDefault="00603F4E" w:rsidP="00F56661">
      <w:pPr>
        <w:pStyle w:val="NormalHanging12a"/>
      </w:pPr>
      <w:r w:rsidRPr="00A344F4">
        <w:t>K.</w:t>
      </w:r>
      <w:r w:rsidRPr="00A344F4">
        <w:tab/>
        <w:t xml:space="preserve">kadangi, priešingai, prašymai nustatyti leidžiamuosius importo nuokrypius buvo atmesti tik dviejų naudojimo būdų (persikuose ir paprikose) atvejais, nes negalima atmesti ūmios referencinės dozės viršijimo galimybės ir todėl Komisija pasiūlė sumažinti </w:t>
      </w:r>
      <w:proofErr w:type="spellStart"/>
      <w:r w:rsidRPr="00A344F4">
        <w:t>tiakloprido</w:t>
      </w:r>
      <w:proofErr w:type="spellEnd"/>
      <w:r w:rsidRPr="00A344F4">
        <w:t xml:space="preserve"> DLK iki nustatymo ribos visų jo naudojimo būdų atvejais; </w:t>
      </w:r>
    </w:p>
    <w:p w:rsidR="00603F4E" w:rsidRPr="00A344F4" w:rsidRDefault="00603F4E" w:rsidP="00F56661">
      <w:pPr>
        <w:pStyle w:val="NormalHanging12a"/>
      </w:pPr>
      <w:r w:rsidRPr="00A344F4">
        <w:t>L.</w:t>
      </w:r>
      <w:r w:rsidRPr="00A344F4">
        <w:tab/>
        <w:t xml:space="preserve">kadangi Reglamento (EB) Nr. 396/2005 5 konstatuojamojoje dalyje nustatyta, kad liekanų kiekis neturėtų kelti nepriimtinos rizikos žmonėms ir, tam tikrais atvejais, gyvūnams; </w:t>
      </w:r>
    </w:p>
    <w:p w:rsidR="00603F4E" w:rsidRPr="00A344F4" w:rsidRDefault="00603F4E" w:rsidP="00F56661">
      <w:pPr>
        <w:pStyle w:val="NormalHanging12a"/>
      </w:pPr>
      <w:r w:rsidRPr="00A344F4">
        <w:t>M.</w:t>
      </w:r>
      <w:r w:rsidRPr="00A344F4">
        <w:tab/>
        <w:t>kadangi Reglamento (EB) Nr. 1107/2009 4 straipsnio 2 dalies a punkte nustatyta, kad augalų apsaugos likučiai neturi turėti jokio kenksmingo poveikio žmonių, įskaitant pažeidžiamas grupes, ar gyvūnų sveikatai, atsižvelgiant į žinomą bendrą ir sąveikaujantį poveikį; kadangi to reglamento II priedo 3.6.4 punkte nustatyta, kad veiklioji medžiaga, pagal Reglamentą (EB) Nr. 1272/2008 klasifikuojamas kaip 1A ar 1B kategorijos toksiška reprodukcijai medžiaga, nėra patvirtinama, nebent „atitinkamos veikliosios medžiagos [...] likučiai maiste ir pašaruose neviršija pagal Reglamento (EB) Nr. 396/2005 18 straipsnio 1 dalies b punktą nustatytos numatytosios vertės“; kadangi Reglamento (EB) Nr. 396/2005 18 straipsnio 1 dalies b punkte nustatyta 0,01 mg/kg numatytoji vertė;</w:t>
      </w:r>
    </w:p>
    <w:p w:rsidR="00603F4E" w:rsidRPr="00A344F4" w:rsidRDefault="00603F4E" w:rsidP="00F56661">
      <w:pPr>
        <w:pStyle w:val="NormalHanging12a"/>
      </w:pPr>
      <w:r w:rsidRPr="00A344F4">
        <w:t>N.</w:t>
      </w:r>
      <w:r w:rsidRPr="00A344F4">
        <w:tab/>
        <w:t xml:space="preserve">kadangi Reglamento (EB) Nr. 396/2005 3 straipsnio 2 dalies g punkte nustatyta, kad leidžiamasis importo nuokrypis – tai importuojamiems produktams nustatyta DLK, kai „Bendrijoje neleidžiamas veikliosios medžiagos naudojimas augalų apsaugos produkte tam tikram produktui dėl kitų priežasčių nei visuomenės sveikata specialiam produktui ir specialiam naudojimui“; kadangi </w:t>
      </w:r>
      <w:proofErr w:type="spellStart"/>
      <w:r w:rsidRPr="00A344F4">
        <w:t>tiaklopridas</w:t>
      </w:r>
      <w:proofErr w:type="spellEnd"/>
      <w:r w:rsidRPr="00A344F4">
        <w:t xml:space="preserve"> neatitinka tų kriterijų, nes jis klasifikuojamas kaip 1B kategorijos toksiška reprodukcijai medžiaga ir todėl buvo uždraustas dėl sveikatos priežasčių;</w:t>
      </w:r>
    </w:p>
    <w:p w:rsidR="00603F4E" w:rsidRPr="00A344F4" w:rsidRDefault="00603F4E" w:rsidP="00F56661">
      <w:pPr>
        <w:pStyle w:val="NormalHanging12a"/>
      </w:pPr>
      <w:r w:rsidRPr="00A344F4">
        <w:lastRenderedPageBreak/>
        <w:t>O.</w:t>
      </w:r>
      <w:r w:rsidRPr="00A344F4">
        <w:tab/>
        <w:t>kadangi Reglamento (EB) Nr. 178/2002 5 straipsnio 1 dalyje teigiama, kad maisto produktus reglamentuojančiais įstatymais siekiama vieno arba daugiau bendrųjų tikslų: aukšto lygio žmonių sveikatos apsaugos ir vartotojų interesų apsaugos, įskaitant sąžiningos prekybos maistu praktiką, prireikus atsižvelgiant į gyvūnų sveikatos ir gerovės, augalų sveikatos ir aplinkos apsaugą;</w:t>
      </w:r>
    </w:p>
    <w:p w:rsidR="00603F4E" w:rsidRPr="00A344F4" w:rsidRDefault="00603F4E" w:rsidP="00F56661">
      <w:pPr>
        <w:pStyle w:val="NormalHanging12a"/>
      </w:pPr>
      <w:r w:rsidRPr="00A344F4">
        <w:t>P.</w:t>
      </w:r>
      <w:r w:rsidRPr="00A344F4">
        <w:tab/>
        <w:t>kadangi dabartinė apdulkintojų krizė yra viena iš pagrindinių grėsmių biologinei įvairovei ir apsirūpinimo maistu saugumui pasaulio ir vietos lygmenimis; kadangi dėl šios krizės gali paaštrėti paslėpto bado problemos, sumažėti ekosistemų atsparumas, taip pat ji gali destabilizuoti ekosistemas, kurios sudaro mūsų gyvybės palaikymo sistemą</w:t>
      </w:r>
      <w:r w:rsidRPr="00A344F4">
        <w:rPr>
          <w:rStyle w:val="FootnoteReference"/>
        </w:rPr>
        <w:footnoteReference w:id="14"/>
      </w:r>
      <w:r w:rsidRPr="00A344F4">
        <w:t>;</w:t>
      </w:r>
    </w:p>
    <w:p w:rsidR="00603F4E" w:rsidRPr="00A344F4" w:rsidRDefault="00603F4E" w:rsidP="00F56661">
      <w:pPr>
        <w:pStyle w:val="NormalHanging12a"/>
      </w:pPr>
      <w:r w:rsidRPr="00A344F4">
        <w:t>Q.</w:t>
      </w:r>
      <w:r w:rsidRPr="00A344F4">
        <w:tab/>
        <w:t>kadangi Komisija savo 2020 m. gegužės 20 d. komunikate „Sąžininga, sveika ir aplinkai palanki maisto sistema pagal strategiją „Nuo ūkio iki stalo“</w:t>
      </w:r>
      <w:r w:rsidRPr="00A344F4">
        <w:rPr>
          <w:rStyle w:val="FootnoteReference"/>
        </w:rPr>
        <w:footnoteReference w:id="15"/>
      </w:r>
      <w:r w:rsidRPr="00A344F4">
        <w:t xml:space="preserve"> paskelbė, kad „ES rems visuotinį perėjimą prie tvarių žemės ūkio maisto produktų sistemų, vadovaudamasi šios strategijos ir darnaus vystymosi tikslais“ ir kad „[š]i strategija gali padėti Europos Sąjungai atlikti svarbų vaidmenį nustatant pasaulinius standartus“; kadangi strategijoje Komisija aiškiai pareiškė, kad „[n]orint sukurti tvaresnę ES maisto sistemą taip pat reikia, kad mūsų prekybos partneriai taikytų vis tvaresnę praktiką. Siekdama skatinti laipsniškai pereiti prie saugesnių augalų apsaugos produktų, ES, laikydamasi PPO taisyklių ir atlikusi rizikos vertinimą, apsvarstys galimybę peržiūrėti medžiagų, kurios atitinka atmetimo kriterijus ir kelia didelę riziką žmonių sveikatai, leistino importo nuokrypius“;</w:t>
      </w:r>
    </w:p>
    <w:p w:rsidR="00603F4E" w:rsidRPr="00A344F4" w:rsidRDefault="00603F4E" w:rsidP="00F56661">
      <w:pPr>
        <w:pStyle w:val="NormalHanging12a"/>
      </w:pPr>
      <w:r w:rsidRPr="00A344F4">
        <w:t>R.</w:t>
      </w:r>
      <w:r w:rsidRPr="00A344F4">
        <w:tab/>
        <w:t>kadangi 2022 m. Komisija sumažino</w:t>
      </w:r>
      <w:r w:rsidRPr="00A344F4">
        <w:rPr>
          <w:rStyle w:val="FootnoteReference"/>
        </w:rPr>
        <w:footnoteReference w:id="16"/>
      </w:r>
      <w:r w:rsidRPr="00A344F4">
        <w:t xml:space="preserve"> dviejų </w:t>
      </w:r>
      <w:proofErr w:type="spellStart"/>
      <w:r w:rsidRPr="00A344F4">
        <w:t>neonikotinoidų</w:t>
      </w:r>
      <w:proofErr w:type="spellEnd"/>
      <w:r w:rsidRPr="00A344F4">
        <w:t xml:space="preserve">, keliančių didelę riziką apdulkintojams, DLK iki mažiausio lygio, kurį galima išmatuoti taikant naujausias technologijas, todėl importuojamuose produktuose nebeliko </w:t>
      </w:r>
      <w:proofErr w:type="spellStart"/>
      <w:r w:rsidRPr="00A344F4">
        <w:t>klotianidino</w:t>
      </w:r>
      <w:proofErr w:type="spellEnd"/>
      <w:r w:rsidRPr="00A344F4">
        <w:t xml:space="preserve"> ir </w:t>
      </w:r>
      <w:proofErr w:type="spellStart"/>
      <w:r w:rsidRPr="00A344F4">
        <w:t>tiametoksamo</w:t>
      </w:r>
      <w:proofErr w:type="spellEnd"/>
      <w:r w:rsidRPr="00A344F4">
        <w:t xml:space="preserve"> liekanų; </w:t>
      </w:r>
    </w:p>
    <w:p w:rsidR="00603F4E" w:rsidRPr="00A344F4" w:rsidRDefault="00603F4E" w:rsidP="00F56661">
      <w:pPr>
        <w:pStyle w:val="NormalHanging12a"/>
      </w:pPr>
      <w:r w:rsidRPr="00A344F4">
        <w:t>S.</w:t>
      </w:r>
      <w:r w:rsidRPr="00A344F4">
        <w:tab/>
        <w:t xml:space="preserve">kadangi šiuo klausimu Komisija teigė, kad „atsižvelgiant į visus su svarstomu klausimu susijusius veiksnius pagal 14 straipsnio 2 dalį, siejamą su Sutarties dėl Europos Sąjungos veikimo 11 straipsniu, kuriame nustatyta, kad „nustatant ir įgyvendinant Sąjungos politikos ir veiklos kryptis, ypač siekiant skatinti tvarią plėtrą, turi būti atsižvelgiama į aplinkos apsaugos reikalavimus“, visos Reglamente (EB) Nr. 396/2005 nustatytos </w:t>
      </w:r>
      <w:proofErr w:type="spellStart"/>
      <w:r w:rsidRPr="00A344F4">
        <w:t>klotianidino</w:t>
      </w:r>
      <w:proofErr w:type="spellEnd"/>
      <w:r w:rsidRPr="00A344F4">
        <w:t xml:space="preserve"> ir (arba) </w:t>
      </w:r>
      <w:proofErr w:type="spellStart"/>
      <w:r w:rsidRPr="00A344F4">
        <w:t>tiametoksamo</w:t>
      </w:r>
      <w:proofErr w:type="spellEnd"/>
      <w:r w:rsidRPr="00A344F4">
        <w:t xml:space="preserve"> DLK vertės turėtų būti sumažintos iki nustatymo ribos“</w:t>
      </w:r>
      <w:r w:rsidRPr="00A344F4">
        <w:rPr>
          <w:rStyle w:val="FootnoteReference"/>
        </w:rPr>
        <w:footnoteReference w:id="17"/>
      </w:r>
      <w:r w:rsidRPr="00A344F4">
        <w:t>;</w:t>
      </w:r>
    </w:p>
    <w:p w:rsidR="00603F4E" w:rsidRPr="00A344F4" w:rsidRDefault="00603F4E" w:rsidP="00F56661">
      <w:pPr>
        <w:pStyle w:val="NormalHanging12a"/>
      </w:pPr>
      <w:r w:rsidRPr="00A344F4">
        <w:t>T.</w:t>
      </w:r>
      <w:r w:rsidRPr="00A344F4">
        <w:tab/>
        <w:t xml:space="preserve">kadangi per 2023 m. gegužės 10–11 d. vykusį Augalų, gyvūnų, maisto ir pašarų nuolatinio komiteto posėdį „Komisija priminė, kad </w:t>
      </w:r>
      <w:proofErr w:type="spellStart"/>
      <w:r w:rsidRPr="00A344F4">
        <w:t>tiaklopridas</w:t>
      </w:r>
      <w:proofErr w:type="spellEnd"/>
      <w:r w:rsidRPr="00A344F4">
        <w:t xml:space="preserve"> priklauso veikliųjų medžiagų </w:t>
      </w:r>
      <w:proofErr w:type="spellStart"/>
      <w:r w:rsidRPr="00A344F4">
        <w:t>neonikotinoidų</w:t>
      </w:r>
      <w:proofErr w:type="spellEnd"/>
      <w:r w:rsidRPr="00A344F4">
        <w:t xml:space="preserve"> grupei, [tačiau], kadangi jo savybės skiriasi nuo </w:t>
      </w:r>
      <w:proofErr w:type="spellStart"/>
      <w:r w:rsidRPr="00A344F4">
        <w:t>klotianidino</w:t>
      </w:r>
      <w:proofErr w:type="spellEnd"/>
      <w:r w:rsidRPr="00A344F4">
        <w:t xml:space="preserve"> ir </w:t>
      </w:r>
      <w:proofErr w:type="spellStart"/>
      <w:r w:rsidRPr="00A344F4">
        <w:t>tiametoksamo</w:t>
      </w:r>
      <w:proofErr w:type="spellEnd"/>
      <w:r w:rsidRPr="00A344F4">
        <w:t xml:space="preserve">, šiuo metu nenumatoma įgyvendinant strategiją „Nuo ūkio iki stalo“ vadovautis tuo pačiu požiūriu, koks yra taikomas </w:t>
      </w:r>
      <w:proofErr w:type="spellStart"/>
      <w:r w:rsidRPr="00A344F4">
        <w:t>klotianidino</w:t>
      </w:r>
      <w:proofErr w:type="spellEnd"/>
      <w:r w:rsidRPr="00A344F4">
        <w:t xml:space="preserve"> ir </w:t>
      </w:r>
      <w:proofErr w:type="spellStart"/>
      <w:r w:rsidRPr="00A344F4">
        <w:t>tiametoksamo</w:t>
      </w:r>
      <w:proofErr w:type="spellEnd"/>
      <w:r w:rsidRPr="00A344F4">
        <w:t xml:space="preserve"> </w:t>
      </w:r>
      <w:r w:rsidRPr="00A344F4">
        <w:lastRenderedPageBreak/>
        <w:t>atžvilgiu, sumažinant visas DLK vertes iki nustatymo ribos“</w:t>
      </w:r>
      <w:r w:rsidRPr="00A344F4">
        <w:rPr>
          <w:rStyle w:val="FootnoteReference"/>
        </w:rPr>
        <w:footnoteReference w:id="18"/>
      </w:r>
      <w:r w:rsidRPr="00A344F4">
        <w:t>;</w:t>
      </w:r>
    </w:p>
    <w:p w:rsidR="00603F4E" w:rsidRPr="00A344F4" w:rsidRDefault="00603F4E" w:rsidP="00F56661">
      <w:pPr>
        <w:pStyle w:val="NormalHanging12a"/>
      </w:pPr>
      <w:r w:rsidRPr="00A344F4">
        <w:t>U.</w:t>
      </w:r>
      <w:r w:rsidRPr="00A344F4">
        <w:tab/>
        <w:t xml:space="preserve">kadangi mokslinėje literatūroje ginčijama, kad </w:t>
      </w:r>
      <w:proofErr w:type="spellStart"/>
      <w:r w:rsidRPr="00A344F4">
        <w:t>tiakloprido</w:t>
      </w:r>
      <w:proofErr w:type="spellEnd"/>
      <w:r w:rsidRPr="00A344F4">
        <w:t xml:space="preserve"> savybės skirtųsi nuo kitų </w:t>
      </w:r>
      <w:proofErr w:type="spellStart"/>
      <w:r w:rsidRPr="00A344F4">
        <w:t>neonikotinoidų</w:t>
      </w:r>
      <w:proofErr w:type="spellEnd"/>
      <w:r w:rsidRPr="00A344F4">
        <w:t xml:space="preserve"> savybių, ir esama rezultatų, iš kurių matyti, kad „dabar turėtų būti abejojama, kad </w:t>
      </w:r>
      <w:proofErr w:type="spellStart"/>
      <w:r w:rsidRPr="00A344F4">
        <w:t>tiaklopridas</w:t>
      </w:r>
      <w:proofErr w:type="spellEnd"/>
      <w:r w:rsidRPr="00A344F4">
        <w:t xml:space="preserve"> yra palyginti nekenksmingas </w:t>
      </w:r>
      <w:proofErr w:type="spellStart"/>
      <w:r w:rsidRPr="00A344F4">
        <w:t>neonikotinoidas</w:t>
      </w:r>
      <w:proofErr w:type="spellEnd"/>
      <w:r w:rsidRPr="00A344F4">
        <w:t>“</w:t>
      </w:r>
      <w:r w:rsidRPr="00A344F4">
        <w:rPr>
          <w:rStyle w:val="FootnoteReference"/>
        </w:rPr>
        <w:footnoteReference w:id="19"/>
      </w:r>
      <w:r w:rsidRPr="00A344F4">
        <w:t>;</w:t>
      </w:r>
    </w:p>
    <w:p w:rsidR="00603F4E" w:rsidRPr="00A344F4" w:rsidRDefault="00603F4E" w:rsidP="00F56661">
      <w:pPr>
        <w:pStyle w:val="NormalHanging12a"/>
      </w:pPr>
      <w:r w:rsidRPr="00A344F4">
        <w:t>V.</w:t>
      </w:r>
      <w:r w:rsidRPr="00A344F4">
        <w:tab/>
        <w:t xml:space="preserve">kadangi nustatyta, kad visų pirma kamanės iš kolonijų, patiriančių </w:t>
      </w:r>
      <w:proofErr w:type="spellStart"/>
      <w:r w:rsidRPr="00A344F4">
        <w:t>tiakloprido</w:t>
      </w:r>
      <w:proofErr w:type="spellEnd"/>
      <w:r w:rsidRPr="00A344F4">
        <w:t xml:space="preserve"> poveikį, dažniau žūsta pirma laiko, o tos, kurios išgyvena, kenčia dėl nemirtino poveikio</w:t>
      </w:r>
      <w:r w:rsidRPr="00A344F4">
        <w:rPr>
          <w:rStyle w:val="FootnoteReference"/>
        </w:rPr>
        <w:footnoteReference w:id="20"/>
      </w:r>
      <w:r w:rsidRPr="00A344F4">
        <w:t xml:space="preserve">; kadangi taip pat nustatyta, kad </w:t>
      </w:r>
      <w:proofErr w:type="spellStart"/>
      <w:r w:rsidRPr="00A344F4">
        <w:t>tiaklopridas</w:t>
      </w:r>
      <w:proofErr w:type="spellEnd"/>
      <w:r w:rsidRPr="00A344F4">
        <w:t xml:space="preserve"> daro panašų neigiamą poveikį medunešių bičių elgsenai ir imuninei sistemai kaip ir </w:t>
      </w:r>
      <w:proofErr w:type="spellStart"/>
      <w:r w:rsidRPr="00A344F4">
        <w:t>imidaklopridas</w:t>
      </w:r>
      <w:proofErr w:type="spellEnd"/>
      <w:r w:rsidRPr="00A344F4">
        <w:t xml:space="preserve">, </w:t>
      </w:r>
      <w:proofErr w:type="spellStart"/>
      <w:r w:rsidRPr="00A344F4">
        <w:t>klotianidinas</w:t>
      </w:r>
      <w:proofErr w:type="spellEnd"/>
      <w:r w:rsidRPr="00A344F4">
        <w:t xml:space="preserve"> bei </w:t>
      </w:r>
      <w:proofErr w:type="spellStart"/>
      <w:r w:rsidRPr="00A344F4">
        <w:t>tiametoksamas</w:t>
      </w:r>
      <w:proofErr w:type="spellEnd"/>
      <w:r w:rsidRPr="00A344F4">
        <w:rPr>
          <w:rStyle w:val="FootnoteReference"/>
        </w:rPr>
        <w:footnoteReference w:id="21"/>
      </w:r>
      <w:r w:rsidRPr="00A344F4">
        <w:rPr>
          <w:vertAlign w:val="superscript"/>
        </w:rPr>
        <w:t>,</w:t>
      </w:r>
      <w:r w:rsidRPr="00A344F4">
        <w:rPr>
          <w:rStyle w:val="FootnoteReference"/>
        </w:rPr>
        <w:footnoteReference w:id="22"/>
      </w:r>
      <w:r w:rsidRPr="00A344F4">
        <w:t>;</w:t>
      </w:r>
    </w:p>
    <w:p w:rsidR="00603F4E" w:rsidRPr="00A344F4" w:rsidRDefault="00603F4E" w:rsidP="00F56661">
      <w:pPr>
        <w:pStyle w:val="NormalHanging12a"/>
      </w:pPr>
      <w:r w:rsidRPr="00A344F4">
        <w:t>W.</w:t>
      </w:r>
      <w:r w:rsidRPr="00A344F4">
        <w:tab/>
        <w:t xml:space="preserve">kadangi vis daugėja įrodymų, kad naudojant </w:t>
      </w:r>
      <w:proofErr w:type="spellStart"/>
      <w:r w:rsidRPr="00A344F4">
        <w:t>tiaklopridą</w:t>
      </w:r>
      <w:proofErr w:type="spellEnd"/>
      <w:r w:rsidRPr="00A344F4">
        <w:t xml:space="preserve"> daromas pražūtingas poveikis biologinei įvairovei, ypač bitėms ir kitiems apdulkintojams</w:t>
      </w:r>
      <w:r w:rsidRPr="00A344F4">
        <w:rPr>
          <w:rStyle w:val="FootnoteReference"/>
          <w:szCs w:val="24"/>
        </w:rPr>
        <w:footnoteReference w:id="23"/>
      </w:r>
      <w:r w:rsidRPr="00A344F4">
        <w:t>;</w:t>
      </w:r>
    </w:p>
    <w:p w:rsidR="00603F4E" w:rsidRPr="00A344F4" w:rsidRDefault="00603F4E" w:rsidP="00F56661">
      <w:pPr>
        <w:pStyle w:val="NormalHanging12a"/>
      </w:pPr>
      <w:r w:rsidRPr="00A344F4">
        <w:t>X.</w:t>
      </w:r>
      <w:r w:rsidRPr="00A344F4">
        <w:tab/>
        <w:t xml:space="preserve">kadangi savo 2019 m. spalio 22 d. ataskaitoje dėl </w:t>
      </w:r>
      <w:proofErr w:type="spellStart"/>
      <w:r w:rsidRPr="00A344F4">
        <w:t>tiakloprido</w:t>
      </w:r>
      <w:proofErr w:type="spellEnd"/>
      <w:r w:rsidRPr="00A344F4">
        <w:t xml:space="preserve"> patvirtinimo galiojimo nepratęsimo</w:t>
      </w:r>
      <w:r w:rsidRPr="00A344F4">
        <w:rPr>
          <w:rStyle w:val="FootnoteReference"/>
        </w:rPr>
        <w:footnoteReference w:id="24"/>
      </w:r>
      <w:r w:rsidRPr="00A344F4">
        <w:t xml:space="preserve"> EFSA padarė išvadą, kad „turimos informacijos nepakanka tam, kad būtų tenkinami Reglamento (EB) Nr. 1107/2009 4 straipsnio 1–3 dalyse nustatyti reikalavimai“ ir visų pirma tai, kad „rizikos bitėms vertinimo nebuvo galima užbaigti“;</w:t>
      </w:r>
    </w:p>
    <w:p w:rsidR="00603F4E" w:rsidRPr="00A344F4" w:rsidRDefault="00603F4E" w:rsidP="00F56661">
      <w:pPr>
        <w:pStyle w:val="NormalHanging12a"/>
      </w:pPr>
      <w:r w:rsidRPr="00A344F4">
        <w:t>Y.</w:t>
      </w:r>
      <w:r w:rsidRPr="00A344F4">
        <w:tab/>
        <w:t xml:space="preserve">kadangi todėl </w:t>
      </w:r>
      <w:proofErr w:type="spellStart"/>
      <w:r w:rsidRPr="00A344F4">
        <w:t>tiaklopridui</w:t>
      </w:r>
      <w:proofErr w:type="spellEnd"/>
      <w:r w:rsidRPr="00A344F4">
        <w:t xml:space="preserve"> turėtų būti taikoma tokia pati argumentacija ir taisyklės, kokios buvo taikomos </w:t>
      </w:r>
      <w:proofErr w:type="spellStart"/>
      <w:r w:rsidRPr="00A344F4">
        <w:t>klotianidinui</w:t>
      </w:r>
      <w:proofErr w:type="spellEnd"/>
      <w:r w:rsidRPr="00A344F4">
        <w:t xml:space="preserve"> ir </w:t>
      </w:r>
      <w:proofErr w:type="spellStart"/>
      <w:r w:rsidRPr="00A344F4">
        <w:t>tiametoksamui</w:t>
      </w:r>
      <w:proofErr w:type="spellEnd"/>
      <w:r w:rsidRPr="00A344F4">
        <w:t>;</w:t>
      </w:r>
    </w:p>
    <w:p w:rsidR="00603F4E" w:rsidRPr="00A344F4" w:rsidRDefault="00603F4E" w:rsidP="00F56661">
      <w:pPr>
        <w:pStyle w:val="NormalHanging12a"/>
      </w:pPr>
      <w:r w:rsidRPr="00A344F4">
        <w:t>Z.</w:t>
      </w:r>
      <w:r w:rsidRPr="00A344F4">
        <w:tab/>
        <w:t>kadangi Komisija, remdamasi turima moksline informacija, privalo saugoti aplinką ir Sąjungos piliečius, vykdydama Reglamente (EB) Nr. 396/2005 ir Reglamente (EB) Nr. 178/2002 nustatytas prievoles ir naudodamasi juose numatytomis teisinėmis galimybėmis užtikrinti aukštą žmonių ir gyvūnų sveikatos bei aplinkos apsaugos lygį;</w:t>
      </w:r>
    </w:p>
    <w:p w:rsidR="00603F4E" w:rsidRPr="00A344F4" w:rsidRDefault="00603F4E" w:rsidP="00F56661">
      <w:pPr>
        <w:pStyle w:val="NormalHanging12a"/>
      </w:pPr>
      <w:r w:rsidRPr="00A344F4">
        <w:t>AA.</w:t>
      </w:r>
      <w:r w:rsidRPr="00A344F4">
        <w:tab/>
        <w:t xml:space="preserve">kadangi siūlomomis DLK vertėmis nėra apsaugoma Sąjungos piliečių sveikata ir nėra </w:t>
      </w:r>
      <w:r w:rsidRPr="00A344F4">
        <w:lastRenderedPageBreak/>
        <w:t>užtikrinamas aukštas bičių bei kitų apdulkintojų apsaugos lygis ir todėl jos prieštarauja Reglamentui (EB) Nr. 396/2005 ir Reglamentui (EB) Nr. 178/2002;</w:t>
      </w:r>
    </w:p>
    <w:p w:rsidR="00603F4E" w:rsidRPr="00A344F4" w:rsidRDefault="00603F4E" w:rsidP="00F56661">
      <w:pPr>
        <w:pStyle w:val="NormalHanging12a"/>
      </w:pPr>
      <w:r w:rsidRPr="00A344F4">
        <w:t>AB.</w:t>
      </w:r>
      <w:r w:rsidRPr="00A344F4">
        <w:tab/>
        <w:t xml:space="preserve">kadangi veikliosioms medžiagoms, kurios nėra patvirtintos Sąjungoje dėl priežasčių, susijusių su sveikata, DLK vertės neturėtų būti nustatytos; kadangi todėl </w:t>
      </w:r>
      <w:proofErr w:type="spellStart"/>
      <w:r w:rsidRPr="00A344F4">
        <w:t>tiaklopridui</w:t>
      </w:r>
      <w:proofErr w:type="spellEnd"/>
      <w:r w:rsidRPr="00A344F4">
        <w:t xml:space="preserve"> neturėtų būti nustatyti jokie leidžiamieji importo nuokrypiai, nes jis klasifikuojamas kaip 1B kategorijos toksiška reprodukcijai medžiaga; kadangi tolesnis </w:t>
      </w:r>
      <w:proofErr w:type="spellStart"/>
      <w:r w:rsidRPr="00A344F4">
        <w:t>tiakloprido</w:t>
      </w:r>
      <w:proofErr w:type="spellEnd"/>
      <w:r w:rsidRPr="00A344F4">
        <w:t xml:space="preserve"> priskyrimas prie 1B kategorijos toksiškų reprodukcijai medžiagų turėjo būti pakankama priežastis Komisijai atsisakyti patenkinti prašymus nustatyti leidžiamuosius importo nuokrypius, nurodant riziką trečiųjų šalių piliečių sveikatai; </w:t>
      </w:r>
    </w:p>
    <w:p w:rsidR="00603F4E" w:rsidRPr="00A344F4" w:rsidRDefault="00603F4E" w:rsidP="00F56661">
      <w:pPr>
        <w:pStyle w:val="NormalHanging12a"/>
      </w:pPr>
      <w:r w:rsidRPr="00A344F4">
        <w:t>1.</w:t>
      </w:r>
      <w:r w:rsidRPr="00A344F4">
        <w:tab/>
        <w:t>prieštarauja pasiūlymo dėl Tarybos reglamento priėmimui;</w:t>
      </w:r>
    </w:p>
    <w:p w:rsidR="00603F4E" w:rsidRPr="00A344F4" w:rsidRDefault="00603F4E" w:rsidP="00F56661">
      <w:pPr>
        <w:pStyle w:val="NormalHanging12a"/>
      </w:pPr>
      <w:r w:rsidRPr="00A344F4">
        <w:t>2.</w:t>
      </w:r>
      <w:r w:rsidRPr="00A344F4">
        <w:tab/>
        <w:t>mano, kad pasiūlymas dėl Tarybos reglamento nėra suderinamas su Reglamento (EB) Nr. 396/2005 ir Reglamento (EB) Nr. 178/2002 tikslais ir turiniu, taip pat Reglamentu (EB) Nr. 1107/2009, įskaitant jo II priedo 3.6.4 punktą;</w:t>
      </w:r>
    </w:p>
    <w:p w:rsidR="00603F4E" w:rsidRPr="00A344F4" w:rsidRDefault="00603F4E" w:rsidP="00F56661">
      <w:pPr>
        <w:pStyle w:val="NormalHanging12a"/>
      </w:pPr>
      <w:r w:rsidRPr="00A344F4">
        <w:t>3.</w:t>
      </w:r>
      <w:r w:rsidRPr="00A344F4">
        <w:tab/>
        <w:t>ragina Komisiją atsiimti pasiūlymą dėl reglamento;</w:t>
      </w:r>
    </w:p>
    <w:p w:rsidR="00603F4E" w:rsidRPr="00A344F4" w:rsidRDefault="00603F4E" w:rsidP="00F56661">
      <w:pPr>
        <w:pStyle w:val="NormalHanging12a"/>
      </w:pPr>
      <w:r w:rsidRPr="00A344F4">
        <w:t>4.</w:t>
      </w:r>
      <w:r w:rsidRPr="00A344F4">
        <w:tab/>
        <w:t xml:space="preserve">ragina Komisiją pateikti komitetui naują projektą, kuriame </w:t>
      </w:r>
      <w:proofErr w:type="spellStart"/>
      <w:r w:rsidRPr="00A344F4">
        <w:t>tiakloprido</w:t>
      </w:r>
      <w:proofErr w:type="spellEnd"/>
      <w:r w:rsidRPr="00A344F4">
        <w:t xml:space="preserve"> DLK būtų sumažinta iki nustatymo ribos visų jo naudojimo būdų atvejais, ir netenkinti jokių prašymų nustatyti leidžiamuosius importo nuokrypius;</w:t>
      </w:r>
    </w:p>
    <w:p w:rsidR="00E365E1" w:rsidRPr="00A344F4" w:rsidRDefault="00603F4E" w:rsidP="00F56661">
      <w:pPr>
        <w:ind w:left="567" w:hanging="567"/>
      </w:pPr>
      <w:r w:rsidRPr="00A344F4">
        <w:t>5.</w:t>
      </w:r>
      <w:r w:rsidRPr="00A344F4">
        <w:tab/>
        <w:t>paveda Pirmininkei perduoti šią rezoliuciją Tarybai ir Komisijai bei valstybių narių vyriausybėms ir parlamentams.</w:t>
      </w:r>
      <w:bookmarkStart w:id="8" w:name="TextBodyEnd"/>
      <w:bookmarkEnd w:id="8"/>
    </w:p>
    <w:sectPr w:rsidR="00E365E1" w:rsidRPr="00A344F4" w:rsidSect="00A344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6D1" w:rsidRPr="00A344F4" w:rsidRDefault="00E206D1">
      <w:r w:rsidRPr="00A344F4">
        <w:separator/>
      </w:r>
    </w:p>
  </w:endnote>
  <w:endnote w:type="continuationSeparator" w:id="0">
    <w:p w:rsidR="00E206D1" w:rsidRPr="00A344F4" w:rsidRDefault="00E206D1">
      <w:r w:rsidRPr="00A344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6D1" w:rsidRPr="00A344F4" w:rsidRDefault="00E206D1">
      <w:r w:rsidRPr="00A344F4">
        <w:separator/>
      </w:r>
    </w:p>
  </w:footnote>
  <w:footnote w:type="continuationSeparator" w:id="0">
    <w:p w:rsidR="00E206D1" w:rsidRPr="00A344F4" w:rsidRDefault="00E206D1">
      <w:r w:rsidRPr="00A344F4">
        <w:continuationSeparator/>
      </w:r>
    </w:p>
  </w:footnote>
  <w:footnote w:id="1">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OL L 70, 2005 3 16, p. 1.</w:t>
      </w:r>
    </w:p>
  </w:footnote>
  <w:footnote w:id="2">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OL L 309, 2009 11 24, p. 1.</w:t>
      </w:r>
    </w:p>
  </w:footnote>
  <w:footnote w:id="3">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OL L 31, 2002 2 1, p. 1.</w:t>
      </w:r>
    </w:p>
  </w:footnote>
  <w:footnote w:id="4">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EFSA, „</w:t>
      </w:r>
      <w:proofErr w:type="spellStart"/>
      <w:r w:rsidRPr="00A344F4">
        <w:rPr>
          <w:sz w:val="24"/>
          <w:lang w:val="lt-LT"/>
        </w:rPr>
        <w:t>Statement</w:t>
      </w:r>
      <w:proofErr w:type="spellEnd"/>
      <w:r w:rsidRPr="00A344F4">
        <w:rPr>
          <w:sz w:val="24"/>
          <w:lang w:val="lt-LT"/>
        </w:rPr>
        <w:t xml:space="preserve"> </w:t>
      </w:r>
      <w:proofErr w:type="spellStart"/>
      <w:r w:rsidRPr="00A344F4">
        <w:rPr>
          <w:sz w:val="24"/>
          <w:lang w:val="lt-LT"/>
        </w:rPr>
        <w:t>on</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short-term</w:t>
      </w:r>
      <w:proofErr w:type="spellEnd"/>
      <w:r w:rsidRPr="00A344F4">
        <w:rPr>
          <w:sz w:val="24"/>
          <w:lang w:val="lt-LT"/>
        </w:rPr>
        <w:t xml:space="preserve"> (</w:t>
      </w:r>
      <w:proofErr w:type="spellStart"/>
      <w:r w:rsidRPr="00A344F4">
        <w:rPr>
          <w:sz w:val="24"/>
          <w:lang w:val="lt-LT"/>
        </w:rPr>
        <w:t>acute</w:t>
      </w:r>
      <w:proofErr w:type="spellEnd"/>
      <w:r w:rsidRPr="00A344F4">
        <w:rPr>
          <w:sz w:val="24"/>
          <w:lang w:val="lt-LT"/>
        </w:rPr>
        <w:t xml:space="preserve">) </w:t>
      </w:r>
      <w:proofErr w:type="spellStart"/>
      <w:r w:rsidRPr="00A344F4">
        <w:rPr>
          <w:sz w:val="24"/>
          <w:lang w:val="lt-LT"/>
        </w:rPr>
        <w:t>dietary</w:t>
      </w:r>
      <w:proofErr w:type="spellEnd"/>
      <w:r w:rsidRPr="00A344F4">
        <w:rPr>
          <w:sz w:val="24"/>
          <w:lang w:val="lt-LT"/>
        </w:rPr>
        <w:t xml:space="preserve"> risk </w:t>
      </w:r>
      <w:proofErr w:type="spellStart"/>
      <w:r w:rsidRPr="00A344F4">
        <w:rPr>
          <w:sz w:val="24"/>
          <w:lang w:val="lt-LT"/>
        </w:rPr>
        <w:t>assessment</w:t>
      </w:r>
      <w:proofErr w:type="spellEnd"/>
      <w:r w:rsidRPr="00A344F4">
        <w:rPr>
          <w:sz w:val="24"/>
          <w:lang w:val="lt-LT"/>
        </w:rPr>
        <w:t xml:space="preserve"> </w:t>
      </w:r>
      <w:proofErr w:type="spellStart"/>
      <w:r w:rsidRPr="00A344F4">
        <w:rPr>
          <w:sz w:val="24"/>
          <w:lang w:val="lt-LT"/>
        </w:rPr>
        <w:t>and</w:t>
      </w:r>
      <w:proofErr w:type="spellEnd"/>
      <w:r w:rsidRPr="00A344F4">
        <w:rPr>
          <w:sz w:val="24"/>
          <w:lang w:val="lt-LT"/>
        </w:rPr>
        <w:t xml:space="preserve"> </w:t>
      </w:r>
      <w:proofErr w:type="spellStart"/>
      <w:r w:rsidRPr="00A344F4">
        <w:rPr>
          <w:sz w:val="24"/>
          <w:lang w:val="lt-LT"/>
        </w:rPr>
        <w:t>evaluation</w:t>
      </w:r>
      <w:proofErr w:type="spellEnd"/>
      <w:r w:rsidRPr="00A344F4">
        <w:rPr>
          <w:sz w:val="24"/>
          <w:lang w:val="lt-LT"/>
        </w:rPr>
        <w:t xml:space="preserve"> </w:t>
      </w:r>
      <w:proofErr w:type="spellStart"/>
      <w:r w:rsidRPr="00A344F4">
        <w:rPr>
          <w:sz w:val="24"/>
          <w:lang w:val="lt-LT"/>
        </w:rPr>
        <w:t>of</w:t>
      </w:r>
      <w:proofErr w:type="spellEnd"/>
      <w:r w:rsidRPr="00A344F4">
        <w:rPr>
          <w:sz w:val="24"/>
          <w:lang w:val="lt-LT"/>
        </w:rPr>
        <w:t xml:space="preserve"> </w:t>
      </w:r>
      <w:proofErr w:type="spellStart"/>
      <w:r w:rsidRPr="00A344F4">
        <w:rPr>
          <w:sz w:val="24"/>
          <w:lang w:val="lt-LT"/>
        </w:rPr>
        <w:t>confirmatory</w:t>
      </w:r>
      <w:proofErr w:type="spellEnd"/>
      <w:r w:rsidRPr="00A344F4">
        <w:rPr>
          <w:sz w:val="24"/>
          <w:lang w:val="lt-LT"/>
        </w:rPr>
        <w:t xml:space="preserve"> data </w:t>
      </w:r>
      <w:proofErr w:type="spellStart"/>
      <w:r w:rsidRPr="00A344F4">
        <w:rPr>
          <w:sz w:val="24"/>
          <w:lang w:val="lt-LT"/>
        </w:rPr>
        <w:t>for</w:t>
      </w:r>
      <w:proofErr w:type="spellEnd"/>
      <w:r w:rsidRPr="00A344F4">
        <w:rPr>
          <w:sz w:val="24"/>
          <w:lang w:val="lt-LT"/>
        </w:rPr>
        <w:t xml:space="preserve"> </w:t>
      </w:r>
      <w:proofErr w:type="spellStart"/>
      <w:r w:rsidRPr="00A344F4">
        <w:rPr>
          <w:sz w:val="24"/>
          <w:lang w:val="lt-LT"/>
        </w:rPr>
        <w:t>certain</w:t>
      </w:r>
      <w:proofErr w:type="spellEnd"/>
      <w:r w:rsidRPr="00A344F4">
        <w:rPr>
          <w:sz w:val="24"/>
          <w:lang w:val="lt-LT"/>
        </w:rPr>
        <w:t xml:space="preserve"> </w:t>
      </w:r>
      <w:proofErr w:type="spellStart"/>
      <w:r w:rsidRPr="00A344F4">
        <w:rPr>
          <w:sz w:val="24"/>
          <w:lang w:val="lt-LT"/>
        </w:rPr>
        <w:t>maximum</w:t>
      </w:r>
      <w:proofErr w:type="spellEnd"/>
      <w:r w:rsidRPr="00A344F4">
        <w:rPr>
          <w:sz w:val="24"/>
          <w:lang w:val="lt-LT"/>
        </w:rPr>
        <w:t xml:space="preserve"> </w:t>
      </w:r>
      <w:proofErr w:type="spellStart"/>
      <w:r w:rsidRPr="00A344F4">
        <w:rPr>
          <w:sz w:val="24"/>
          <w:lang w:val="lt-LT"/>
        </w:rPr>
        <w:t>residue</w:t>
      </w:r>
      <w:proofErr w:type="spellEnd"/>
      <w:r w:rsidRPr="00A344F4">
        <w:rPr>
          <w:sz w:val="24"/>
          <w:lang w:val="lt-LT"/>
        </w:rPr>
        <w:t xml:space="preserve"> </w:t>
      </w:r>
      <w:proofErr w:type="spellStart"/>
      <w:r w:rsidRPr="00A344F4">
        <w:rPr>
          <w:sz w:val="24"/>
          <w:lang w:val="lt-LT"/>
        </w:rPr>
        <w:t>levels</w:t>
      </w:r>
      <w:proofErr w:type="spellEnd"/>
      <w:r w:rsidRPr="00A344F4">
        <w:rPr>
          <w:sz w:val="24"/>
          <w:lang w:val="lt-LT"/>
        </w:rPr>
        <w:t xml:space="preserve"> (</w:t>
      </w:r>
      <w:proofErr w:type="spellStart"/>
      <w:r w:rsidRPr="00A344F4">
        <w:rPr>
          <w:sz w:val="24"/>
          <w:lang w:val="lt-LT"/>
        </w:rPr>
        <w:t>MRLs</w:t>
      </w:r>
      <w:proofErr w:type="spellEnd"/>
      <w:r w:rsidRPr="00A344F4">
        <w:rPr>
          <w:sz w:val="24"/>
          <w:lang w:val="lt-LT"/>
        </w:rPr>
        <w:t xml:space="preserve">) </w:t>
      </w:r>
      <w:proofErr w:type="spellStart"/>
      <w:r w:rsidRPr="00A344F4">
        <w:rPr>
          <w:sz w:val="24"/>
          <w:lang w:val="lt-LT"/>
        </w:rPr>
        <w:t>for</w:t>
      </w:r>
      <w:proofErr w:type="spellEnd"/>
      <w:r w:rsidRPr="00A344F4">
        <w:rPr>
          <w:sz w:val="24"/>
          <w:lang w:val="lt-LT"/>
        </w:rPr>
        <w:t xml:space="preserve"> </w:t>
      </w:r>
      <w:proofErr w:type="spellStart"/>
      <w:r w:rsidRPr="00A344F4">
        <w:rPr>
          <w:sz w:val="24"/>
          <w:lang w:val="lt-LT"/>
        </w:rPr>
        <w:t>thiacloprid</w:t>
      </w:r>
      <w:proofErr w:type="spellEnd"/>
      <w:r w:rsidRPr="00A344F4">
        <w:rPr>
          <w:sz w:val="24"/>
          <w:lang w:val="lt-LT"/>
        </w:rPr>
        <w:t xml:space="preserve">“, EFSA leidinys, 2023 m.; 21(3):7888, </w:t>
      </w:r>
      <w:hyperlink r:id="rId1" w:history="1">
        <w:r w:rsidRPr="00A344F4">
          <w:rPr>
            <w:rStyle w:val="Hyperlink"/>
            <w:sz w:val="24"/>
            <w:lang w:val="lt-LT"/>
          </w:rPr>
          <w:t>https://doi.org/10.2903/j.efsa.2023.7888</w:t>
        </w:r>
      </w:hyperlink>
      <w:r w:rsidRPr="00A344F4">
        <w:rPr>
          <w:sz w:val="24"/>
          <w:lang w:val="lt-LT"/>
        </w:rPr>
        <w:t>.</w:t>
      </w:r>
    </w:p>
  </w:footnote>
  <w:footnote w:id="5">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EFSA, „</w:t>
      </w:r>
      <w:proofErr w:type="spellStart"/>
      <w:r w:rsidRPr="00A344F4">
        <w:rPr>
          <w:sz w:val="24"/>
          <w:lang w:val="lt-LT"/>
        </w:rPr>
        <w:t>Conclusion</w:t>
      </w:r>
      <w:proofErr w:type="spellEnd"/>
      <w:r w:rsidRPr="00A344F4">
        <w:rPr>
          <w:sz w:val="24"/>
          <w:lang w:val="lt-LT"/>
        </w:rPr>
        <w:t xml:space="preserve"> </w:t>
      </w:r>
      <w:proofErr w:type="spellStart"/>
      <w:r w:rsidRPr="00A344F4">
        <w:rPr>
          <w:sz w:val="24"/>
          <w:lang w:val="lt-LT"/>
        </w:rPr>
        <w:t>on</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peer</w:t>
      </w:r>
      <w:proofErr w:type="spellEnd"/>
      <w:r w:rsidRPr="00A344F4">
        <w:rPr>
          <w:sz w:val="24"/>
          <w:lang w:val="lt-LT"/>
        </w:rPr>
        <w:t xml:space="preserve"> </w:t>
      </w:r>
      <w:proofErr w:type="spellStart"/>
      <w:r w:rsidRPr="00A344F4">
        <w:rPr>
          <w:sz w:val="24"/>
          <w:lang w:val="lt-LT"/>
        </w:rPr>
        <w:t>review</w:t>
      </w:r>
      <w:proofErr w:type="spellEnd"/>
      <w:r w:rsidRPr="00A344F4">
        <w:rPr>
          <w:sz w:val="24"/>
          <w:lang w:val="lt-LT"/>
        </w:rPr>
        <w:t xml:space="preserve"> </w:t>
      </w:r>
      <w:proofErr w:type="spellStart"/>
      <w:r w:rsidRPr="00A344F4">
        <w:rPr>
          <w:sz w:val="24"/>
          <w:lang w:val="lt-LT"/>
        </w:rPr>
        <w:t>of</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pesticide risk </w:t>
      </w:r>
      <w:proofErr w:type="spellStart"/>
      <w:r w:rsidRPr="00A344F4">
        <w:rPr>
          <w:sz w:val="24"/>
          <w:lang w:val="lt-LT"/>
        </w:rPr>
        <w:t>assessment</w:t>
      </w:r>
      <w:proofErr w:type="spellEnd"/>
      <w:r w:rsidRPr="00A344F4">
        <w:rPr>
          <w:sz w:val="24"/>
          <w:lang w:val="lt-LT"/>
        </w:rPr>
        <w:t xml:space="preserve"> </w:t>
      </w:r>
      <w:proofErr w:type="spellStart"/>
      <w:r w:rsidRPr="00A344F4">
        <w:rPr>
          <w:sz w:val="24"/>
          <w:lang w:val="lt-LT"/>
        </w:rPr>
        <w:t>of</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active</w:t>
      </w:r>
      <w:proofErr w:type="spellEnd"/>
      <w:r w:rsidRPr="00A344F4">
        <w:rPr>
          <w:sz w:val="24"/>
          <w:lang w:val="lt-LT"/>
        </w:rPr>
        <w:t xml:space="preserve"> </w:t>
      </w:r>
      <w:proofErr w:type="spellStart"/>
      <w:r w:rsidRPr="00A344F4">
        <w:rPr>
          <w:sz w:val="24"/>
          <w:lang w:val="lt-LT"/>
        </w:rPr>
        <w:t>substance</w:t>
      </w:r>
      <w:proofErr w:type="spellEnd"/>
      <w:r w:rsidRPr="00A344F4">
        <w:rPr>
          <w:sz w:val="24"/>
          <w:lang w:val="lt-LT"/>
        </w:rPr>
        <w:t xml:space="preserve"> </w:t>
      </w:r>
      <w:proofErr w:type="spellStart"/>
      <w:r w:rsidRPr="00A344F4">
        <w:rPr>
          <w:sz w:val="24"/>
          <w:lang w:val="lt-LT"/>
        </w:rPr>
        <w:t>thiacloprid</w:t>
      </w:r>
      <w:proofErr w:type="spellEnd"/>
      <w:r w:rsidRPr="00A344F4">
        <w:rPr>
          <w:sz w:val="24"/>
          <w:lang w:val="lt-LT"/>
        </w:rPr>
        <w:t xml:space="preserve">“, EFSA leidinys, 2019 m.; 17(3):5595, </w:t>
      </w:r>
      <w:hyperlink r:id="rId2" w:history="1">
        <w:r w:rsidRPr="00A344F4">
          <w:rPr>
            <w:rStyle w:val="Hyperlink"/>
            <w:sz w:val="24"/>
            <w:lang w:val="lt-LT"/>
          </w:rPr>
          <w:t>https://doi.org/10.2903/j.efsa.2019.5595</w:t>
        </w:r>
      </w:hyperlink>
      <w:r w:rsidRPr="00A344F4">
        <w:rPr>
          <w:sz w:val="24"/>
          <w:lang w:val="lt-LT"/>
        </w:rPr>
        <w:t>.</w:t>
      </w:r>
    </w:p>
  </w:footnote>
  <w:footnote w:id="6">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RAC nuomonė, kurioje siūlomas suderintas </w:t>
      </w:r>
      <w:proofErr w:type="spellStart"/>
      <w:r w:rsidRPr="00A344F4">
        <w:rPr>
          <w:sz w:val="24"/>
          <w:lang w:val="lt-LT"/>
        </w:rPr>
        <w:t>tiakloprido</w:t>
      </w:r>
      <w:proofErr w:type="spellEnd"/>
      <w:r w:rsidRPr="00A344F4">
        <w:rPr>
          <w:sz w:val="24"/>
          <w:lang w:val="lt-LT"/>
        </w:rPr>
        <w:t xml:space="preserve"> (ISO) klasifikavimas ir ženklinimas ES lygmeniu (ISO); {(2Z)-3-[(6-chlor-3-piridinil)metil]-1,3-tiazolan-2-iliden}cianamidas, </w:t>
      </w:r>
      <w:hyperlink r:id="rId3" w:history="1">
        <w:r w:rsidRPr="00A344F4">
          <w:rPr>
            <w:rStyle w:val="Hyperlink"/>
            <w:sz w:val="24"/>
            <w:lang w:val="lt-LT"/>
          </w:rPr>
          <w:t>https://echa.europa.eu/registry-of-clh-intentions-until-outcome/-/dislist/details/0b0236e180638ff8</w:t>
        </w:r>
      </w:hyperlink>
      <w:r w:rsidRPr="00A344F4">
        <w:rPr>
          <w:sz w:val="24"/>
          <w:lang w:val="lt-LT"/>
        </w:rPr>
        <w:t>.</w:t>
      </w:r>
    </w:p>
  </w:footnote>
  <w:footnote w:id="7">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00DE1571">
        <w:rPr>
          <w:sz w:val="24"/>
          <w:lang w:val="lt-LT"/>
        </w:rPr>
        <w:t>OL L 184, 1999 7 17</w:t>
      </w:r>
      <w:r w:rsidRPr="00A344F4">
        <w:rPr>
          <w:sz w:val="24"/>
          <w:lang w:val="lt-LT"/>
        </w:rPr>
        <w:t>, p. 23.</w:t>
      </w:r>
    </w:p>
  </w:footnote>
  <w:footnote w:id="8">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2020 m. sausio 13 d. Komisijos įgyvendinimo reglamentas (ES) 2020/23, kuriuo, remiantis Europos Parlamento ir Tarybos reglamentu (EB) Nr. 1107/2009 dėl augalų apsaugos produktų pateikimo į rinką, nepratęsiamas veikliosios medžiagos </w:t>
      </w:r>
      <w:proofErr w:type="spellStart"/>
      <w:r w:rsidRPr="00A344F4">
        <w:rPr>
          <w:sz w:val="24"/>
          <w:lang w:val="lt-LT"/>
        </w:rPr>
        <w:t>tiakloprido</w:t>
      </w:r>
      <w:proofErr w:type="spellEnd"/>
      <w:r w:rsidRPr="00A344F4">
        <w:rPr>
          <w:sz w:val="24"/>
          <w:lang w:val="lt-LT"/>
        </w:rPr>
        <w:t xml:space="preserve"> patvirtinimo galiojimas ir iš dalies keičiamas Komisijos įgyvendinimo reglamento (ES) Nr. 540/2011 priedas (OL L 8, 2020 1 14, p. 8).</w:t>
      </w:r>
    </w:p>
  </w:footnote>
  <w:footnote w:id="9">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2019 m. sausio 17 d. priimta EFSA išvada.</w:t>
      </w:r>
    </w:p>
  </w:footnote>
  <w:footnote w:id="10">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1">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2023 m. rugsėjo 18–19 d. Augalų, gyvūnų, maisto ir pašarų nuolatinio komiteto posėdžio apibendrinamoji ataskaita, </w:t>
      </w:r>
      <w:hyperlink r:id="rId4" w:history="1">
        <w:r w:rsidRPr="00A344F4">
          <w:rPr>
            <w:rStyle w:val="Hyperlink"/>
            <w:sz w:val="24"/>
            <w:lang w:val="lt-LT"/>
          </w:rPr>
          <w:t>https://ec.europa.eu/transparency/comitology-register/screen/documents/092486/1/consult?la</w:t>
        </w:r>
        <w:bookmarkStart w:id="7" w:name="_GoBack"/>
        <w:bookmarkEnd w:id="7"/>
        <w:r w:rsidRPr="00A344F4">
          <w:rPr>
            <w:rStyle w:val="Hyperlink"/>
            <w:sz w:val="24"/>
            <w:lang w:val="lt-LT"/>
          </w:rPr>
          <w:t>ng=en</w:t>
        </w:r>
      </w:hyperlink>
      <w:r w:rsidRPr="00A344F4">
        <w:rPr>
          <w:sz w:val="24"/>
          <w:lang w:val="lt-LT"/>
        </w:rPr>
        <w:t>.</w:t>
      </w:r>
    </w:p>
  </w:footnote>
  <w:footnote w:id="12">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Ten pat.</w:t>
      </w:r>
    </w:p>
  </w:footnote>
  <w:footnote w:id="13">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2023 m. vasario 9 d. priimta EFSA pagrįsta nuomonė.</w:t>
      </w:r>
    </w:p>
  </w:footnote>
  <w:footnote w:id="14">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proofErr w:type="spellStart"/>
      <w:r w:rsidRPr="00A344F4">
        <w:rPr>
          <w:sz w:val="24"/>
          <w:lang w:val="lt-LT"/>
        </w:rPr>
        <w:t>van</w:t>
      </w:r>
      <w:proofErr w:type="spellEnd"/>
      <w:r w:rsidRPr="00A344F4">
        <w:rPr>
          <w:sz w:val="24"/>
          <w:lang w:val="lt-LT"/>
        </w:rPr>
        <w:t xml:space="preserve"> </w:t>
      </w:r>
      <w:proofErr w:type="spellStart"/>
      <w:r w:rsidRPr="00A344F4">
        <w:rPr>
          <w:sz w:val="24"/>
          <w:lang w:val="lt-LT"/>
        </w:rPr>
        <w:t>der</w:t>
      </w:r>
      <w:proofErr w:type="spellEnd"/>
      <w:r w:rsidRPr="00A344F4">
        <w:rPr>
          <w:sz w:val="24"/>
          <w:lang w:val="lt-LT"/>
        </w:rPr>
        <w:t xml:space="preserve"> </w:t>
      </w:r>
      <w:proofErr w:type="spellStart"/>
      <w:r w:rsidRPr="00A344F4">
        <w:rPr>
          <w:sz w:val="24"/>
          <w:lang w:val="lt-LT"/>
        </w:rPr>
        <w:t>Sluijs</w:t>
      </w:r>
      <w:proofErr w:type="spellEnd"/>
      <w:r w:rsidRPr="00A344F4">
        <w:rPr>
          <w:sz w:val="24"/>
          <w:lang w:val="lt-LT"/>
        </w:rPr>
        <w:t xml:space="preserve">, J.P., </w:t>
      </w:r>
      <w:proofErr w:type="spellStart"/>
      <w:r w:rsidRPr="00A344F4">
        <w:rPr>
          <w:sz w:val="24"/>
          <w:lang w:val="lt-LT"/>
        </w:rPr>
        <w:t>Vaage</w:t>
      </w:r>
      <w:proofErr w:type="spellEnd"/>
      <w:r w:rsidRPr="00A344F4">
        <w:rPr>
          <w:sz w:val="24"/>
          <w:lang w:val="lt-LT"/>
        </w:rPr>
        <w:t>, N.S., „</w:t>
      </w:r>
      <w:proofErr w:type="spellStart"/>
      <w:r w:rsidRPr="00A344F4">
        <w:rPr>
          <w:sz w:val="24"/>
          <w:lang w:val="lt-LT"/>
        </w:rPr>
        <w:t>Pollinators</w:t>
      </w:r>
      <w:proofErr w:type="spellEnd"/>
      <w:r w:rsidRPr="00A344F4">
        <w:rPr>
          <w:sz w:val="24"/>
          <w:lang w:val="lt-LT"/>
        </w:rPr>
        <w:t xml:space="preserve"> </w:t>
      </w:r>
      <w:proofErr w:type="spellStart"/>
      <w:r w:rsidRPr="00A344F4">
        <w:rPr>
          <w:sz w:val="24"/>
          <w:lang w:val="lt-LT"/>
        </w:rPr>
        <w:t>and</w:t>
      </w:r>
      <w:proofErr w:type="spellEnd"/>
      <w:r w:rsidRPr="00A344F4">
        <w:rPr>
          <w:sz w:val="24"/>
          <w:lang w:val="lt-LT"/>
        </w:rPr>
        <w:t xml:space="preserve"> Global </w:t>
      </w:r>
      <w:proofErr w:type="spellStart"/>
      <w:r w:rsidRPr="00A344F4">
        <w:rPr>
          <w:sz w:val="24"/>
          <w:lang w:val="lt-LT"/>
        </w:rPr>
        <w:t>Food</w:t>
      </w:r>
      <w:proofErr w:type="spellEnd"/>
      <w:r w:rsidRPr="00A344F4">
        <w:rPr>
          <w:sz w:val="24"/>
          <w:lang w:val="lt-LT"/>
        </w:rPr>
        <w:t xml:space="preserve"> </w:t>
      </w:r>
      <w:proofErr w:type="spellStart"/>
      <w:r w:rsidRPr="00A344F4">
        <w:rPr>
          <w:sz w:val="24"/>
          <w:lang w:val="lt-LT"/>
        </w:rPr>
        <w:t>Security</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Need</w:t>
      </w:r>
      <w:proofErr w:type="spellEnd"/>
      <w:r w:rsidRPr="00A344F4">
        <w:rPr>
          <w:sz w:val="24"/>
          <w:lang w:val="lt-LT"/>
        </w:rPr>
        <w:t xml:space="preserve"> </w:t>
      </w:r>
      <w:proofErr w:type="spellStart"/>
      <w:r w:rsidRPr="00A344F4">
        <w:rPr>
          <w:sz w:val="24"/>
          <w:lang w:val="lt-LT"/>
        </w:rPr>
        <w:t>for</w:t>
      </w:r>
      <w:proofErr w:type="spellEnd"/>
      <w:r w:rsidRPr="00A344F4">
        <w:rPr>
          <w:sz w:val="24"/>
          <w:lang w:val="lt-LT"/>
        </w:rPr>
        <w:t xml:space="preserve"> </w:t>
      </w:r>
      <w:proofErr w:type="spellStart"/>
      <w:r w:rsidRPr="00A344F4">
        <w:rPr>
          <w:sz w:val="24"/>
          <w:lang w:val="lt-LT"/>
        </w:rPr>
        <w:t>Holistic</w:t>
      </w:r>
      <w:proofErr w:type="spellEnd"/>
      <w:r w:rsidRPr="00A344F4">
        <w:rPr>
          <w:sz w:val="24"/>
          <w:lang w:val="lt-LT"/>
        </w:rPr>
        <w:t xml:space="preserve"> Global </w:t>
      </w:r>
      <w:proofErr w:type="spellStart"/>
      <w:r w:rsidRPr="00A344F4">
        <w:rPr>
          <w:sz w:val="24"/>
          <w:lang w:val="lt-LT"/>
        </w:rPr>
        <w:t>Stewardship</w:t>
      </w:r>
      <w:proofErr w:type="spellEnd"/>
      <w:r w:rsidRPr="00A344F4">
        <w:rPr>
          <w:sz w:val="24"/>
          <w:lang w:val="lt-LT"/>
        </w:rPr>
        <w:t xml:space="preserve">“, </w:t>
      </w:r>
      <w:proofErr w:type="spellStart"/>
      <w:r w:rsidRPr="00A344F4">
        <w:rPr>
          <w:i/>
          <w:sz w:val="24"/>
          <w:lang w:val="lt-LT"/>
        </w:rPr>
        <w:t>Food</w:t>
      </w:r>
      <w:proofErr w:type="spellEnd"/>
      <w:r w:rsidRPr="00A344F4">
        <w:rPr>
          <w:i/>
          <w:sz w:val="24"/>
          <w:lang w:val="lt-LT"/>
        </w:rPr>
        <w:t xml:space="preserve"> </w:t>
      </w:r>
      <w:proofErr w:type="spellStart"/>
      <w:r w:rsidRPr="00A344F4">
        <w:rPr>
          <w:i/>
          <w:sz w:val="24"/>
          <w:lang w:val="lt-LT"/>
        </w:rPr>
        <w:t>ethics</w:t>
      </w:r>
      <w:proofErr w:type="spellEnd"/>
      <w:r w:rsidRPr="00A344F4">
        <w:rPr>
          <w:sz w:val="24"/>
          <w:lang w:val="lt-LT"/>
        </w:rPr>
        <w:t xml:space="preserve"> 1, 75–91 (2016), </w:t>
      </w:r>
      <w:hyperlink r:id="rId5" w:history="1">
        <w:r w:rsidRPr="00A344F4">
          <w:rPr>
            <w:rStyle w:val="Hyperlink"/>
            <w:sz w:val="24"/>
            <w:lang w:val="lt-LT"/>
          </w:rPr>
          <w:t>https://doi.org/10.1007/s41055-016-0003-z</w:t>
        </w:r>
      </w:hyperlink>
      <w:r w:rsidRPr="00A344F4">
        <w:rPr>
          <w:sz w:val="24"/>
          <w:lang w:val="lt-LT"/>
        </w:rPr>
        <w:t>.</w:t>
      </w:r>
    </w:p>
  </w:footnote>
  <w:footnote w:id="15">
    <w:p w:rsidR="00603F4E" w:rsidRPr="00A344F4" w:rsidRDefault="00603F4E" w:rsidP="00A344F4">
      <w:pPr>
        <w:pStyle w:val="FootnoteText"/>
        <w:ind w:left="567" w:hanging="567"/>
        <w:rPr>
          <w:iCs/>
          <w:sz w:val="24"/>
          <w:szCs w:val="22"/>
          <w:lang w:val="lt-LT"/>
        </w:rPr>
      </w:pPr>
      <w:r w:rsidRPr="00A344F4">
        <w:rPr>
          <w:iCs/>
          <w:sz w:val="24"/>
          <w:szCs w:val="22"/>
          <w:vertAlign w:val="superscript"/>
          <w:lang w:val="lt-LT"/>
        </w:rPr>
        <w:footnoteRef/>
      </w:r>
      <w:r w:rsidR="00A344F4" w:rsidRPr="00A344F4">
        <w:rPr>
          <w:sz w:val="24"/>
          <w:lang w:val="lt-LT"/>
        </w:rPr>
        <w:t xml:space="preserve"> </w:t>
      </w:r>
      <w:r w:rsidR="00A344F4" w:rsidRPr="00A344F4">
        <w:rPr>
          <w:sz w:val="24"/>
          <w:lang w:val="lt-LT"/>
        </w:rPr>
        <w:tab/>
      </w:r>
      <w:r w:rsidRPr="00A344F4">
        <w:rPr>
          <w:sz w:val="24"/>
          <w:lang w:val="lt-LT"/>
        </w:rPr>
        <w:t>COM(2020)0381.</w:t>
      </w:r>
    </w:p>
  </w:footnote>
  <w:footnote w:id="16">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2023 m. vasario 2 d. Komisijos reglamentas (ES) 2023/334, kuriuo dėl didžiausios leidžiamosios </w:t>
      </w:r>
      <w:proofErr w:type="spellStart"/>
      <w:r w:rsidRPr="00A344F4">
        <w:rPr>
          <w:sz w:val="24"/>
          <w:lang w:val="lt-LT"/>
        </w:rPr>
        <w:t>klotianidino</w:t>
      </w:r>
      <w:proofErr w:type="spellEnd"/>
      <w:r w:rsidRPr="00A344F4">
        <w:rPr>
          <w:sz w:val="24"/>
          <w:lang w:val="lt-LT"/>
        </w:rPr>
        <w:t xml:space="preserve"> ir </w:t>
      </w:r>
      <w:proofErr w:type="spellStart"/>
      <w:r w:rsidRPr="00A344F4">
        <w:rPr>
          <w:sz w:val="24"/>
          <w:lang w:val="lt-LT"/>
        </w:rPr>
        <w:t>tiametoksamo</w:t>
      </w:r>
      <w:proofErr w:type="spellEnd"/>
      <w:r w:rsidRPr="00A344F4">
        <w:rPr>
          <w:sz w:val="24"/>
          <w:lang w:val="lt-LT"/>
        </w:rPr>
        <w:t xml:space="preserve"> liekanų koncentracijos tam tikruose produktuose arba ant jų iš dalies keičiami Europos Parlamento ir Tarybos reglamento (EB) Nr. 396/2005 II ir V priedai (OL L 47, 2023 2 15, p. 29).</w:t>
      </w:r>
    </w:p>
  </w:footnote>
  <w:footnote w:id="17">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Ten pat.</w:t>
      </w:r>
    </w:p>
  </w:footnote>
  <w:footnote w:id="18">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2023 m. gegužės 10–11 d. Augalų, gyvūnų, maisto ir pašarų nuolatinio komiteto posėdžio apibendrinamoji ataskaita, </w:t>
      </w:r>
      <w:hyperlink r:id="rId6" w:history="1">
        <w:r w:rsidRPr="00A344F4">
          <w:rPr>
            <w:rStyle w:val="Hyperlink"/>
            <w:sz w:val="24"/>
            <w:lang w:val="lt-LT"/>
          </w:rPr>
          <w:t>https://ec.europa.eu/transparency/comitology-register/screen/documents/090500/1/consult?lang=en</w:t>
        </w:r>
      </w:hyperlink>
      <w:r w:rsidRPr="00A344F4">
        <w:rPr>
          <w:sz w:val="24"/>
          <w:lang w:val="lt-LT"/>
        </w:rPr>
        <w:t>.</w:t>
      </w:r>
    </w:p>
  </w:footnote>
  <w:footnote w:id="19">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proofErr w:type="spellStart"/>
      <w:r w:rsidRPr="00A344F4">
        <w:rPr>
          <w:sz w:val="24"/>
          <w:lang w:val="lt-LT"/>
        </w:rPr>
        <w:t>Ellis</w:t>
      </w:r>
      <w:proofErr w:type="spellEnd"/>
      <w:r w:rsidRPr="00A344F4">
        <w:rPr>
          <w:sz w:val="24"/>
          <w:lang w:val="lt-LT"/>
        </w:rPr>
        <w:t xml:space="preserve">, C., </w:t>
      </w:r>
      <w:proofErr w:type="spellStart"/>
      <w:r w:rsidRPr="00A344F4">
        <w:rPr>
          <w:sz w:val="24"/>
          <w:lang w:val="lt-LT"/>
        </w:rPr>
        <w:t>Park</w:t>
      </w:r>
      <w:proofErr w:type="spellEnd"/>
      <w:r w:rsidRPr="00A344F4">
        <w:rPr>
          <w:sz w:val="24"/>
          <w:lang w:val="lt-LT"/>
        </w:rPr>
        <w:t xml:space="preserve">, K.J., </w:t>
      </w:r>
      <w:proofErr w:type="spellStart"/>
      <w:r w:rsidRPr="00A344F4">
        <w:rPr>
          <w:sz w:val="24"/>
          <w:lang w:val="lt-LT"/>
        </w:rPr>
        <w:t>Whitehorn</w:t>
      </w:r>
      <w:proofErr w:type="spellEnd"/>
      <w:r w:rsidRPr="00A344F4">
        <w:rPr>
          <w:sz w:val="24"/>
          <w:lang w:val="lt-LT"/>
        </w:rPr>
        <w:t xml:space="preserve">, P., </w:t>
      </w:r>
      <w:proofErr w:type="spellStart"/>
      <w:r w:rsidRPr="00A344F4">
        <w:rPr>
          <w:sz w:val="24"/>
          <w:lang w:val="lt-LT"/>
        </w:rPr>
        <w:t>David</w:t>
      </w:r>
      <w:proofErr w:type="spellEnd"/>
      <w:r w:rsidRPr="00A344F4">
        <w:rPr>
          <w:sz w:val="24"/>
          <w:lang w:val="lt-LT"/>
        </w:rPr>
        <w:t xml:space="preserve">, A., </w:t>
      </w:r>
      <w:proofErr w:type="spellStart"/>
      <w:r w:rsidRPr="00A344F4">
        <w:rPr>
          <w:sz w:val="24"/>
          <w:lang w:val="lt-LT"/>
        </w:rPr>
        <w:t>Goulson</w:t>
      </w:r>
      <w:proofErr w:type="spellEnd"/>
      <w:r w:rsidRPr="00A344F4">
        <w:rPr>
          <w:sz w:val="24"/>
          <w:lang w:val="lt-LT"/>
        </w:rPr>
        <w:t>, D.,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Neonicotinoid</w:t>
      </w:r>
      <w:proofErr w:type="spellEnd"/>
      <w:r w:rsidRPr="00A344F4">
        <w:rPr>
          <w:sz w:val="24"/>
          <w:lang w:val="lt-LT"/>
        </w:rPr>
        <w:t xml:space="preserve"> </w:t>
      </w:r>
      <w:proofErr w:type="spellStart"/>
      <w:r w:rsidRPr="00A344F4">
        <w:rPr>
          <w:sz w:val="24"/>
          <w:lang w:val="lt-LT"/>
        </w:rPr>
        <w:t>Insecticide</w:t>
      </w:r>
      <w:proofErr w:type="spellEnd"/>
      <w:r w:rsidRPr="00A344F4">
        <w:rPr>
          <w:sz w:val="24"/>
          <w:lang w:val="lt-LT"/>
        </w:rPr>
        <w:t xml:space="preserve"> </w:t>
      </w:r>
      <w:proofErr w:type="spellStart"/>
      <w:r w:rsidRPr="00A344F4">
        <w:rPr>
          <w:sz w:val="24"/>
          <w:lang w:val="lt-LT"/>
        </w:rPr>
        <w:t>Thiacloprid</w:t>
      </w:r>
      <w:proofErr w:type="spellEnd"/>
      <w:r w:rsidRPr="00A344F4">
        <w:rPr>
          <w:sz w:val="24"/>
          <w:lang w:val="lt-LT"/>
        </w:rPr>
        <w:t xml:space="preserve"> </w:t>
      </w:r>
      <w:proofErr w:type="spellStart"/>
      <w:r w:rsidRPr="00A344F4">
        <w:rPr>
          <w:sz w:val="24"/>
          <w:lang w:val="lt-LT"/>
        </w:rPr>
        <w:t>Impacts</w:t>
      </w:r>
      <w:proofErr w:type="spellEnd"/>
      <w:r w:rsidRPr="00A344F4">
        <w:rPr>
          <w:sz w:val="24"/>
          <w:lang w:val="lt-LT"/>
        </w:rPr>
        <w:t xml:space="preserve"> </w:t>
      </w:r>
      <w:proofErr w:type="spellStart"/>
      <w:r w:rsidRPr="00A344F4">
        <w:rPr>
          <w:sz w:val="24"/>
          <w:lang w:val="lt-LT"/>
        </w:rPr>
        <w:t>upon</w:t>
      </w:r>
      <w:proofErr w:type="spellEnd"/>
      <w:r w:rsidRPr="00A344F4">
        <w:rPr>
          <w:sz w:val="24"/>
          <w:lang w:val="lt-LT"/>
        </w:rPr>
        <w:t xml:space="preserve"> </w:t>
      </w:r>
      <w:proofErr w:type="spellStart"/>
      <w:r w:rsidRPr="00A344F4">
        <w:rPr>
          <w:sz w:val="24"/>
          <w:lang w:val="lt-LT"/>
        </w:rPr>
        <w:t>Bumblebee</w:t>
      </w:r>
      <w:proofErr w:type="spellEnd"/>
      <w:r w:rsidRPr="00A344F4">
        <w:rPr>
          <w:sz w:val="24"/>
          <w:lang w:val="lt-LT"/>
        </w:rPr>
        <w:t xml:space="preserve"> </w:t>
      </w:r>
      <w:proofErr w:type="spellStart"/>
      <w:r w:rsidRPr="00A344F4">
        <w:rPr>
          <w:sz w:val="24"/>
          <w:lang w:val="lt-LT"/>
        </w:rPr>
        <w:t>Colony</w:t>
      </w:r>
      <w:proofErr w:type="spellEnd"/>
      <w:r w:rsidRPr="00A344F4">
        <w:rPr>
          <w:sz w:val="24"/>
          <w:lang w:val="lt-LT"/>
        </w:rPr>
        <w:t xml:space="preserve"> </w:t>
      </w:r>
      <w:proofErr w:type="spellStart"/>
      <w:r w:rsidRPr="00A344F4">
        <w:rPr>
          <w:sz w:val="24"/>
          <w:lang w:val="lt-LT"/>
        </w:rPr>
        <w:t>Development</w:t>
      </w:r>
      <w:proofErr w:type="spellEnd"/>
      <w:r w:rsidRPr="00A344F4">
        <w:rPr>
          <w:sz w:val="24"/>
          <w:lang w:val="lt-LT"/>
        </w:rPr>
        <w:t xml:space="preserve"> </w:t>
      </w:r>
      <w:proofErr w:type="spellStart"/>
      <w:r w:rsidRPr="00A344F4">
        <w:rPr>
          <w:sz w:val="24"/>
          <w:lang w:val="lt-LT"/>
        </w:rPr>
        <w:t>under</w:t>
      </w:r>
      <w:proofErr w:type="spellEnd"/>
      <w:r w:rsidRPr="00A344F4">
        <w:rPr>
          <w:sz w:val="24"/>
          <w:lang w:val="lt-LT"/>
        </w:rPr>
        <w:t xml:space="preserve"> </w:t>
      </w:r>
      <w:proofErr w:type="spellStart"/>
      <w:r w:rsidRPr="00A344F4">
        <w:rPr>
          <w:sz w:val="24"/>
          <w:lang w:val="lt-LT"/>
        </w:rPr>
        <w:t>Field</w:t>
      </w:r>
      <w:proofErr w:type="spellEnd"/>
      <w:r w:rsidRPr="00A344F4">
        <w:rPr>
          <w:sz w:val="24"/>
          <w:lang w:val="lt-LT"/>
        </w:rPr>
        <w:t xml:space="preserve"> </w:t>
      </w:r>
      <w:proofErr w:type="spellStart"/>
      <w:r w:rsidRPr="00A344F4">
        <w:rPr>
          <w:sz w:val="24"/>
          <w:lang w:val="lt-LT"/>
        </w:rPr>
        <w:t>Conditions</w:t>
      </w:r>
      <w:proofErr w:type="spellEnd"/>
      <w:r w:rsidRPr="00A344F4">
        <w:rPr>
          <w:sz w:val="24"/>
          <w:lang w:val="lt-LT"/>
        </w:rPr>
        <w:t xml:space="preserve">“, </w:t>
      </w:r>
      <w:proofErr w:type="spellStart"/>
      <w:r w:rsidRPr="00A344F4">
        <w:rPr>
          <w:i/>
          <w:sz w:val="24"/>
          <w:lang w:val="lt-LT"/>
        </w:rPr>
        <w:t>Environmental</w:t>
      </w:r>
      <w:proofErr w:type="spellEnd"/>
      <w:r w:rsidRPr="00A344F4">
        <w:rPr>
          <w:i/>
          <w:sz w:val="24"/>
          <w:lang w:val="lt-LT"/>
        </w:rPr>
        <w:t xml:space="preserve"> </w:t>
      </w:r>
      <w:proofErr w:type="spellStart"/>
      <w:r w:rsidRPr="00A344F4">
        <w:rPr>
          <w:i/>
          <w:sz w:val="24"/>
          <w:lang w:val="lt-LT"/>
        </w:rPr>
        <w:t>Science</w:t>
      </w:r>
      <w:proofErr w:type="spellEnd"/>
      <w:r w:rsidRPr="00A344F4">
        <w:rPr>
          <w:i/>
          <w:sz w:val="24"/>
          <w:lang w:val="lt-LT"/>
        </w:rPr>
        <w:t xml:space="preserve"> &amp; </w:t>
      </w:r>
      <w:proofErr w:type="spellStart"/>
      <w:r w:rsidRPr="00A344F4">
        <w:rPr>
          <w:i/>
          <w:sz w:val="24"/>
          <w:lang w:val="lt-LT"/>
        </w:rPr>
        <w:t>Technology</w:t>
      </w:r>
      <w:proofErr w:type="spellEnd"/>
      <w:r w:rsidRPr="00A344F4">
        <w:rPr>
          <w:sz w:val="24"/>
          <w:lang w:val="lt-LT"/>
        </w:rPr>
        <w:t xml:space="preserve"> 2017, 51, 3, 1727–1732, </w:t>
      </w:r>
      <w:hyperlink r:id="rId7" w:history="1">
        <w:r w:rsidRPr="00A344F4">
          <w:rPr>
            <w:rStyle w:val="Hyperlink"/>
            <w:sz w:val="24"/>
            <w:lang w:val="lt-LT"/>
          </w:rPr>
          <w:t>https://pubs.acs.org/doi/10.1021/acs.est.6b04791</w:t>
        </w:r>
      </w:hyperlink>
      <w:r w:rsidRPr="00A344F4">
        <w:rPr>
          <w:sz w:val="24"/>
          <w:lang w:val="lt-LT"/>
        </w:rPr>
        <w:t>.</w:t>
      </w:r>
    </w:p>
  </w:footnote>
  <w:footnote w:id="20">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r w:rsidRPr="00A344F4">
        <w:rPr>
          <w:sz w:val="24"/>
          <w:lang w:val="lt-LT"/>
        </w:rPr>
        <w:t>Ten pat.</w:t>
      </w:r>
    </w:p>
  </w:footnote>
  <w:footnote w:id="21">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proofErr w:type="spellStart"/>
      <w:r w:rsidRPr="00A344F4">
        <w:rPr>
          <w:sz w:val="24"/>
          <w:lang w:val="lt-LT"/>
        </w:rPr>
        <w:t>Brandt</w:t>
      </w:r>
      <w:proofErr w:type="spellEnd"/>
      <w:r w:rsidRPr="00A344F4">
        <w:rPr>
          <w:sz w:val="24"/>
          <w:lang w:val="lt-LT"/>
        </w:rPr>
        <w:t xml:space="preserve">, A., </w:t>
      </w:r>
      <w:proofErr w:type="spellStart"/>
      <w:r w:rsidRPr="00A344F4">
        <w:rPr>
          <w:sz w:val="24"/>
          <w:lang w:val="lt-LT"/>
        </w:rPr>
        <w:t>Gorenflo</w:t>
      </w:r>
      <w:proofErr w:type="spellEnd"/>
      <w:r w:rsidRPr="00A344F4">
        <w:rPr>
          <w:sz w:val="24"/>
          <w:lang w:val="lt-LT"/>
        </w:rPr>
        <w:t xml:space="preserve">, A., </w:t>
      </w:r>
      <w:proofErr w:type="spellStart"/>
      <w:r w:rsidRPr="00A344F4">
        <w:rPr>
          <w:sz w:val="24"/>
          <w:lang w:val="lt-LT"/>
        </w:rPr>
        <w:t>Siede</w:t>
      </w:r>
      <w:proofErr w:type="spellEnd"/>
      <w:r w:rsidRPr="00A344F4">
        <w:rPr>
          <w:sz w:val="24"/>
          <w:lang w:val="lt-LT"/>
        </w:rPr>
        <w:t xml:space="preserve">, R., </w:t>
      </w:r>
      <w:proofErr w:type="spellStart"/>
      <w:r w:rsidRPr="00A344F4">
        <w:rPr>
          <w:sz w:val="24"/>
          <w:lang w:val="lt-LT"/>
        </w:rPr>
        <w:t>Meixner</w:t>
      </w:r>
      <w:proofErr w:type="spellEnd"/>
      <w:r w:rsidRPr="00A344F4">
        <w:rPr>
          <w:sz w:val="24"/>
          <w:lang w:val="lt-LT"/>
        </w:rPr>
        <w:t xml:space="preserve">, M., </w:t>
      </w:r>
      <w:proofErr w:type="spellStart"/>
      <w:r w:rsidRPr="00A344F4">
        <w:rPr>
          <w:sz w:val="24"/>
          <w:lang w:val="lt-LT"/>
        </w:rPr>
        <w:t>Büchler</w:t>
      </w:r>
      <w:proofErr w:type="spellEnd"/>
      <w:r w:rsidRPr="00A344F4">
        <w:rPr>
          <w:sz w:val="24"/>
          <w:lang w:val="lt-LT"/>
        </w:rPr>
        <w:t>, R.,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neonicotinoids</w:t>
      </w:r>
      <w:proofErr w:type="spellEnd"/>
      <w:r w:rsidRPr="00A344F4">
        <w:rPr>
          <w:sz w:val="24"/>
          <w:lang w:val="lt-LT"/>
        </w:rPr>
        <w:t xml:space="preserve"> </w:t>
      </w:r>
      <w:proofErr w:type="spellStart"/>
      <w:r w:rsidRPr="00A344F4">
        <w:rPr>
          <w:sz w:val="24"/>
          <w:lang w:val="lt-LT"/>
        </w:rPr>
        <w:t>thiacloprid</w:t>
      </w:r>
      <w:proofErr w:type="spellEnd"/>
      <w:r w:rsidRPr="00A344F4">
        <w:rPr>
          <w:sz w:val="24"/>
          <w:lang w:val="lt-LT"/>
        </w:rPr>
        <w:t xml:space="preserve">, </w:t>
      </w:r>
      <w:proofErr w:type="spellStart"/>
      <w:r w:rsidRPr="00A344F4">
        <w:rPr>
          <w:sz w:val="24"/>
          <w:lang w:val="lt-LT"/>
        </w:rPr>
        <w:t>imidacloprid</w:t>
      </w:r>
      <w:proofErr w:type="spellEnd"/>
      <w:r w:rsidRPr="00A344F4">
        <w:rPr>
          <w:sz w:val="24"/>
          <w:lang w:val="lt-LT"/>
        </w:rPr>
        <w:t xml:space="preserve">, </w:t>
      </w:r>
      <w:proofErr w:type="spellStart"/>
      <w:r w:rsidRPr="00A344F4">
        <w:rPr>
          <w:sz w:val="24"/>
          <w:lang w:val="lt-LT"/>
        </w:rPr>
        <w:t>and</w:t>
      </w:r>
      <w:proofErr w:type="spellEnd"/>
      <w:r w:rsidRPr="00A344F4">
        <w:rPr>
          <w:sz w:val="24"/>
          <w:lang w:val="lt-LT"/>
        </w:rPr>
        <w:t xml:space="preserve"> </w:t>
      </w:r>
      <w:proofErr w:type="spellStart"/>
      <w:r w:rsidRPr="00A344F4">
        <w:rPr>
          <w:sz w:val="24"/>
          <w:lang w:val="lt-LT"/>
        </w:rPr>
        <w:t>clothianidin</w:t>
      </w:r>
      <w:proofErr w:type="spellEnd"/>
      <w:r w:rsidRPr="00A344F4">
        <w:rPr>
          <w:sz w:val="24"/>
          <w:lang w:val="lt-LT"/>
        </w:rPr>
        <w:t xml:space="preserve"> </w:t>
      </w:r>
      <w:proofErr w:type="spellStart"/>
      <w:r w:rsidRPr="00A344F4">
        <w:rPr>
          <w:sz w:val="24"/>
          <w:lang w:val="lt-LT"/>
        </w:rPr>
        <w:t>affect</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immunocompetence</w:t>
      </w:r>
      <w:proofErr w:type="spellEnd"/>
      <w:r w:rsidRPr="00A344F4">
        <w:rPr>
          <w:sz w:val="24"/>
          <w:lang w:val="lt-LT"/>
        </w:rPr>
        <w:t xml:space="preserve"> </w:t>
      </w:r>
      <w:proofErr w:type="spellStart"/>
      <w:r w:rsidRPr="00A344F4">
        <w:rPr>
          <w:sz w:val="24"/>
          <w:lang w:val="lt-LT"/>
        </w:rPr>
        <w:t>of</w:t>
      </w:r>
      <w:proofErr w:type="spellEnd"/>
      <w:r w:rsidRPr="00A344F4">
        <w:rPr>
          <w:sz w:val="24"/>
          <w:lang w:val="lt-LT"/>
        </w:rPr>
        <w:t xml:space="preserve"> </w:t>
      </w:r>
      <w:proofErr w:type="spellStart"/>
      <w:r w:rsidRPr="00A344F4">
        <w:rPr>
          <w:sz w:val="24"/>
          <w:lang w:val="lt-LT"/>
        </w:rPr>
        <w:t>honey</w:t>
      </w:r>
      <w:proofErr w:type="spellEnd"/>
      <w:r w:rsidRPr="00A344F4">
        <w:rPr>
          <w:sz w:val="24"/>
          <w:lang w:val="lt-LT"/>
        </w:rPr>
        <w:t xml:space="preserve"> </w:t>
      </w:r>
      <w:proofErr w:type="spellStart"/>
      <w:r w:rsidRPr="00A344F4">
        <w:rPr>
          <w:sz w:val="24"/>
          <w:lang w:val="lt-LT"/>
        </w:rPr>
        <w:t>bees</w:t>
      </w:r>
      <w:proofErr w:type="spellEnd"/>
      <w:r w:rsidRPr="00A344F4">
        <w:rPr>
          <w:sz w:val="24"/>
          <w:lang w:val="lt-LT"/>
        </w:rPr>
        <w:t xml:space="preserve"> (</w:t>
      </w:r>
      <w:proofErr w:type="spellStart"/>
      <w:r w:rsidRPr="00A344F4">
        <w:rPr>
          <w:i/>
          <w:sz w:val="24"/>
          <w:lang w:val="lt-LT"/>
        </w:rPr>
        <w:t>Apis</w:t>
      </w:r>
      <w:proofErr w:type="spellEnd"/>
      <w:r w:rsidRPr="00A344F4">
        <w:rPr>
          <w:i/>
          <w:sz w:val="24"/>
          <w:lang w:val="lt-LT"/>
        </w:rPr>
        <w:t xml:space="preserve"> </w:t>
      </w:r>
      <w:proofErr w:type="spellStart"/>
      <w:r w:rsidRPr="00A344F4">
        <w:rPr>
          <w:i/>
          <w:sz w:val="24"/>
          <w:lang w:val="lt-LT"/>
        </w:rPr>
        <w:t>mellifera</w:t>
      </w:r>
      <w:proofErr w:type="spellEnd"/>
      <w:r w:rsidRPr="00A344F4">
        <w:rPr>
          <w:sz w:val="24"/>
          <w:lang w:val="lt-LT"/>
        </w:rPr>
        <w:t xml:space="preserve"> L.)“, </w:t>
      </w:r>
      <w:proofErr w:type="spellStart"/>
      <w:r w:rsidRPr="00A344F4">
        <w:rPr>
          <w:i/>
          <w:sz w:val="24"/>
          <w:lang w:val="lt-LT"/>
        </w:rPr>
        <w:t>Journal</w:t>
      </w:r>
      <w:proofErr w:type="spellEnd"/>
      <w:r w:rsidRPr="00A344F4">
        <w:rPr>
          <w:i/>
          <w:sz w:val="24"/>
          <w:lang w:val="lt-LT"/>
        </w:rPr>
        <w:t xml:space="preserve"> </w:t>
      </w:r>
      <w:proofErr w:type="spellStart"/>
      <w:r w:rsidRPr="00A344F4">
        <w:rPr>
          <w:i/>
          <w:sz w:val="24"/>
          <w:lang w:val="lt-LT"/>
        </w:rPr>
        <w:t>of</w:t>
      </w:r>
      <w:proofErr w:type="spellEnd"/>
      <w:r w:rsidRPr="00A344F4">
        <w:rPr>
          <w:i/>
          <w:sz w:val="24"/>
          <w:lang w:val="lt-LT"/>
        </w:rPr>
        <w:t xml:space="preserve"> </w:t>
      </w:r>
      <w:proofErr w:type="spellStart"/>
      <w:r w:rsidRPr="00A344F4">
        <w:rPr>
          <w:i/>
          <w:sz w:val="24"/>
          <w:lang w:val="lt-LT"/>
        </w:rPr>
        <w:t>Insect</w:t>
      </w:r>
      <w:proofErr w:type="spellEnd"/>
      <w:r w:rsidRPr="00A344F4">
        <w:rPr>
          <w:i/>
          <w:sz w:val="24"/>
          <w:lang w:val="lt-LT"/>
        </w:rPr>
        <w:t xml:space="preserve"> </w:t>
      </w:r>
      <w:proofErr w:type="spellStart"/>
      <w:r w:rsidRPr="00A344F4">
        <w:rPr>
          <w:i/>
          <w:sz w:val="24"/>
          <w:lang w:val="lt-LT"/>
        </w:rPr>
        <w:t>Physiology</w:t>
      </w:r>
      <w:proofErr w:type="spellEnd"/>
      <w:r w:rsidRPr="00A344F4">
        <w:rPr>
          <w:sz w:val="24"/>
          <w:lang w:val="lt-LT"/>
        </w:rPr>
        <w:t xml:space="preserve">, 86 tomas, 2016 m. kovo mėn., p. 40–47, </w:t>
      </w:r>
      <w:hyperlink r:id="rId8" w:history="1">
        <w:r w:rsidRPr="00A344F4">
          <w:rPr>
            <w:rStyle w:val="Hyperlink"/>
            <w:sz w:val="24"/>
            <w:lang w:val="lt-LT"/>
          </w:rPr>
          <w:t>https://www.sciencedirect.com/science/article/pii/S0022191016300014</w:t>
        </w:r>
      </w:hyperlink>
      <w:r w:rsidRPr="00A344F4">
        <w:rPr>
          <w:sz w:val="24"/>
          <w:lang w:val="lt-LT"/>
        </w:rPr>
        <w:t>.</w:t>
      </w:r>
    </w:p>
  </w:footnote>
  <w:footnote w:id="22">
    <w:p w:rsidR="00603F4E" w:rsidRPr="00A344F4" w:rsidRDefault="00603F4E" w:rsidP="00A344F4">
      <w:pPr>
        <w:pStyle w:val="FootnoteText"/>
        <w:keepN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proofErr w:type="spellStart"/>
      <w:r w:rsidRPr="00A344F4">
        <w:rPr>
          <w:sz w:val="24"/>
          <w:lang w:val="lt-LT"/>
        </w:rPr>
        <w:t>Tison</w:t>
      </w:r>
      <w:proofErr w:type="spellEnd"/>
      <w:r w:rsidRPr="00A344F4">
        <w:rPr>
          <w:sz w:val="24"/>
          <w:lang w:val="lt-LT"/>
        </w:rPr>
        <w:t xml:space="preserve">, L., </w:t>
      </w:r>
      <w:proofErr w:type="spellStart"/>
      <w:r w:rsidRPr="00A344F4">
        <w:rPr>
          <w:sz w:val="24"/>
          <w:lang w:val="lt-LT"/>
        </w:rPr>
        <w:t>Hahn</w:t>
      </w:r>
      <w:proofErr w:type="spellEnd"/>
      <w:r w:rsidRPr="00A344F4">
        <w:rPr>
          <w:sz w:val="24"/>
          <w:lang w:val="lt-LT"/>
        </w:rPr>
        <w:t xml:space="preserve">, M.-L., </w:t>
      </w:r>
      <w:proofErr w:type="spellStart"/>
      <w:r w:rsidRPr="00A344F4">
        <w:rPr>
          <w:sz w:val="24"/>
          <w:lang w:val="lt-LT"/>
        </w:rPr>
        <w:t>Holtz</w:t>
      </w:r>
      <w:proofErr w:type="spellEnd"/>
      <w:r w:rsidRPr="00A344F4">
        <w:rPr>
          <w:sz w:val="24"/>
          <w:lang w:val="lt-LT"/>
        </w:rPr>
        <w:t xml:space="preserve">, S., </w:t>
      </w:r>
      <w:proofErr w:type="spellStart"/>
      <w:r w:rsidRPr="00A344F4">
        <w:rPr>
          <w:sz w:val="24"/>
          <w:lang w:val="lt-LT"/>
        </w:rPr>
        <w:t>Rößner</w:t>
      </w:r>
      <w:proofErr w:type="spellEnd"/>
      <w:r w:rsidRPr="00A344F4">
        <w:rPr>
          <w:sz w:val="24"/>
          <w:lang w:val="lt-LT"/>
        </w:rPr>
        <w:t xml:space="preserve"> A., </w:t>
      </w:r>
      <w:proofErr w:type="spellStart"/>
      <w:r w:rsidRPr="00A344F4">
        <w:rPr>
          <w:sz w:val="24"/>
          <w:lang w:val="lt-LT"/>
        </w:rPr>
        <w:t>Greggers</w:t>
      </w:r>
      <w:proofErr w:type="spellEnd"/>
      <w:r w:rsidRPr="00A344F4">
        <w:rPr>
          <w:sz w:val="24"/>
          <w:lang w:val="lt-LT"/>
        </w:rPr>
        <w:t xml:space="preserve">, U., </w:t>
      </w:r>
      <w:proofErr w:type="spellStart"/>
      <w:r w:rsidRPr="00A344F4">
        <w:rPr>
          <w:sz w:val="24"/>
          <w:lang w:val="lt-LT"/>
        </w:rPr>
        <w:t>Bischoff</w:t>
      </w:r>
      <w:proofErr w:type="spellEnd"/>
      <w:r w:rsidRPr="00A344F4">
        <w:rPr>
          <w:sz w:val="24"/>
          <w:lang w:val="lt-LT"/>
        </w:rPr>
        <w:t xml:space="preserve">, G., </w:t>
      </w:r>
      <w:proofErr w:type="spellStart"/>
      <w:r w:rsidRPr="00A344F4">
        <w:rPr>
          <w:sz w:val="24"/>
          <w:lang w:val="lt-LT"/>
        </w:rPr>
        <w:t>and</w:t>
      </w:r>
      <w:proofErr w:type="spellEnd"/>
      <w:r w:rsidRPr="00A344F4">
        <w:rPr>
          <w:sz w:val="24"/>
          <w:lang w:val="lt-LT"/>
        </w:rPr>
        <w:t xml:space="preserve"> </w:t>
      </w:r>
      <w:proofErr w:type="spellStart"/>
      <w:r w:rsidRPr="00A344F4">
        <w:rPr>
          <w:sz w:val="24"/>
          <w:lang w:val="lt-LT"/>
        </w:rPr>
        <w:t>Menzel</w:t>
      </w:r>
      <w:proofErr w:type="spellEnd"/>
      <w:r w:rsidRPr="00A344F4">
        <w:rPr>
          <w:sz w:val="24"/>
          <w:lang w:val="lt-LT"/>
        </w:rPr>
        <w:t>, R., „</w:t>
      </w:r>
      <w:proofErr w:type="spellStart"/>
      <w:r w:rsidRPr="00A344F4">
        <w:rPr>
          <w:sz w:val="24"/>
          <w:lang w:val="lt-LT"/>
        </w:rPr>
        <w:t>Honey</w:t>
      </w:r>
      <w:proofErr w:type="spellEnd"/>
      <w:r w:rsidRPr="00A344F4">
        <w:rPr>
          <w:sz w:val="24"/>
          <w:lang w:val="lt-LT"/>
        </w:rPr>
        <w:t xml:space="preserve"> </w:t>
      </w:r>
      <w:proofErr w:type="spellStart"/>
      <w:r w:rsidRPr="00A344F4">
        <w:rPr>
          <w:sz w:val="24"/>
          <w:lang w:val="lt-LT"/>
        </w:rPr>
        <w:t>Bees</w:t>
      </w:r>
      <w:proofErr w:type="spellEnd"/>
      <w:r w:rsidRPr="00A344F4">
        <w:rPr>
          <w:sz w:val="24"/>
          <w:lang w:val="lt-LT"/>
        </w:rPr>
        <w:t xml:space="preserve">’ </w:t>
      </w:r>
      <w:proofErr w:type="spellStart"/>
      <w:r w:rsidRPr="00A344F4">
        <w:rPr>
          <w:sz w:val="24"/>
          <w:lang w:val="lt-LT"/>
        </w:rPr>
        <w:t>Behavior</w:t>
      </w:r>
      <w:proofErr w:type="spellEnd"/>
      <w:r w:rsidRPr="00A344F4">
        <w:rPr>
          <w:sz w:val="24"/>
          <w:lang w:val="lt-LT"/>
        </w:rPr>
        <w:t xml:space="preserve"> </w:t>
      </w:r>
      <w:proofErr w:type="spellStart"/>
      <w:r w:rsidRPr="00A344F4">
        <w:rPr>
          <w:sz w:val="24"/>
          <w:lang w:val="lt-LT"/>
        </w:rPr>
        <w:t>Is</w:t>
      </w:r>
      <w:proofErr w:type="spellEnd"/>
      <w:r w:rsidRPr="00A344F4">
        <w:rPr>
          <w:sz w:val="24"/>
          <w:lang w:val="lt-LT"/>
        </w:rPr>
        <w:t xml:space="preserve"> </w:t>
      </w:r>
      <w:proofErr w:type="spellStart"/>
      <w:r w:rsidRPr="00A344F4">
        <w:rPr>
          <w:sz w:val="24"/>
          <w:lang w:val="lt-LT"/>
        </w:rPr>
        <w:t>Impaired</w:t>
      </w:r>
      <w:proofErr w:type="spellEnd"/>
      <w:r w:rsidRPr="00A344F4">
        <w:rPr>
          <w:sz w:val="24"/>
          <w:lang w:val="lt-LT"/>
        </w:rPr>
        <w:t xml:space="preserve"> </w:t>
      </w:r>
      <w:proofErr w:type="spellStart"/>
      <w:r w:rsidRPr="00A344F4">
        <w:rPr>
          <w:sz w:val="24"/>
          <w:lang w:val="lt-LT"/>
        </w:rPr>
        <w:t>by</w:t>
      </w:r>
      <w:proofErr w:type="spellEnd"/>
      <w:r w:rsidRPr="00A344F4">
        <w:rPr>
          <w:sz w:val="24"/>
          <w:lang w:val="lt-LT"/>
        </w:rPr>
        <w:t xml:space="preserve"> </w:t>
      </w:r>
      <w:proofErr w:type="spellStart"/>
      <w:r w:rsidRPr="00A344F4">
        <w:rPr>
          <w:sz w:val="24"/>
          <w:lang w:val="lt-LT"/>
        </w:rPr>
        <w:t>Chronic</w:t>
      </w:r>
      <w:proofErr w:type="spellEnd"/>
      <w:r w:rsidRPr="00A344F4">
        <w:rPr>
          <w:sz w:val="24"/>
          <w:lang w:val="lt-LT"/>
        </w:rPr>
        <w:t xml:space="preserve"> </w:t>
      </w:r>
      <w:proofErr w:type="spellStart"/>
      <w:r w:rsidRPr="00A344F4">
        <w:rPr>
          <w:sz w:val="24"/>
          <w:lang w:val="lt-LT"/>
        </w:rPr>
        <w:t>Exposure</w:t>
      </w:r>
      <w:proofErr w:type="spellEnd"/>
      <w:r w:rsidRPr="00A344F4">
        <w:rPr>
          <w:sz w:val="24"/>
          <w:lang w:val="lt-LT"/>
        </w:rPr>
        <w:t xml:space="preserve"> to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Neonicotinoid</w:t>
      </w:r>
      <w:proofErr w:type="spellEnd"/>
      <w:r w:rsidRPr="00A344F4">
        <w:rPr>
          <w:sz w:val="24"/>
          <w:lang w:val="lt-LT"/>
        </w:rPr>
        <w:t xml:space="preserve"> </w:t>
      </w:r>
      <w:proofErr w:type="spellStart"/>
      <w:r w:rsidRPr="00A344F4">
        <w:rPr>
          <w:sz w:val="24"/>
          <w:lang w:val="lt-LT"/>
        </w:rPr>
        <w:t>Thiacloprid</w:t>
      </w:r>
      <w:proofErr w:type="spellEnd"/>
      <w:r w:rsidRPr="00A344F4">
        <w:rPr>
          <w:sz w:val="24"/>
          <w:lang w:val="lt-LT"/>
        </w:rPr>
        <w:t xml:space="preserve"> </w:t>
      </w:r>
      <w:proofErr w:type="spellStart"/>
      <w:r w:rsidRPr="00A344F4">
        <w:rPr>
          <w:sz w:val="24"/>
          <w:lang w:val="lt-LT"/>
        </w:rPr>
        <w:t>in</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Field</w:t>
      </w:r>
      <w:proofErr w:type="spellEnd"/>
      <w:r w:rsidRPr="00A344F4">
        <w:rPr>
          <w:sz w:val="24"/>
          <w:lang w:val="lt-LT"/>
        </w:rPr>
        <w:t xml:space="preserve">“, </w:t>
      </w:r>
      <w:proofErr w:type="spellStart"/>
      <w:r w:rsidRPr="00A344F4">
        <w:rPr>
          <w:i/>
          <w:sz w:val="24"/>
          <w:lang w:val="lt-LT"/>
        </w:rPr>
        <w:t>Environmental</w:t>
      </w:r>
      <w:proofErr w:type="spellEnd"/>
      <w:r w:rsidRPr="00A344F4">
        <w:rPr>
          <w:i/>
          <w:sz w:val="24"/>
          <w:lang w:val="lt-LT"/>
        </w:rPr>
        <w:t xml:space="preserve"> </w:t>
      </w:r>
      <w:proofErr w:type="spellStart"/>
      <w:r w:rsidRPr="00A344F4">
        <w:rPr>
          <w:i/>
          <w:sz w:val="24"/>
          <w:lang w:val="lt-LT"/>
        </w:rPr>
        <w:t>Science</w:t>
      </w:r>
      <w:proofErr w:type="spellEnd"/>
      <w:r w:rsidRPr="00A344F4">
        <w:rPr>
          <w:i/>
          <w:sz w:val="24"/>
          <w:lang w:val="lt-LT"/>
        </w:rPr>
        <w:t xml:space="preserve"> &amp; </w:t>
      </w:r>
      <w:proofErr w:type="spellStart"/>
      <w:r w:rsidRPr="00A344F4">
        <w:rPr>
          <w:i/>
          <w:sz w:val="24"/>
          <w:lang w:val="lt-LT"/>
        </w:rPr>
        <w:t>Technology</w:t>
      </w:r>
      <w:proofErr w:type="spellEnd"/>
      <w:r w:rsidRPr="00A344F4">
        <w:rPr>
          <w:sz w:val="24"/>
          <w:lang w:val="lt-LT"/>
        </w:rPr>
        <w:t xml:space="preserve"> 2016, 50, 13, 7218–7227, </w:t>
      </w:r>
      <w:hyperlink r:id="rId9" w:history="1">
        <w:r w:rsidRPr="00A344F4">
          <w:rPr>
            <w:rStyle w:val="Hyperlink"/>
            <w:sz w:val="24"/>
            <w:lang w:val="lt-LT"/>
          </w:rPr>
          <w:t>https://pubs.acs.org/doi/full/10.1021/acs.est.6b02658</w:t>
        </w:r>
      </w:hyperlink>
      <w:r w:rsidRPr="00A344F4">
        <w:rPr>
          <w:sz w:val="24"/>
          <w:lang w:val="lt-LT"/>
        </w:rPr>
        <w:t xml:space="preserve">. </w:t>
      </w:r>
    </w:p>
  </w:footnote>
  <w:footnote w:id="23">
    <w:p w:rsidR="00603F4E" w:rsidRPr="00A344F4" w:rsidRDefault="00603F4E" w:rsidP="00A344F4">
      <w:pPr>
        <w:pStyle w:val="FootnoteText"/>
        <w:ind w:left="567" w:hanging="567"/>
        <w:rPr>
          <w:iCs/>
          <w:sz w:val="24"/>
          <w:szCs w:val="22"/>
          <w:lang w:val="lt-LT"/>
        </w:rPr>
      </w:pPr>
      <w:r w:rsidRPr="00A344F4">
        <w:rPr>
          <w:iCs/>
          <w:sz w:val="24"/>
          <w:szCs w:val="22"/>
          <w:vertAlign w:val="superscript"/>
          <w:lang w:val="lt-LT"/>
        </w:rPr>
        <w:footnoteRef/>
      </w:r>
      <w:r w:rsidR="00A344F4" w:rsidRPr="00A344F4">
        <w:rPr>
          <w:sz w:val="24"/>
          <w:lang w:val="lt-LT"/>
        </w:rPr>
        <w:t xml:space="preserve"> </w:t>
      </w:r>
      <w:r w:rsidR="00A344F4" w:rsidRPr="00A344F4">
        <w:rPr>
          <w:sz w:val="24"/>
          <w:lang w:val="lt-LT"/>
        </w:rPr>
        <w:tab/>
      </w:r>
      <w:r w:rsidRPr="00A344F4">
        <w:rPr>
          <w:sz w:val="24"/>
          <w:lang w:val="lt-LT"/>
        </w:rPr>
        <w:t xml:space="preserve">Pisa, L., </w:t>
      </w:r>
      <w:proofErr w:type="spellStart"/>
      <w:r w:rsidRPr="00A344F4">
        <w:rPr>
          <w:sz w:val="24"/>
          <w:lang w:val="lt-LT"/>
        </w:rPr>
        <w:t>Goulson</w:t>
      </w:r>
      <w:proofErr w:type="spellEnd"/>
      <w:r w:rsidRPr="00A344F4">
        <w:rPr>
          <w:sz w:val="24"/>
          <w:lang w:val="lt-LT"/>
        </w:rPr>
        <w:t xml:space="preserve">, D., </w:t>
      </w:r>
      <w:proofErr w:type="spellStart"/>
      <w:r w:rsidRPr="00A344F4">
        <w:rPr>
          <w:sz w:val="24"/>
          <w:lang w:val="lt-LT"/>
        </w:rPr>
        <w:t>Yang</w:t>
      </w:r>
      <w:proofErr w:type="spellEnd"/>
      <w:r w:rsidRPr="00A344F4">
        <w:rPr>
          <w:sz w:val="24"/>
          <w:lang w:val="lt-LT"/>
        </w:rPr>
        <w:t>, E.C., et al., „</w:t>
      </w:r>
      <w:proofErr w:type="spellStart"/>
      <w:r w:rsidRPr="00A344F4">
        <w:rPr>
          <w:sz w:val="24"/>
          <w:lang w:val="lt-LT"/>
        </w:rPr>
        <w:t>An</w:t>
      </w:r>
      <w:proofErr w:type="spellEnd"/>
      <w:r w:rsidRPr="00A344F4">
        <w:rPr>
          <w:sz w:val="24"/>
          <w:lang w:val="lt-LT"/>
        </w:rPr>
        <w:t xml:space="preserve"> </w:t>
      </w:r>
      <w:proofErr w:type="spellStart"/>
      <w:r w:rsidRPr="00A344F4">
        <w:rPr>
          <w:sz w:val="24"/>
          <w:lang w:val="lt-LT"/>
        </w:rPr>
        <w:t>update</w:t>
      </w:r>
      <w:proofErr w:type="spellEnd"/>
      <w:r w:rsidRPr="00A344F4">
        <w:rPr>
          <w:sz w:val="24"/>
          <w:lang w:val="lt-LT"/>
        </w:rPr>
        <w:t xml:space="preserve"> </w:t>
      </w:r>
      <w:proofErr w:type="spellStart"/>
      <w:r w:rsidRPr="00A344F4">
        <w:rPr>
          <w:sz w:val="24"/>
          <w:lang w:val="lt-LT"/>
        </w:rPr>
        <w:t>of</w:t>
      </w:r>
      <w:proofErr w:type="spellEnd"/>
      <w:r w:rsidRPr="00A344F4">
        <w:rPr>
          <w:sz w:val="24"/>
          <w:lang w:val="lt-LT"/>
        </w:rPr>
        <w:t xml:space="preserve"> </w:t>
      </w:r>
      <w:proofErr w:type="spellStart"/>
      <w:r w:rsidRPr="00A344F4">
        <w:rPr>
          <w:sz w:val="24"/>
          <w:lang w:val="lt-LT"/>
        </w:rPr>
        <w:t>the</w:t>
      </w:r>
      <w:proofErr w:type="spellEnd"/>
      <w:r w:rsidRPr="00A344F4">
        <w:rPr>
          <w:sz w:val="24"/>
          <w:lang w:val="lt-LT"/>
        </w:rPr>
        <w:t xml:space="preserve"> </w:t>
      </w:r>
      <w:proofErr w:type="spellStart"/>
      <w:r w:rsidRPr="00A344F4">
        <w:rPr>
          <w:sz w:val="24"/>
          <w:lang w:val="lt-LT"/>
        </w:rPr>
        <w:t>Worldwide</w:t>
      </w:r>
      <w:proofErr w:type="spellEnd"/>
      <w:r w:rsidRPr="00A344F4">
        <w:rPr>
          <w:sz w:val="24"/>
          <w:lang w:val="lt-LT"/>
        </w:rPr>
        <w:t xml:space="preserve"> </w:t>
      </w:r>
      <w:proofErr w:type="spellStart"/>
      <w:r w:rsidRPr="00A344F4">
        <w:rPr>
          <w:sz w:val="24"/>
          <w:lang w:val="lt-LT"/>
        </w:rPr>
        <w:t>Integrated</w:t>
      </w:r>
      <w:proofErr w:type="spellEnd"/>
      <w:r w:rsidRPr="00A344F4">
        <w:rPr>
          <w:sz w:val="24"/>
          <w:lang w:val="lt-LT"/>
        </w:rPr>
        <w:t xml:space="preserve"> </w:t>
      </w:r>
      <w:proofErr w:type="spellStart"/>
      <w:r w:rsidRPr="00A344F4">
        <w:rPr>
          <w:sz w:val="24"/>
          <w:lang w:val="lt-LT"/>
        </w:rPr>
        <w:t>Assessment</w:t>
      </w:r>
      <w:proofErr w:type="spellEnd"/>
      <w:r w:rsidRPr="00A344F4">
        <w:rPr>
          <w:sz w:val="24"/>
          <w:lang w:val="lt-LT"/>
        </w:rPr>
        <w:t xml:space="preserve"> (WIA) </w:t>
      </w:r>
      <w:proofErr w:type="spellStart"/>
      <w:r w:rsidRPr="00A344F4">
        <w:rPr>
          <w:sz w:val="24"/>
          <w:lang w:val="lt-LT"/>
        </w:rPr>
        <w:t>on</w:t>
      </w:r>
      <w:proofErr w:type="spellEnd"/>
      <w:r w:rsidRPr="00A344F4">
        <w:rPr>
          <w:sz w:val="24"/>
          <w:lang w:val="lt-LT"/>
        </w:rPr>
        <w:t xml:space="preserve"> </w:t>
      </w:r>
      <w:proofErr w:type="spellStart"/>
      <w:r w:rsidRPr="00A344F4">
        <w:rPr>
          <w:sz w:val="24"/>
          <w:lang w:val="lt-LT"/>
        </w:rPr>
        <w:t>systemic</w:t>
      </w:r>
      <w:proofErr w:type="spellEnd"/>
      <w:r w:rsidRPr="00A344F4">
        <w:rPr>
          <w:sz w:val="24"/>
          <w:lang w:val="lt-LT"/>
        </w:rPr>
        <w:t xml:space="preserve"> </w:t>
      </w:r>
      <w:proofErr w:type="spellStart"/>
      <w:r w:rsidRPr="00A344F4">
        <w:rPr>
          <w:sz w:val="24"/>
          <w:lang w:val="lt-LT"/>
        </w:rPr>
        <w:t>insecticides</w:t>
      </w:r>
      <w:proofErr w:type="spellEnd"/>
      <w:r w:rsidRPr="00A344F4">
        <w:rPr>
          <w:sz w:val="24"/>
          <w:lang w:val="lt-LT"/>
        </w:rPr>
        <w:t xml:space="preserve">. </w:t>
      </w:r>
      <w:proofErr w:type="spellStart"/>
      <w:r w:rsidRPr="00A344F4">
        <w:rPr>
          <w:sz w:val="24"/>
          <w:lang w:val="lt-LT"/>
        </w:rPr>
        <w:t>Part</w:t>
      </w:r>
      <w:proofErr w:type="spellEnd"/>
      <w:r w:rsidRPr="00A344F4">
        <w:rPr>
          <w:sz w:val="24"/>
          <w:lang w:val="lt-LT"/>
        </w:rPr>
        <w:t xml:space="preserve"> 2: </w:t>
      </w:r>
      <w:proofErr w:type="spellStart"/>
      <w:r w:rsidRPr="00A344F4">
        <w:rPr>
          <w:sz w:val="24"/>
          <w:lang w:val="lt-LT"/>
        </w:rPr>
        <w:t>impacts</w:t>
      </w:r>
      <w:proofErr w:type="spellEnd"/>
      <w:r w:rsidRPr="00A344F4">
        <w:rPr>
          <w:sz w:val="24"/>
          <w:lang w:val="lt-LT"/>
        </w:rPr>
        <w:t xml:space="preserve"> </w:t>
      </w:r>
      <w:proofErr w:type="spellStart"/>
      <w:r w:rsidRPr="00A344F4">
        <w:rPr>
          <w:sz w:val="24"/>
          <w:lang w:val="lt-LT"/>
        </w:rPr>
        <w:t>on</w:t>
      </w:r>
      <w:proofErr w:type="spellEnd"/>
      <w:r w:rsidRPr="00A344F4">
        <w:rPr>
          <w:sz w:val="24"/>
          <w:lang w:val="lt-LT"/>
        </w:rPr>
        <w:t xml:space="preserve"> </w:t>
      </w:r>
      <w:proofErr w:type="spellStart"/>
      <w:r w:rsidRPr="00A344F4">
        <w:rPr>
          <w:sz w:val="24"/>
          <w:lang w:val="lt-LT"/>
        </w:rPr>
        <w:t>organisms</w:t>
      </w:r>
      <w:proofErr w:type="spellEnd"/>
      <w:r w:rsidRPr="00A344F4">
        <w:rPr>
          <w:sz w:val="24"/>
          <w:lang w:val="lt-LT"/>
        </w:rPr>
        <w:t xml:space="preserve"> </w:t>
      </w:r>
      <w:proofErr w:type="spellStart"/>
      <w:r w:rsidRPr="00A344F4">
        <w:rPr>
          <w:sz w:val="24"/>
          <w:lang w:val="lt-LT"/>
        </w:rPr>
        <w:t>and</w:t>
      </w:r>
      <w:proofErr w:type="spellEnd"/>
      <w:r w:rsidRPr="00A344F4">
        <w:rPr>
          <w:sz w:val="24"/>
          <w:lang w:val="lt-LT"/>
        </w:rPr>
        <w:t xml:space="preserve"> </w:t>
      </w:r>
      <w:proofErr w:type="spellStart"/>
      <w:r w:rsidRPr="00A344F4">
        <w:rPr>
          <w:sz w:val="24"/>
          <w:lang w:val="lt-LT"/>
        </w:rPr>
        <w:t>ecosystems</w:t>
      </w:r>
      <w:proofErr w:type="spellEnd"/>
      <w:r w:rsidRPr="00A344F4">
        <w:rPr>
          <w:sz w:val="24"/>
          <w:lang w:val="lt-LT"/>
        </w:rPr>
        <w:t xml:space="preserve">“, </w:t>
      </w:r>
      <w:proofErr w:type="spellStart"/>
      <w:r w:rsidRPr="00A344F4">
        <w:rPr>
          <w:i/>
          <w:sz w:val="24"/>
          <w:lang w:val="lt-LT"/>
        </w:rPr>
        <w:t>Environmental</w:t>
      </w:r>
      <w:proofErr w:type="spellEnd"/>
      <w:r w:rsidRPr="00A344F4">
        <w:rPr>
          <w:i/>
          <w:sz w:val="24"/>
          <w:lang w:val="lt-LT"/>
        </w:rPr>
        <w:t xml:space="preserve"> </w:t>
      </w:r>
      <w:proofErr w:type="spellStart"/>
      <w:r w:rsidRPr="00A344F4">
        <w:rPr>
          <w:i/>
          <w:sz w:val="24"/>
          <w:lang w:val="lt-LT"/>
        </w:rPr>
        <w:t>Science</w:t>
      </w:r>
      <w:proofErr w:type="spellEnd"/>
      <w:r w:rsidRPr="00A344F4">
        <w:rPr>
          <w:i/>
          <w:sz w:val="24"/>
          <w:lang w:val="lt-LT"/>
        </w:rPr>
        <w:t xml:space="preserve"> </w:t>
      </w:r>
      <w:proofErr w:type="spellStart"/>
      <w:r w:rsidRPr="00A344F4">
        <w:rPr>
          <w:i/>
          <w:sz w:val="24"/>
          <w:lang w:val="lt-LT"/>
        </w:rPr>
        <w:t>and</w:t>
      </w:r>
      <w:proofErr w:type="spellEnd"/>
      <w:r w:rsidRPr="00A344F4">
        <w:rPr>
          <w:i/>
          <w:sz w:val="24"/>
          <w:lang w:val="lt-LT"/>
        </w:rPr>
        <w:t xml:space="preserve"> </w:t>
      </w:r>
      <w:proofErr w:type="spellStart"/>
      <w:r w:rsidRPr="00A344F4">
        <w:rPr>
          <w:i/>
          <w:sz w:val="24"/>
          <w:lang w:val="lt-LT"/>
        </w:rPr>
        <w:t>Pollution</w:t>
      </w:r>
      <w:proofErr w:type="spellEnd"/>
      <w:r w:rsidRPr="00A344F4">
        <w:rPr>
          <w:i/>
          <w:sz w:val="24"/>
          <w:lang w:val="lt-LT"/>
        </w:rPr>
        <w:t xml:space="preserve"> </w:t>
      </w:r>
      <w:proofErr w:type="spellStart"/>
      <w:r w:rsidRPr="00A344F4">
        <w:rPr>
          <w:i/>
          <w:sz w:val="24"/>
          <w:lang w:val="lt-LT"/>
        </w:rPr>
        <w:t>Research</w:t>
      </w:r>
      <w:proofErr w:type="spellEnd"/>
      <w:r w:rsidRPr="00A344F4">
        <w:rPr>
          <w:sz w:val="24"/>
          <w:lang w:val="lt-LT"/>
        </w:rPr>
        <w:t xml:space="preserve"> 28, 11749–11797 (2021), </w:t>
      </w:r>
      <w:hyperlink r:id="rId10" w:history="1">
        <w:r w:rsidRPr="00A344F4">
          <w:rPr>
            <w:rStyle w:val="Hyperlink"/>
            <w:sz w:val="24"/>
            <w:lang w:val="lt-LT"/>
          </w:rPr>
          <w:t>https://doi.org/10.1007/s11356-017-0341-3</w:t>
        </w:r>
      </w:hyperlink>
      <w:r w:rsidRPr="00A344F4">
        <w:rPr>
          <w:sz w:val="24"/>
          <w:lang w:val="lt-LT"/>
        </w:rPr>
        <w:t>.</w:t>
      </w:r>
    </w:p>
  </w:footnote>
  <w:footnote w:id="24">
    <w:p w:rsidR="00603F4E" w:rsidRPr="00A344F4" w:rsidRDefault="00603F4E" w:rsidP="00A344F4">
      <w:pPr>
        <w:pStyle w:val="FootnoteText"/>
        <w:ind w:left="567" w:hanging="567"/>
        <w:rPr>
          <w:sz w:val="24"/>
          <w:szCs w:val="22"/>
          <w:lang w:val="lt-LT"/>
        </w:rPr>
      </w:pPr>
      <w:r w:rsidRPr="00A344F4">
        <w:rPr>
          <w:rStyle w:val="FootnoteReference"/>
          <w:sz w:val="24"/>
          <w:szCs w:val="22"/>
          <w:lang w:val="lt-LT"/>
        </w:rPr>
        <w:footnoteRef/>
      </w:r>
      <w:r w:rsidR="00A344F4" w:rsidRPr="00A344F4">
        <w:rPr>
          <w:sz w:val="24"/>
          <w:lang w:val="lt-LT"/>
        </w:rPr>
        <w:t xml:space="preserve"> </w:t>
      </w:r>
      <w:r w:rsidR="00A344F4" w:rsidRPr="00A344F4">
        <w:rPr>
          <w:sz w:val="24"/>
          <w:lang w:val="lt-LT"/>
        </w:rPr>
        <w:tab/>
      </w:r>
      <w:hyperlink r:id="rId11" w:history="1">
        <w:r w:rsidRPr="00A344F4">
          <w:rPr>
            <w:rStyle w:val="Hyperlink"/>
            <w:sz w:val="24"/>
            <w:lang w:val="lt-LT"/>
          </w:rPr>
          <w:t>https://ec.europa.eu/food/plant/pesticides/eu-pesticides-database/start/screen/active-substances/details/841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44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7/2024"/>
    <w:docVar w:name="dvlangue" w:val="LT"/>
    <w:docVar w:name="dvnumam" w:val="0"/>
    <w:docVar w:name="dvpe" w:val="757.277"/>
    <w:docVar w:name="dvtitre" w:val="Europos Parlamento rezoliucija dėl pasiūlymo dėl Tarybos reglamento, kuriuo dėl didžiausios leidžiamosios tiakloprido liekanų koncentracijos tam tikruose produktuose ar ant jų iš dalies keičiamas Europos Parlamento ir Tarybos reglamento (EB) Nr. 396/2005 II priedas(COM(2023)0739 – 2023/3005(RPS))"/>
  </w:docVars>
  <w:rsids>
    <w:rsidRoot w:val="00E206D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03F4E"/>
    <w:rsid w:val="006062B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44F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1571"/>
    <w:rsid w:val="00E206D1"/>
    <w:rsid w:val="00E365E1"/>
    <w:rsid w:val="00E820A4"/>
    <w:rsid w:val="00EB006A"/>
    <w:rsid w:val="00EB4772"/>
    <w:rsid w:val="00ED169E"/>
    <w:rsid w:val="00ED4235"/>
    <w:rsid w:val="00F04346"/>
    <w:rsid w:val="00F075DC"/>
    <w:rsid w:val="00F149E9"/>
    <w:rsid w:val="00F5134D"/>
    <w:rsid w:val="00F56661"/>
    <w:rsid w:val="00F74202"/>
    <w:rsid w:val="00F87713"/>
    <w:rsid w:val="00FB4360"/>
    <w:rsid w:val="00FD0C70"/>
    <w:rsid w:val="00FD52C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5A569"/>
  <w15:chartTrackingRefBased/>
  <w15:docId w15:val="{D70B20C3-1CC5-4CC2-BE65-5C6E89C4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3F4E"/>
    <w:pPr>
      <w:spacing w:before="480" w:after="240"/>
    </w:pPr>
  </w:style>
  <w:style w:type="paragraph" w:customStyle="1" w:styleId="NormalHanging12a">
    <w:name w:val="NormalHanging12a"/>
    <w:basedOn w:val="Normal"/>
    <w:rsid w:val="00603F4E"/>
    <w:pPr>
      <w:spacing w:after="240"/>
      <w:ind w:left="567" w:hanging="567"/>
    </w:pPr>
  </w:style>
  <w:style w:type="character" w:styleId="Hyperlink">
    <w:name w:val="Hyperlink"/>
    <w:basedOn w:val="DefaultParagraphFont"/>
    <w:uiPriority w:val="99"/>
    <w:unhideWhenUsed/>
    <w:rsid w:val="00603F4E"/>
    <w:rPr>
      <w:color w:val="0563C1" w:themeColor="hyperlink"/>
      <w:u w:val="single"/>
    </w:rPr>
  </w:style>
  <w:style w:type="paragraph" w:styleId="BalloonText">
    <w:name w:val="Balloon Text"/>
    <w:basedOn w:val="Normal"/>
    <w:link w:val="BalloonTextChar"/>
    <w:rsid w:val="00FD52C9"/>
    <w:rPr>
      <w:rFonts w:ascii="Segoe UI" w:hAnsi="Segoe UI" w:cs="Segoe UI"/>
      <w:sz w:val="18"/>
      <w:szCs w:val="18"/>
    </w:rPr>
  </w:style>
  <w:style w:type="character" w:customStyle="1" w:styleId="BalloonTextChar">
    <w:name w:val="Balloon Text Char"/>
    <w:basedOn w:val="DefaultParagraphFont"/>
    <w:link w:val="BalloonText"/>
    <w:rsid w:val="00FD52C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0022191016300014" TargetMode="External"/><Relationship Id="rId3" Type="http://schemas.openxmlformats.org/officeDocument/2006/relationships/hyperlink" Target="https://echa.europa.eu/registry-of-clh-intentions-until-outcome/-/dislist/details/0b0236e180638ff8" TargetMode="External"/><Relationship Id="rId7" Type="http://schemas.openxmlformats.org/officeDocument/2006/relationships/hyperlink" Target="https://pubs.acs.org/doi/10.1021/acs.est.6b04791" TargetMode="External"/><Relationship Id="rId2" Type="http://schemas.openxmlformats.org/officeDocument/2006/relationships/hyperlink" Target="https://doi.org/10.2903/j.efsa.2019.5595" TargetMode="External"/><Relationship Id="rId1" Type="http://schemas.openxmlformats.org/officeDocument/2006/relationships/hyperlink" Target="https://doi.org/10.2903/j.efsa.2023.7888" TargetMode="External"/><Relationship Id="rId6" Type="http://schemas.openxmlformats.org/officeDocument/2006/relationships/hyperlink" Target="https://ec.europa.eu/transparency/comitology-register/screen/documents/090500/1/consult?lang=lt" TargetMode="External"/><Relationship Id="rId11" Type="http://schemas.openxmlformats.org/officeDocument/2006/relationships/hyperlink" Target="https://ec.europa.eu/food/plant/pesticides/eu-pesticides-database/start/screen/active-substances/details/841" TargetMode="External"/><Relationship Id="rId5" Type="http://schemas.openxmlformats.org/officeDocument/2006/relationships/hyperlink" Target="https://doi.org/10.1007/s41055-016-0003-z" TargetMode="External"/><Relationship Id="rId10" Type="http://schemas.openxmlformats.org/officeDocument/2006/relationships/hyperlink" Target="https://doi.org/10.1007/s11356-017-0341-3" TargetMode="External"/><Relationship Id="rId4" Type="http://schemas.openxmlformats.org/officeDocument/2006/relationships/hyperlink" Target="https://ec.europa.eu/transparency/comitology-register/screen/documents/092486/1/consult?lang=lt" TargetMode="External"/><Relationship Id="rId9" Type="http://schemas.openxmlformats.org/officeDocument/2006/relationships/hyperlink" Target="https://pubs.acs.org/doi/full/10.1021/acs.est.6b026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D86F6-26EF-4E91-817E-A196A5A7F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2065</Words>
  <Characters>13800</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2024-02-15T13:27:00Z</dcterms:created>
  <dcterms:modified xsi:type="dcterms:W3CDTF">2024-02-15T13:27:00Z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B9-0057/2024</vt:lpwstr>
  </property>
  <property fmtid="{D5CDD505-2E9C-101B-9397-08002B2CF9AE}" pid="4" name="&lt;Type&gt;">
    <vt:lpwstr>RR</vt:lpwstr>
  </property>
</Properties>
</file>