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71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719C" w:rsidRDefault="00854238" w:rsidP="0010095E">
            <w:pPr>
              <w:pStyle w:val="EPName"/>
            </w:pPr>
            <w:r w:rsidRPr="0092719C">
              <w:t>Parlament Europejski</w:t>
            </w:r>
          </w:p>
          <w:p w:rsidR="00751A4A" w:rsidRPr="009271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719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719C" w:rsidRDefault="00187494" w:rsidP="0010095E">
            <w:pPr>
              <w:pStyle w:val="EPLogo"/>
            </w:pPr>
            <w:r w:rsidRPr="009271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719C" w:rsidRDefault="00D058B8" w:rsidP="004C5D52">
      <w:pPr>
        <w:pStyle w:val="LineTop"/>
      </w:pPr>
    </w:p>
    <w:p w:rsidR="00680577" w:rsidRPr="0092719C" w:rsidRDefault="00854238" w:rsidP="00680577">
      <w:pPr>
        <w:pStyle w:val="EPBodyTA1"/>
      </w:pPr>
      <w:r w:rsidRPr="0092719C">
        <w:t>TEKSTY PRZYJĘTE</w:t>
      </w:r>
    </w:p>
    <w:p w:rsidR="00D058B8" w:rsidRPr="0092719C" w:rsidRDefault="00D058B8" w:rsidP="00D058B8">
      <w:pPr>
        <w:pStyle w:val="LineBottom"/>
      </w:pPr>
    </w:p>
    <w:p w:rsidR="00854238" w:rsidRPr="0092719C" w:rsidRDefault="00854238" w:rsidP="00854238">
      <w:pPr>
        <w:pStyle w:val="ATHeading1"/>
      </w:pPr>
      <w:bookmarkStart w:id="0" w:name="TANumber"/>
      <w:r w:rsidRPr="0092719C">
        <w:t>P9_TA(2024)00</w:t>
      </w:r>
      <w:bookmarkEnd w:id="0"/>
      <w:r w:rsidR="00861E03">
        <w:t>16</w:t>
      </w:r>
    </w:p>
    <w:p w:rsidR="00854238" w:rsidRPr="0092719C" w:rsidRDefault="00854238" w:rsidP="00854238">
      <w:pPr>
        <w:pStyle w:val="ATHeading2"/>
      </w:pPr>
      <w:bookmarkStart w:id="1" w:name="title"/>
      <w:r w:rsidRPr="0092719C">
        <w:t xml:space="preserve">Sprzeciw </w:t>
      </w:r>
      <w:r w:rsidR="004813FC" w:rsidRPr="00672BE6">
        <w:t>wobec aktu wykonawczego</w:t>
      </w:r>
      <w:r w:rsidRPr="0092719C">
        <w:t>: Najwyższe dopuszczalne</w:t>
      </w:r>
      <w:r w:rsidR="004813FC">
        <w:t xml:space="preserve"> </w:t>
      </w:r>
      <w:r w:rsidRPr="0092719C">
        <w:t xml:space="preserve">poziomy pozostałości </w:t>
      </w:r>
      <w:proofErr w:type="spellStart"/>
      <w:r w:rsidRPr="0092719C">
        <w:t>tiakloprydu</w:t>
      </w:r>
      <w:bookmarkEnd w:id="1"/>
      <w:proofErr w:type="spellEnd"/>
    </w:p>
    <w:p w:rsidR="00854238" w:rsidRPr="0092719C" w:rsidRDefault="00854238" w:rsidP="00854238">
      <w:pPr>
        <w:rPr>
          <w:i/>
          <w:vanish/>
        </w:rPr>
      </w:pPr>
      <w:r w:rsidRPr="0092719C">
        <w:rPr>
          <w:i/>
        </w:rPr>
        <w:fldChar w:fldCharType="begin"/>
      </w:r>
      <w:r w:rsidRPr="0092719C">
        <w:rPr>
          <w:i/>
        </w:rPr>
        <w:instrText xml:space="preserve"> TC"(</w:instrText>
      </w:r>
      <w:bookmarkStart w:id="2" w:name="DocNumber"/>
      <w:r w:rsidRPr="0092719C">
        <w:rPr>
          <w:i/>
        </w:rPr>
        <w:instrText>B</w:instrText>
      </w:r>
      <w:proofErr w:type="gramStart"/>
      <w:r w:rsidRPr="0092719C">
        <w:rPr>
          <w:i/>
        </w:rPr>
        <w:instrText>9-0057/2024</w:instrText>
      </w:r>
      <w:bookmarkEnd w:id="2"/>
      <w:r w:rsidRPr="0092719C">
        <w:rPr>
          <w:i/>
        </w:rPr>
        <w:instrText>)"\l</w:instrText>
      </w:r>
      <w:proofErr w:type="gramEnd"/>
      <w:r w:rsidRPr="0092719C">
        <w:rPr>
          <w:i/>
        </w:rPr>
        <w:instrText xml:space="preserve">3 \n&gt; \* MERGEFORMAT </w:instrText>
      </w:r>
      <w:r w:rsidRPr="0092719C">
        <w:rPr>
          <w:i/>
        </w:rPr>
        <w:fldChar w:fldCharType="end"/>
      </w:r>
    </w:p>
    <w:p w:rsidR="00854238" w:rsidRPr="0092719C" w:rsidRDefault="00854238" w:rsidP="00854238">
      <w:pPr>
        <w:rPr>
          <w:vanish/>
        </w:rPr>
      </w:pPr>
      <w:bookmarkStart w:id="3" w:name="PE"/>
      <w:r w:rsidRPr="0092719C">
        <w:rPr>
          <w:vanish/>
        </w:rPr>
        <w:t>PE757.277</w:t>
      </w:r>
      <w:bookmarkStart w:id="4" w:name="_GoBack"/>
      <w:bookmarkEnd w:id="3"/>
      <w:bookmarkEnd w:id="4"/>
    </w:p>
    <w:p w:rsidR="00854238" w:rsidRPr="0092719C" w:rsidRDefault="00854238" w:rsidP="00854238">
      <w:pPr>
        <w:pStyle w:val="ATHeading3"/>
      </w:pPr>
      <w:bookmarkStart w:id="5" w:name="Sujet"/>
      <w:r w:rsidRPr="0092719C">
        <w:t xml:space="preserve">Rezolucja Parlamentu Europejskiego z dnia </w:t>
      </w:r>
      <w:r w:rsidR="004813FC">
        <w:t>17 stycznia</w:t>
      </w:r>
      <w:r w:rsidRPr="0092719C">
        <w:t xml:space="preserve"> 2024 r. w sprawie wniosku dotyczącego rozporządzenia Rady zmieniającego załącznik II do rozporządzenia (WE) nr 396/2005 Parlamentu Europejskiego i Rady w odniesieniu do najwyższych dopuszczalnych poziomów pozostałości </w:t>
      </w:r>
      <w:proofErr w:type="spellStart"/>
      <w:r w:rsidRPr="0092719C">
        <w:t>tiakloprydu</w:t>
      </w:r>
      <w:proofErr w:type="spellEnd"/>
      <w:r w:rsidRPr="0092719C">
        <w:t xml:space="preserve"> w określonych produktach lub na ich powierzchni</w:t>
      </w:r>
      <w:bookmarkEnd w:id="5"/>
      <w:r w:rsidRPr="0092719C">
        <w:t xml:space="preserve"> </w:t>
      </w:r>
      <w:bookmarkStart w:id="6" w:name="References"/>
      <w:r w:rsidRPr="0092719C">
        <w:t>(COM</w:t>
      </w:r>
      <w:proofErr w:type="gramStart"/>
      <w:r w:rsidRPr="0092719C">
        <w:t>(2023)0739 – 2023/3005(RPS</w:t>
      </w:r>
      <w:proofErr w:type="gramEnd"/>
      <w:r w:rsidRPr="0092719C">
        <w:t>))</w:t>
      </w:r>
      <w:bookmarkEnd w:id="6"/>
    </w:p>
    <w:p w:rsidR="00EA7CD8" w:rsidRPr="0092719C" w:rsidRDefault="00EA7CD8" w:rsidP="00EA7CD8">
      <w:pPr>
        <w:pStyle w:val="EPComma"/>
      </w:pPr>
      <w:bookmarkStart w:id="7" w:name="TextBodyBegin"/>
      <w:bookmarkEnd w:id="7"/>
      <w:r w:rsidRPr="0092719C">
        <w:rPr>
          <w:i/>
        </w:rPr>
        <w:t>Parlament Europejski,</w:t>
      </w:r>
    </w:p>
    <w:p w:rsidR="00EA7CD8" w:rsidRPr="0092719C" w:rsidRDefault="00EA7CD8" w:rsidP="00EA7CD8">
      <w:pPr>
        <w:pStyle w:val="NormalHanging12a"/>
        <w:jc w:val="both"/>
      </w:pPr>
      <w:r w:rsidRPr="0092719C">
        <w:t>–</w:t>
      </w:r>
      <w:r w:rsidRPr="0092719C">
        <w:tab/>
        <w:t xml:space="preserve">uwzględniając wniosek dotyczący rozporządzenia Rady zmieniającego załącznik II do rozporządzenia (WE) nr 396/2005 Parlamentu Europejskiego i Rady w odniesieniu do najwyższych dopuszczalnych poziomów pozostałości </w:t>
      </w:r>
      <w:proofErr w:type="spellStart"/>
      <w:r w:rsidRPr="0092719C">
        <w:t>tiakloprydu</w:t>
      </w:r>
      <w:proofErr w:type="spellEnd"/>
      <w:r w:rsidRPr="0092719C">
        <w:t xml:space="preserve"> w określonych produktach lub na ich powierzchni (COM(2023)0739),</w:t>
      </w:r>
    </w:p>
    <w:p w:rsidR="00EA7CD8" w:rsidRPr="0092719C" w:rsidRDefault="00EA7CD8" w:rsidP="00EA7CD8">
      <w:pPr>
        <w:pStyle w:val="NormalHanging12a"/>
        <w:jc w:val="both"/>
        <w:rPr>
          <w:szCs w:val="24"/>
        </w:rPr>
      </w:pPr>
      <w:r w:rsidRPr="0092719C">
        <w:t>–</w:t>
      </w:r>
      <w:r w:rsidRPr="0092719C">
        <w:tab/>
        <w:t>uwzględniając rozporządzenie (WE) nr 396/2005 Parlamentu Europejskiego i Rady z dnia 23 lutego 2005 r. w sprawie najwyższych dopuszczalnych poziomów pozostałości pestycydów w żywności i paszy pochodzenia roślinnego i zwierzęcego oraz na ich powierzchni, zmieniające dyrektywę Rady 91/414/EWG</w:t>
      </w:r>
      <w:r w:rsidRPr="0092719C">
        <w:rPr>
          <w:rStyle w:val="FootnoteReference"/>
        </w:rPr>
        <w:footnoteReference w:id="1"/>
      </w:r>
      <w:r w:rsidRPr="0092719C">
        <w:t xml:space="preserve">, w szczególności jego art. 14 ust. 1 lit. a) i art. 49 ust. 2, </w:t>
      </w:r>
    </w:p>
    <w:p w:rsidR="00EA7CD8" w:rsidRPr="0092719C" w:rsidRDefault="00EA7CD8" w:rsidP="00EA7CD8">
      <w:pPr>
        <w:pStyle w:val="NormalHanging12a"/>
        <w:jc w:val="both"/>
        <w:rPr>
          <w:szCs w:val="24"/>
        </w:rPr>
      </w:pPr>
      <w:r w:rsidRPr="0092719C">
        <w:t>–</w:t>
      </w:r>
      <w:r w:rsidRPr="0092719C">
        <w:tab/>
        <w:t>uwzględniając rozporządzenie Parlamentu Europejskiego i Rady (WE) nr 1107/2009 z dnia 21 października 2009 r. dotyczące wprowadzania do obrotu środków ochrony roślin i uchylające dyrektywy Rady 79/117/EWG i 91/414/EWG</w:t>
      </w:r>
      <w:r w:rsidRPr="0092719C">
        <w:rPr>
          <w:rStyle w:val="FootnoteReference"/>
          <w:szCs w:val="24"/>
        </w:rPr>
        <w:footnoteReference w:id="2"/>
      </w:r>
      <w:r w:rsidRPr="0092719C">
        <w:t>, w szczególności jego art. 4 ust. 1, art. 4 ust. 2 akapit pierwszy lit. a) oraz pkt 3.6.4 załącznika II,</w:t>
      </w:r>
    </w:p>
    <w:p w:rsidR="00EA7CD8" w:rsidRPr="0092719C" w:rsidRDefault="00EA7CD8" w:rsidP="00EA7CD8">
      <w:pPr>
        <w:pStyle w:val="NormalHanging12a"/>
        <w:jc w:val="both"/>
        <w:rPr>
          <w:szCs w:val="24"/>
        </w:rPr>
      </w:pPr>
      <w:r w:rsidRPr="0092719C">
        <w:t>–</w:t>
      </w:r>
      <w:r w:rsidRPr="0092719C">
        <w:tab/>
        <w:t>uwzględniając rozporządzenie Parlamentu Europejskiego i Rady (WE) nr 178/2002 z dnia 28 stycznia 2002 r. ustanawiające ogólne zasady i wymagania prawa żywnościowego, powołujące Europejski Urząd ds. Bezpieczeństwa Żywności oraz ustanawiające procedury w zakresie bezpieczeństwa żywności</w:t>
      </w:r>
      <w:r w:rsidRPr="0092719C">
        <w:rPr>
          <w:rStyle w:val="FootnoteReference"/>
          <w:szCs w:val="24"/>
        </w:rPr>
        <w:footnoteReference w:id="3"/>
      </w:r>
      <w:r w:rsidRPr="0092719C">
        <w:t>, w szczególności jego art. 5 ust. 1,</w:t>
      </w:r>
    </w:p>
    <w:p w:rsidR="00EA7CD8" w:rsidRPr="0092719C" w:rsidRDefault="00EA7CD8" w:rsidP="00EA7CD8">
      <w:pPr>
        <w:pStyle w:val="NormalHanging12a"/>
        <w:jc w:val="both"/>
        <w:rPr>
          <w:szCs w:val="24"/>
        </w:rPr>
      </w:pPr>
      <w:r w:rsidRPr="0092719C">
        <w:lastRenderedPageBreak/>
        <w:t>–</w:t>
      </w:r>
      <w:r w:rsidRPr="0092719C">
        <w:tab/>
        <w:t>uwzględniając art. 11, 13, 168 i 191 Traktatu o funkcjonowaniu Unii Europejskiej,</w:t>
      </w:r>
    </w:p>
    <w:p w:rsidR="00EA7CD8" w:rsidRPr="0092719C" w:rsidRDefault="00EA7CD8" w:rsidP="00EA7CD8">
      <w:pPr>
        <w:pStyle w:val="NormalHanging12a"/>
        <w:jc w:val="both"/>
      </w:pPr>
      <w:r w:rsidRPr="0092719C">
        <w:t>–</w:t>
      </w:r>
      <w:r w:rsidRPr="0092719C">
        <w:tab/>
        <w:t>uwzględniając uzasadnioną opinię Europejskiego Urzędu ds. Bezpieczeństwa Żywności (EFSA) z 9 lutego 2023 r. opublikowaną 15 marca 2023 r.</w:t>
      </w:r>
      <w:r w:rsidRPr="0092719C">
        <w:rPr>
          <w:rStyle w:val="FootnoteReference"/>
        </w:rPr>
        <w:footnoteReference w:id="4"/>
      </w:r>
      <w:r w:rsidRPr="0092719C">
        <w:t>,</w:t>
      </w:r>
    </w:p>
    <w:p w:rsidR="00EA7CD8" w:rsidRPr="0092719C" w:rsidRDefault="00EA7CD8" w:rsidP="00EA7CD8">
      <w:pPr>
        <w:pStyle w:val="NormalHanging12a"/>
        <w:jc w:val="both"/>
        <w:rPr>
          <w:szCs w:val="24"/>
        </w:rPr>
      </w:pPr>
      <w:r w:rsidRPr="0092719C">
        <w:t>–</w:t>
      </w:r>
      <w:r w:rsidRPr="0092719C">
        <w:tab/>
        <w:t>uwzględniając opinię Europejskiego Urzędu ds. Bezpieczeństwa Żywności (EFSA) z dnia 17 stycznia 2019 r., opublikowaną w dniu 14 marca 2019 r.</w:t>
      </w:r>
      <w:r w:rsidRPr="0092719C">
        <w:rPr>
          <w:rStyle w:val="FootnoteReference"/>
          <w:szCs w:val="24"/>
        </w:rPr>
        <w:footnoteReference w:id="5"/>
      </w:r>
      <w:r w:rsidRPr="0092719C">
        <w:t>,</w:t>
      </w:r>
    </w:p>
    <w:p w:rsidR="00EA7CD8" w:rsidRPr="0092719C" w:rsidRDefault="00EA7CD8" w:rsidP="00EA7CD8">
      <w:pPr>
        <w:pStyle w:val="NormalHanging12a"/>
        <w:jc w:val="both"/>
        <w:rPr>
          <w:szCs w:val="24"/>
        </w:rPr>
      </w:pPr>
      <w:r w:rsidRPr="0092719C">
        <w:t>–</w:t>
      </w:r>
      <w:r w:rsidRPr="0092719C">
        <w:tab/>
        <w:t>uwzględniając opinię przyjętą przez Komitet ds. Oceny Ryzyka (RAC) Europejskiej Agencji Chemikaliów (ECHA) w dniu 12 marca 2015 r.</w:t>
      </w:r>
      <w:r w:rsidRPr="0092719C">
        <w:rPr>
          <w:rStyle w:val="FootnoteReference"/>
          <w:szCs w:val="24"/>
        </w:rPr>
        <w:footnoteReference w:id="6"/>
      </w:r>
      <w:r w:rsidRPr="0092719C">
        <w:t>,</w:t>
      </w:r>
    </w:p>
    <w:p w:rsidR="00EA7CD8" w:rsidRPr="0092719C" w:rsidRDefault="00EA7CD8" w:rsidP="00EA7CD8">
      <w:pPr>
        <w:pStyle w:val="NormalHanging12a"/>
        <w:jc w:val="both"/>
        <w:rPr>
          <w:szCs w:val="24"/>
        </w:rPr>
      </w:pPr>
      <w:r w:rsidRPr="0092719C">
        <w:t>–</w:t>
      </w:r>
      <w:r w:rsidRPr="0092719C">
        <w:tab/>
        <w:t>uwzględniając art. 5a ust. 4 lit. e) i art. 5a ust. 5 decyzji Rady 1999/468/WE z dnia 28 czerwca 1999 r. ustanawiającej warunki wykonywania uprawnień wykonawczych przyznanych Komisji</w:t>
      </w:r>
      <w:r w:rsidRPr="0092719C">
        <w:rPr>
          <w:rStyle w:val="FootnoteReference"/>
          <w:szCs w:val="24"/>
        </w:rPr>
        <w:footnoteReference w:id="7"/>
      </w:r>
      <w:r w:rsidRPr="0092719C">
        <w:t>,</w:t>
      </w:r>
    </w:p>
    <w:p w:rsidR="00EA7CD8" w:rsidRPr="0092719C" w:rsidRDefault="00EA7CD8" w:rsidP="00EA7CD8">
      <w:pPr>
        <w:pStyle w:val="NormalHanging12a"/>
        <w:jc w:val="both"/>
      </w:pPr>
      <w:r w:rsidRPr="0092719C">
        <w:t>–</w:t>
      </w:r>
      <w:r w:rsidRPr="0092719C">
        <w:tab/>
        <w:t>uwzględniając art. 112 ust. 2, ust. 3 i ust. 4 lit. c) Regulaminu,</w:t>
      </w:r>
    </w:p>
    <w:p w:rsidR="00EA7CD8" w:rsidRPr="0092719C" w:rsidRDefault="00EA7CD8" w:rsidP="00EA7CD8">
      <w:pPr>
        <w:pStyle w:val="NormalHanging12a"/>
        <w:jc w:val="both"/>
      </w:pPr>
      <w:r w:rsidRPr="0092719C">
        <w:t>–</w:t>
      </w:r>
      <w:r w:rsidRPr="0092719C">
        <w:tab/>
        <w:t>uwzględniając projekt rezolucji Komisji Ochrony Środowiska Naturalnego, Zdrowia Publicznego i Bezpieczeństwa Żywności,</w:t>
      </w:r>
    </w:p>
    <w:p w:rsidR="00EA7CD8" w:rsidRPr="0092719C" w:rsidRDefault="00EA7CD8" w:rsidP="00EA7CD8">
      <w:pPr>
        <w:pStyle w:val="NormalHanging12a"/>
        <w:jc w:val="both"/>
      </w:pPr>
      <w:r w:rsidRPr="0092719C">
        <w:t>A.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</w:t>
      </w:r>
      <w:proofErr w:type="spellStart"/>
      <w:r w:rsidRPr="0092719C">
        <w:t>tiaklopryd</w:t>
      </w:r>
      <w:proofErr w:type="spellEnd"/>
      <w:r w:rsidRPr="0092719C">
        <w:t xml:space="preserve"> jest substancją czynną środków owadobójczych stosowanych głównie w bawełnie, owocach ziarnkowych, warzywach i ziemniakach;</w:t>
      </w:r>
    </w:p>
    <w:p w:rsidR="00EA7CD8" w:rsidRPr="0092719C" w:rsidRDefault="00EA7CD8" w:rsidP="00EA7CD8">
      <w:pPr>
        <w:pStyle w:val="NormalHanging12a"/>
        <w:jc w:val="both"/>
      </w:pPr>
      <w:r w:rsidRPr="0092719C">
        <w:t>B.</w:t>
      </w:r>
      <w:r w:rsidRPr="0092719C">
        <w:tab/>
        <w:t xml:space="preserve">mając na uwadze, że zatwierdzenie substancji czynnej </w:t>
      </w:r>
      <w:proofErr w:type="spellStart"/>
      <w:r w:rsidRPr="0092719C">
        <w:t>tiaklopryd</w:t>
      </w:r>
      <w:proofErr w:type="spellEnd"/>
      <w:r w:rsidRPr="0092719C">
        <w:t xml:space="preserve"> wygasło 3 lutego 2020 r. i nie zostało odnowione zgodnie z rozporządzeniem wykonawczym Komisji (UE) 2020/23</w:t>
      </w:r>
      <w:r w:rsidRPr="0092719C">
        <w:rPr>
          <w:rStyle w:val="FootnoteReference"/>
        </w:rPr>
        <w:footnoteReference w:id="8"/>
      </w:r>
      <w:r w:rsidRPr="0092719C">
        <w:t xml:space="preserve">; mając na uwadze, że dodatkowy okres na zużycie zapasów środków ochrony roślin zawierających </w:t>
      </w:r>
      <w:proofErr w:type="spellStart"/>
      <w:r w:rsidRPr="0092719C">
        <w:t>tiaklopryd</w:t>
      </w:r>
      <w:proofErr w:type="spellEnd"/>
      <w:r w:rsidRPr="0092719C">
        <w:t xml:space="preserve"> upłynął 3 lutego 2021 r.;</w:t>
      </w:r>
    </w:p>
    <w:p w:rsidR="00EA7CD8" w:rsidRPr="0092719C" w:rsidRDefault="00EA7CD8" w:rsidP="00EA7CD8">
      <w:pPr>
        <w:pStyle w:val="NormalHanging12a"/>
        <w:jc w:val="both"/>
      </w:pPr>
      <w:r w:rsidRPr="0092719C">
        <w:t>C.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nie odnowiono zatwierdzenia substancji czynnej </w:t>
      </w:r>
      <w:proofErr w:type="spellStart"/>
      <w:r w:rsidRPr="0092719C">
        <w:t>tiaklopryd</w:t>
      </w:r>
      <w:proofErr w:type="spellEnd"/>
      <w:r w:rsidRPr="0092719C">
        <w:t xml:space="preserve">, ponieważ nie można było ustalić w odniesieniu do reprezentatywnego zastosowania lub reprezentatywnych zastosowań co najmniej jednego środka ochrony roślin, że kryteria zatwierdzenia przewidziane w art. 4 rozporządzenia (WE) nr 1107/2009 zostały spełnione; mając w szczególności na uwadze, że EFSA zidentyfikował dwie kluczowe kwestie budzące obawy; mając na uwadze, że pierwsza kluczowa kwestia budząca obawy </w:t>
      </w:r>
      <w:r w:rsidRPr="0092719C">
        <w:lastRenderedPageBreak/>
        <w:t xml:space="preserve">dotyczyła wskazania zanieczyszczenia wód podziemnych kilkoma potencjalnie rakotwórczymi istotnymi metabolitami </w:t>
      </w:r>
      <w:proofErr w:type="spellStart"/>
      <w:r w:rsidRPr="0092719C">
        <w:t>tiakloprydu</w:t>
      </w:r>
      <w:proofErr w:type="spellEnd"/>
      <w:r w:rsidRPr="0092719C">
        <w:t xml:space="preserve"> (M30, M34 i M46) powyżej granicy stanowiącej parametr dla wody pitnej, tj. 0,1 µg/l, dla wszystkich reprezentatywnych zastosowań</w:t>
      </w:r>
      <w:r w:rsidRPr="0092719C">
        <w:rPr>
          <w:rStyle w:val="FootnoteReference"/>
        </w:rPr>
        <w:footnoteReference w:id="9"/>
      </w:r>
      <w:r w:rsidRPr="0092719C">
        <w:t xml:space="preserve">; mając na uwadze, że druga kluczowa kwestia budząca obawy </w:t>
      </w:r>
      <w:proofErr w:type="gramStart"/>
      <w:r w:rsidRPr="0092719C">
        <w:t>dotyczyła</w:t>
      </w:r>
      <w:proofErr w:type="gramEnd"/>
      <w:r w:rsidRPr="0092719C">
        <w:t xml:space="preserve"> wprowadzonej przez ECHA zharmonizowanej klasyfikacji </w:t>
      </w:r>
      <w:proofErr w:type="spellStart"/>
      <w:r w:rsidRPr="0092719C">
        <w:t>tiakloprydu</w:t>
      </w:r>
      <w:proofErr w:type="spellEnd"/>
      <w:r w:rsidRPr="0092719C">
        <w:t xml:space="preserve"> jako wpływającego szkodliwie na płodność i na rozwój płodu (substancja </w:t>
      </w:r>
      <w:proofErr w:type="spellStart"/>
      <w:r w:rsidRPr="0092719C">
        <w:t>reprotoksyczna</w:t>
      </w:r>
      <w:proofErr w:type="spellEnd"/>
      <w:r w:rsidRPr="0092719C">
        <w:t xml:space="preserve"> kategorii 1B), zgodnie z rozporządzeniem Parlamentu Europejskiego i Rady (WE) nr 1272/2008</w:t>
      </w:r>
      <w:r w:rsidRPr="0092719C">
        <w:rPr>
          <w:rStyle w:val="FootnoteReference"/>
        </w:rPr>
        <w:footnoteReference w:id="10"/>
      </w:r>
      <w:r w:rsidRPr="0092719C">
        <w:t xml:space="preserve">, w wyniku czego </w:t>
      </w:r>
      <w:proofErr w:type="spellStart"/>
      <w:r w:rsidRPr="0092719C">
        <w:t>tiaklopryd</w:t>
      </w:r>
      <w:proofErr w:type="spellEnd"/>
      <w:r w:rsidRPr="0092719C">
        <w:t xml:space="preserve"> stał się substancją wykluczoną zgodnie z art. 4 ust. 1 rozporządzenia (WE) nr 1107/2009; </w:t>
      </w:r>
    </w:p>
    <w:p w:rsidR="00EA7CD8" w:rsidRPr="0092719C" w:rsidRDefault="00EA7CD8" w:rsidP="00EA7CD8">
      <w:pPr>
        <w:pStyle w:val="NormalHanging12a"/>
        <w:jc w:val="both"/>
      </w:pPr>
      <w:r w:rsidRPr="0092719C">
        <w:t>D.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EFSA stwierdził też, że nie udało się zakończyć oceny ryzyka dla pszczół i roślin lądowych niebędących przedmiotem zwalczania;</w:t>
      </w:r>
    </w:p>
    <w:p w:rsidR="00EA7CD8" w:rsidRPr="0092719C" w:rsidRDefault="00EA7CD8" w:rsidP="00EA7CD8">
      <w:pPr>
        <w:pStyle w:val="NormalHanging12a"/>
        <w:jc w:val="both"/>
      </w:pPr>
      <w:r w:rsidRPr="0092719C">
        <w:t>E.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</w:t>
      </w:r>
      <w:proofErr w:type="spellStart"/>
      <w:r w:rsidRPr="0092719C">
        <w:t>tiaklopryd</w:t>
      </w:r>
      <w:proofErr w:type="spellEnd"/>
      <w:r w:rsidRPr="0092719C">
        <w:t xml:space="preserve"> jest również sklasyfikowany zgodnie z rozporządzeniem (WE) nr 1272/2008 jako podejrzewany o działanie rakotwórcze (substancja rakotwórcza kategorii 2), bardzo toksyczny dla organizmów wodnych (substancja ostro toksyczna dla organizmów wodnych kategorii 1) oraz bardzo toksyczny dla organizmów wodnych i powodujący długotrwałe skutki (substancja przewlekle toksyczna dla organizmów wodnych kategorii 1);</w:t>
      </w:r>
    </w:p>
    <w:p w:rsidR="00EA7CD8" w:rsidRPr="0092719C" w:rsidRDefault="00EA7CD8" w:rsidP="00EA7CD8">
      <w:pPr>
        <w:pStyle w:val="NormalHanging12a"/>
        <w:jc w:val="both"/>
      </w:pPr>
      <w:r w:rsidRPr="0092719C">
        <w:t>F.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Stały Komitet ds. Roślin, Zwierząt, Żywności i Pasz nie wydał opinii w sprawie wniosku dotyczącego rozporządzenia Rady; mając na uwadze, że podczas posiedzenia Stałego Komitetu ds. Roślin, Zwierząt, Żywności i Pasz, które odbyło się w dniach 18–19 września 2023 r., „osiem państw członkowskich nie poparło projektu rozporządzenia. Sześć z nich zgłosiło przede wszystkim zastrzeżenia co do utrzymania najwyższych dopuszczalnych poziomów pozostałości zgodnych z Kodeksem żywnościowym (CXL) i utrzymania tolerancji importowych dla niezatwierdzonych substancji spełniających jedno z kryteriów granicznych określonych w rozporządzeniu (WE) nr 1107/2009 (szkodliwy wpływ na rozrodczość). Ponadto jedno państwo członkowskie, które nie poparło projektu rozporządzenia, zgłosiło zastrzeżenie co do tego, że EFSA wskazał przekroczenia ostrej dawki referencyjnej w przypadku niektórych produktów w pewnych nietypowych sytuacjach, a jedno wspomniało o dyskryminacji rolników w UE, którzy nie mogliby już stosować środków ochrony roślin zawierających tę substancję czynną, podczas gdy rolnicy w państwach trzecich nadal mogliby to robić, co prowadziłoby do nieuczciwej konkurencji”</w:t>
      </w:r>
      <w:r w:rsidRPr="0092719C">
        <w:rPr>
          <w:rStyle w:val="FootnoteReference"/>
        </w:rPr>
        <w:footnoteReference w:id="11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G.</w:t>
      </w:r>
      <w:r w:rsidRPr="0092719C">
        <w:tab/>
        <w:t xml:space="preserve">mając na uwadze, że Niemcy zwróciły się o włączenie następującego oświadczenia do sprawozdania podsumowującego z posiedzenia Stałego Komitetu ds. Roślin, Zwierząt, Żywności i Pasz, które odbyło się w dniach 18–19 września 2023 r.: „zgodnie z rozporządzeniem (WE) nr 1107/2009 </w:t>
      </w:r>
      <w:proofErr w:type="spellStart"/>
      <w:r w:rsidRPr="0092719C">
        <w:t>tiaklopryd</w:t>
      </w:r>
      <w:proofErr w:type="spellEnd"/>
      <w:r w:rsidRPr="0092719C">
        <w:t xml:space="preserve"> jest wykluczoną substancją czynną. Podczas procedury odnowienia zatwierdzenia tej substancji czynnej ustalono, że spełnia </w:t>
      </w:r>
      <w:r w:rsidRPr="0092719C">
        <w:lastRenderedPageBreak/>
        <w:t xml:space="preserve">ona kryteria graniczne, ponieważ została sklasyfikowana jako substancja </w:t>
      </w:r>
      <w:proofErr w:type="spellStart"/>
      <w:r w:rsidRPr="0092719C">
        <w:t>reprotoksyczna</w:t>
      </w:r>
      <w:proofErr w:type="spellEnd"/>
      <w:r w:rsidRPr="0092719C">
        <w:t xml:space="preserve"> kategorii 1B. W związku z tym ta substancja czynna nie została ponownie zatwierdzona. Niemcy zasadniczo nie popierają określenia [najwyższych dopuszczalnych poziomów pozostałości (NDP)] dla substancji czynnych, które nie zostały zatwierdzone w UE ze względów zdrowotnych. Decydującym czynnikiem jest to, że kryteria graniczne zostały ustalone w ramach procedury (ponownego) zatwierdzenia substancji czynnej na podstawie rozporządzenia (WE) nr 1107/2009”</w:t>
      </w:r>
      <w:r w:rsidRPr="0092719C">
        <w:rPr>
          <w:rStyle w:val="FootnoteReference"/>
        </w:rPr>
        <w:footnoteReference w:id="12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H.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zgodnie z art. 17 tego rozporządzenia w związku z jego art. 14 ust. 1 lit. a) należy zatem skreślić obecne NDP </w:t>
      </w:r>
      <w:proofErr w:type="spellStart"/>
      <w:r w:rsidRPr="0092719C">
        <w:t>tiakloprydu</w:t>
      </w:r>
      <w:proofErr w:type="spellEnd"/>
      <w:r w:rsidRPr="0092719C">
        <w:t xml:space="preserve"> określone w załączniku II do rozporządzenia (WE) nr 396/2005;</w:t>
      </w:r>
    </w:p>
    <w:p w:rsidR="00EA7CD8" w:rsidRPr="0092719C" w:rsidRDefault="00EA7CD8" w:rsidP="00EA7CD8">
      <w:pPr>
        <w:pStyle w:val="NormalHanging12a"/>
        <w:jc w:val="both"/>
      </w:pPr>
      <w:r w:rsidRPr="0092719C">
        <w:t>I.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we wniosku dotyczącym rozporządzenia Rady Komisja proponuje jednak utrzymanie NDP </w:t>
      </w:r>
      <w:proofErr w:type="spellStart"/>
      <w:r w:rsidRPr="0092719C">
        <w:t>tiakloprydu</w:t>
      </w:r>
      <w:proofErr w:type="spellEnd"/>
      <w:r w:rsidRPr="0092719C">
        <w:t xml:space="preserve"> powyżej granicy oznaczalności dla ponad 30 produktów do celów przywozu na podstawie uzasadnionej opinii EFSA</w:t>
      </w:r>
      <w:r w:rsidRPr="0092719C">
        <w:rPr>
          <w:rStyle w:val="FootnoteReference"/>
        </w:rPr>
        <w:footnoteReference w:id="13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J.</w:t>
      </w:r>
      <w:r w:rsidRPr="0092719C">
        <w:tab/>
        <w:t xml:space="preserve">mając na uwadze, że zastosowania, w przypadku których NDP przekraczające granicę oznaczalności są uważane za bezpieczne, dotyczą </w:t>
      </w:r>
      <w:proofErr w:type="spellStart"/>
      <w:r w:rsidRPr="0092719C">
        <w:t>tiakloprydu</w:t>
      </w:r>
      <w:proofErr w:type="spellEnd"/>
      <w:r w:rsidRPr="0092719C">
        <w:t xml:space="preserve"> w papajach, herbacie</w:t>
      </w:r>
      <w:proofErr w:type="gramStart"/>
      <w:r w:rsidRPr="0092719C">
        <w:t>, orzechach</w:t>
      </w:r>
      <w:proofErr w:type="gramEnd"/>
      <w:r w:rsidRPr="0092719C">
        <w:t xml:space="preserve"> z drzew orzechowych, pigwach, owocach nieszpułki zwyczajnej, owocach </w:t>
      </w:r>
      <w:proofErr w:type="spellStart"/>
      <w:r w:rsidRPr="0092719C">
        <w:t>nieśplika</w:t>
      </w:r>
      <w:proofErr w:type="spellEnd"/>
      <w:r w:rsidRPr="0092719C">
        <w:t xml:space="preserve"> japońskiego/owocach miszpelnika japońskiego, morelach, czereśniach, śliwkach, truskawkach, jeżynach, jeżynach popielicach, innych drobnych owocach i jagodach, kiwi, ziemniakach, pomidorach, oberżynach/bakłażanach, melonach, arbuzach, ryżu, pszenicy zwyczajnej, produktach pochodzenia zwierzęcego (świnie, bydło, owce, konie, drób oraz inne zwierzęta gospodarskie) z tkanek (mięśni, wątroby, nerek oraz podrobów jadalnych), mleku i jajach, malinach, ogórkach, cukiniach, nasionach rzepaku, nasionach gorczycy i nasionach bawełny; mając na uwadze, że NDP proponowane dla tych zastosowań </w:t>
      </w:r>
      <w:proofErr w:type="gramStart"/>
      <w:r w:rsidRPr="0092719C">
        <w:t>wahają</w:t>
      </w:r>
      <w:proofErr w:type="gramEnd"/>
      <w:r w:rsidRPr="0092719C">
        <w:t xml:space="preserve"> się od dwukrotności granicy oznaczalności do </w:t>
      </w:r>
      <w:proofErr w:type="spellStart"/>
      <w:r w:rsidRPr="0092719C">
        <w:t>tysiąckrotności</w:t>
      </w:r>
      <w:proofErr w:type="spellEnd"/>
      <w:r w:rsidRPr="0092719C">
        <w:t xml:space="preserve"> granicy oznaczalności (w przypadku herbat);</w:t>
      </w:r>
    </w:p>
    <w:p w:rsidR="00EA7CD8" w:rsidRPr="0092719C" w:rsidRDefault="00EA7CD8" w:rsidP="00EA7CD8">
      <w:pPr>
        <w:pStyle w:val="NormalHanging12a"/>
        <w:jc w:val="both"/>
      </w:pPr>
      <w:r w:rsidRPr="0092719C">
        <w:t>K.</w:t>
      </w:r>
      <w:r w:rsidRPr="0092719C">
        <w:tab/>
        <w:t xml:space="preserve">mając na uwadze, że wniosek o tolerancje importowe odrzucono natomiast tylko dla dwóch zastosowań (brzoskwinie i papryka roczna), ponieważ nie można wykluczyć przekroczenia ostrej dawki referencyjnej, w związku z czym Komisja zaproponowała obniżenie NDP </w:t>
      </w:r>
      <w:proofErr w:type="spellStart"/>
      <w:r w:rsidRPr="0092719C">
        <w:t>tiakloprydu</w:t>
      </w:r>
      <w:proofErr w:type="spellEnd"/>
      <w:r w:rsidRPr="0092719C">
        <w:t xml:space="preserve"> do granicy oznaczalności tylko dla tych zastosowań; </w:t>
      </w:r>
    </w:p>
    <w:p w:rsidR="00EA7CD8" w:rsidRPr="0092719C" w:rsidRDefault="00EA7CD8" w:rsidP="00EA7CD8">
      <w:pPr>
        <w:pStyle w:val="NormalHanging12a"/>
        <w:jc w:val="both"/>
      </w:pPr>
      <w:r w:rsidRPr="0092719C">
        <w:t>L.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zgodnie z rozporządzeniem (WE) nr 396/2005 pozostałości nie powinny występować w ilościach, które stanowią niedopuszczalne ryzyko dla ludzi oraz, w stosownych przypadkach, dla zwierząt; </w:t>
      </w:r>
    </w:p>
    <w:p w:rsidR="00EA7CD8" w:rsidRPr="0092719C" w:rsidRDefault="00EA7CD8" w:rsidP="00EA7CD8">
      <w:pPr>
        <w:pStyle w:val="NormalHanging12a"/>
        <w:jc w:val="both"/>
      </w:pPr>
      <w:r w:rsidRPr="0092719C">
        <w:t>M.</w:t>
      </w:r>
      <w:r w:rsidRPr="0092719C">
        <w:tab/>
        <w:t xml:space="preserve">mając na uwadze, że zgodnie z art. 4 ust. 2 lit. a) rozporządzenia (WE) nr 1107/2009 pozostałości środków ochrony roślin nie mogą mieć szkodliwego wpływu na zdrowie ludzi, w tym grup szczególnie wrażliwych, lub na zdrowie zwierząt, z uwzględnieniem znanego wpływu w postaci kumulacji w organizmie i działania synergicznego; mając na uwadze, że zgodnie z pkt 3.6.4 załącznika II do tego rozporządzenia substancja czynna sklasyfikowana na mocy rozporządzenia (WE) nr 1272/2008 jako działająca toksycznie na rozrodczość kategorii 1A lub 1B nie może zostać zatwierdzona, chyba że „pozostałości substancji czynnej [...] </w:t>
      </w:r>
      <w:proofErr w:type="gramStart"/>
      <w:r w:rsidRPr="0092719C">
        <w:t>w</w:t>
      </w:r>
      <w:proofErr w:type="gramEnd"/>
      <w:r w:rsidRPr="0092719C">
        <w:t xml:space="preserve"> żywności lub paszach nie przekraczają wartości wzorcowej określonej zgodnie z art. 18 ust. 1 lit. b) rozporządzenia (WE) nr 396/2005”; mając na uwadze, że w art. 18 ust. 1 lit. b) rozporządzenia (WE) nr 396/2005 wartość wzorcową </w:t>
      </w:r>
      <w:r w:rsidRPr="0092719C">
        <w:lastRenderedPageBreak/>
        <w:t>ustalono na poziomie 0,01 mg/kg;</w:t>
      </w:r>
    </w:p>
    <w:p w:rsidR="00EA7CD8" w:rsidRPr="0092719C" w:rsidRDefault="00EA7CD8" w:rsidP="00EA7CD8">
      <w:pPr>
        <w:pStyle w:val="NormalHanging12a"/>
        <w:jc w:val="both"/>
      </w:pPr>
      <w:r w:rsidRPr="0092719C">
        <w:t>N.</w:t>
      </w:r>
      <w:r w:rsidRPr="0092719C">
        <w:tab/>
        <w:t xml:space="preserve">mając na uwadze, że zgodnie z art. 3 ust. 2 lit. g) rozporządzenia (WE) nr 396/2005 tolerancja importowa to NDP ustalone dla środków wwożonych, jeżeli „stosowanie danej substancji czynnej w środku ochrony roślin na danym produkcie jest niedozwolone we Wspólnocie z przyczyn innych niż ochrona zdrowia publicznego w odniesieniu do konkretnego produktu i konkretnego użycia”; mając na uwadze, że </w:t>
      </w:r>
      <w:proofErr w:type="spellStart"/>
      <w:r w:rsidRPr="0092719C">
        <w:t>tiaklopryd</w:t>
      </w:r>
      <w:proofErr w:type="spellEnd"/>
      <w:r w:rsidRPr="0092719C">
        <w:t xml:space="preserve"> nie spełnia tych kryteriów, ponieważ został sklasyfikowany jako substancja działająca toksycznie na rozrodczość kategorii 1B i w związku z tym zakazany ze względów zdrowotnych;</w:t>
      </w:r>
    </w:p>
    <w:p w:rsidR="00EA7CD8" w:rsidRPr="0092719C" w:rsidRDefault="00EA7CD8" w:rsidP="00EA7CD8">
      <w:pPr>
        <w:pStyle w:val="NormalHanging12a"/>
        <w:jc w:val="both"/>
      </w:pPr>
      <w:r w:rsidRPr="0092719C">
        <w:t>O.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zgodnie z art. 5 ust. 1 rozporządzenia (WE) nr 178/2002 prawo żywnościowe służy realizacji co najmniej jednego z ogólnych celów dotyczących wysokiego poziomu ochrony zdrowia i życia ludzi oraz ochrony interesów konsumentów, z uwzględnieniem uczciwych praktyk w handlu żywnością, biorąc w stosownych przypadkach pod uwagę ochronę zdrowia i warunków życia zwierząt, zdrowia roślin i środowiska naturalnego;</w:t>
      </w:r>
    </w:p>
    <w:p w:rsidR="00EA7CD8" w:rsidRPr="0092719C" w:rsidRDefault="00EA7CD8" w:rsidP="00EA7CD8">
      <w:pPr>
        <w:pStyle w:val="NormalHanging12a"/>
        <w:jc w:val="both"/>
      </w:pPr>
      <w:r w:rsidRPr="0092719C">
        <w:t>P.</w:t>
      </w:r>
      <w:r w:rsidRPr="0092719C">
        <w:tab/>
        <w:t>mając na uwadze, że obecny kryzys związany z owadami zapylającymi jest jednym z głównych zagrożeń dla różnorodności biologicznej oraz globalnego i lokalnego bezpieczeństwa żywnościowego; mając na uwadze, że kryzys ten może pogłębić problemy związane z ukrytym głodem, a ponadto osłabia odporność ekosystemów i może zdestabilizować ekosystemy, które są kluczowe dla naszego życia</w:t>
      </w:r>
      <w:r w:rsidRPr="0092719C">
        <w:rPr>
          <w:rStyle w:val="FootnoteReference"/>
        </w:rPr>
        <w:footnoteReference w:id="14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Q.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w komunikacie z 20 maja 2020 r. pt. „Strategia »od pola do stołu« na rzecz sprawiedliwego, zdrowego i przyjaznego dla środowiska systemu żywnościowego”</w:t>
      </w:r>
      <w:r w:rsidRPr="0092719C">
        <w:rPr>
          <w:rStyle w:val="FootnoteReference"/>
        </w:rPr>
        <w:footnoteReference w:id="15"/>
      </w:r>
      <w:r w:rsidRPr="0092719C">
        <w:t xml:space="preserve"> Komisja stwierdziła, że „UE będzie wspierać globalną transformację w kierunku zrównoważonych systemów rolno-spożywczych – zgodnie z celami tej strategii i celami zrównoważonego rozwoju” oraz że „UE może odegrać kluczową rolę w ustanawianiu globalnych standardów dzięki [tej] strategii”; mając na uwadze, że Komisja wyraźnie stwierdziła w tej strategii: „Bardziej zrównoważony system żywnościowy UE wymaga również coraz bardziej zrównoważonych praktyk ze strony naszych partnerów handlowych. W celu wsparcia stopniowego przejścia na stosowanie bezpieczniejszych środków ochrony roślin UE rozważy, zgodnie z zasadami WTO i po dokonaniu oceny ryzyka, przegląd tolerancji importowych w odniesieniu do substancji spełniających »kryteria graniczne« i wykazujących wysoki poziom ryzyka dla zdrowia ludzi.”;</w:t>
      </w:r>
    </w:p>
    <w:p w:rsidR="00EA7CD8" w:rsidRPr="0092719C" w:rsidRDefault="00EA7CD8" w:rsidP="00EA7CD8">
      <w:pPr>
        <w:pStyle w:val="NormalHanging12a"/>
        <w:jc w:val="both"/>
      </w:pPr>
      <w:r w:rsidRPr="0092719C">
        <w:t>R.</w:t>
      </w:r>
      <w:r w:rsidRPr="0092719C">
        <w:tab/>
        <w:t xml:space="preserve">mając na uwadze, że w przypadku dwóch </w:t>
      </w:r>
      <w:proofErr w:type="spellStart"/>
      <w:r w:rsidRPr="0092719C">
        <w:t>neonikotynoidów</w:t>
      </w:r>
      <w:proofErr w:type="spellEnd"/>
      <w:r w:rsidRPr="0092719C">
        <w:t xml:space="preserve"> stwarzających wysokie ryzyko dla owadów zapylających w 2022 r. Komisja obniżyła</w:t>
      </w:r>
      <w:r w:rsidRPr="0092719C">
        <w:rPr>
          <w:rStyle w:val="FootnoteReference"/>
        </w:rPr>
        <w:footnoteReference w:id="16"/>
      </w:r>
      <w:r w:rsidRPr="0092719C">
        <w:t xml:space="preserve"> NDP do najniższego poziomu, jaki można zmierzyć za pomocą najnowszych technologii, dlatego przywożone produkty nie mogą już zawierać pozostałości </w:t>
      </w:r>
      <w:proofErr w:type="spellStart"/>
      <w:r w:rsidRPr="0092719C">
        <w:t>chlotianidyny</w:t>
      </w:r>
      <w:proofErr w:type="spellEnd"/>
      <w:r w:rsidRPr="0092719C">
        <w:t xml:space="preserve"> i </w:t>
      </w:r>
      <w:proofErr w:type="spellStart"/>
      <w:r w:rsidRPr="0092719C">
        <w:t>tiametoksamu</w:t>
      </w:r>
      <w:proofErr w:type="spellEnd"/>
      <w:r w:rsidRPr="0092719C">
        <w:t xml:space="preserve">; </w:t>
      </w:r>
    </w:p>
    <w:p w:rsidR="00EA7CD8" w:rsidRPr="0092719C" w:rsidRDefault="00EA7CD8" w:rsidP="00EA7CD8">
      <w:pPr>
        <w:pStyle w:val="NormalHanging12a"/>
        <w:jc w:val="both"/>
      </w:pPr>
      <w:r w:rsidRPr="0092719C">
        <w:t>S.</w:t>
      </w:r>
      <w:r w:rsidRPr="0092719C">
        <w:tab/>
        <w:t xml:space="preserve">mając na uwadze, że w tym kontekście Komisja stwierdziła, że „biorąc pod uwagę </w:t>
      </w:r>
      <w:r w:rsidRPr="0092719C">
        <w:lastRenderedPageBreak/>
        <w:t>wszystkie czynniki istotne dla rozpatrywanej kwestii zgodnie z art. 14 ust. 2, interpretowanym w świetle art. 11 Traktatu o funkcjonowaniu Unii Europejskiej, zgodnie z którym »[p</w:t>
      </w:r>
      <w:proofErr w:type="gramStart"/>
      <w:r w:rsidRPr="0092719C">
        <w:t>]</w:t>
      </w:r>
      <w:proofErr w:type="spellStart"/>
      <w:r w:rsidRPr="0092719C">
        <w:t>rzy</w:t>
      </w:r>
      <w:proofErr w:type="spellEnd"/>
      <w:proofErr w:type="gramEnd"/>
      <w:r w:rsidRPr="0092719C">
        <w:t xml:space="preserve"> ustalaniu i realizacji polityk i działań Unii, w szczególności w celu wspierania zrównoważonego rozwoju, muszą być brane pod uwagę wymogi ochrony środowiska«, wszystkie obecne NDP </w:t>
      </w:r>
      <w:proofErr w:type="spellStart"/>
      <w:r w:rsidRPr="0092719C">
        <w:t>chlotianidyny</w:t>
      </w:r>
      <w:proofErr w:type="spellEnd"/>
      <w:r w:rsidRPr="0092719C">
        <w:t xml:space="preserve"> i </w:t>
      </w:r>
      <w:proofErr w:type="spellStart"/>
      <w:r w:rsidRPr="0092719C">
        <w:t>tiametoksamu</w:t>
      </w:r>
      <w:proofErr w:type="spellEnd"/>
      <w:r w:rsidRPr="0092719C">
        <w:t xml:space="preserve"> określone w rozporządzeniu (WE) nr 396/2005 należy obniżyć do granicy oznaczalności”</w:t>
      </w:r>
      <w:r w:rsidRPr="0092719C">
        <w:rPr>
          <w:rStyle w:val="FootnoteReference"/>
        </w:rPr>
        <w:footnoteReference w:id="17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T.</w:t>
      </w:r>
      <w:r w:rsidRPr="0092719C">
        <w:tab/>
        <w:t xml:space="preserve">mając na uwadze, że na posiedzeniu Stałego Komitetu ds. Roślin, Zwierząt, Żywności i Pasz, które odbyło się w dniach 10–11 maja 2023 r., Komisja przypomniała, że </w:t>
      </w:r>
      <w:proofErr w:type="spellStart"/>
      <w:r w:rsidRPr="0092719C">
        <w:t>tiaklopryd</w:t>
      </w:r>
      <w:proofErr w:type="spellEnd"/>
      <w:r w:rsidRPr="0092719C">
        <w:t xml:space="preserve"> należy do substancji czynnych z grupy </w:t>
      </w:r>
      <w:proofErr w:type="spellStart"/>
      <w:r w:rsidRPr="0092719C">
        <w:t>neonikotynoidów</w:t>
      </w:r>
      <w:proofErr w:type="spellEnd"/>
      <w:r w:rsidRPr="0092719C">
        <w:t xml:space="preserve">, lecz z uwagi na fakt, że ma inne właściwości niż </w:t>
      </w:r>
      <w:proofErr w:type="spellStart"/>
      <w:r w:rsidRPr="0092719C">
        <w:t>chlotianidyna</w:t>
      </w:r>
      <w:proofErr w:type="spellEnd"/>
      <w:r w:rsidRPr="0092719C">
        <w:t xml:space="preserve"> i </w:t>
      </w:r>
      <w:proofErr w:type="spellStart"/>
      <w:r w:rsidRPr="0092719C">
        <w:t>tiametoksam</w:t>
      </w:r>
      <w:proofErr w:type="spellEnd"/>
      <w:r w:rsidRPr="0092719C">
        <w:t xml:space="preserve">, przy wdrażaniu strategii „od pola do stołu” na razie nie przewiduje się zastosowania takiego samego podejścia jak w przypadku </w:t>
      </w:r>
      <w:proofErr w:type="spellStart"/>
      <w:r w:rsidRPr="0092719C">
        <w:t>chlotianidyny</w:t>
      </w:r>
      <w:proofErr w:type="spellEnd"/>
      <w:r w:rsidRPr="0092719C">
        <w:t xml:space="preserve"> i </w:t>
      </w:r>
      <w:proofErr w:type="spellStart"/>
      <w:r w:rsidRPr="0092719C">
        <w:t>tiametoksamu</w:t>
      </w:r>
      <w:proofErr w:type="spellEnd"/>
      <w:r w:rsidRPr="0092719C">
        <w:t xml:space="preserve"> i obniżenia wszystkich NDP do granicy oznaczalności</w:t>
      </w:r>
      <w:r w:rsidRPr="0092719C">
        <w:rPr>
          <w:rStyle w:val="FootnoteReference"/>
        </w:rPr>
        <w:footnoteReference w:id="18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U.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literatura naukowa poddaje w wątpliwość fakt posiadania przez </w:t>
      </w:r>
      <w:proofErr w:type="spellStart"/>
      <w:r w:rsidRPr="0092719C">
        <w:t>tiaklopryd</w:t>
      </w:r>
      <w:proofErr w:type="spellEnd"/>
      <w:r w:rsidRPr="0092719C">
        <w:t xml:space="preserve"> innych właściwości niż pozostałe </w:t>
      </w:r>
      <w:proofErr w:type="spellStart"/>
      <w:r w:rsidRPr="0092719C">
        <w:t>neonikotynoidy</w:t>
      </w:r>
      <w:proofErr w:type="spellEnd"/>
      <w:r w:rsidRPr="0092719C">
        <w:t xml:space="preserve"> i przytacza dowody, z których wynika, że najwyższy czas zakwestionować przekonanie o względnie łagodnej naturze tego </w:t>
      </w:r>
      <w:proofErr w:type="spellStart"/>
      <w:r w:rsidRPr="0092719C">
        <w:t>neonikotynoidu</w:t>
      </w:r>
      <w:proofErr w:type="spellEnd"/>
      <w:r w:rsidRPr="0092719C">
        <w:rPr>
          <w:rStyle w:val="FootnoteReference"/>
        </w:rPr>
        <w:footnoteReference w:id="19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V.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stwierdzono w szczególności, że w przypadku rojów trzmieli narażonych na działanie </w:t>
      </w:r>
      <w:proofErr w:type="spellStart"/>
      <w:r w:rsidRPr="0092719C">
        <w:t>tiakloprydu</w:t>
      </w:r>
      <w:proofErr w:type="spellEnd"/>
      <w:r w:rsidRPr="0092719C">
        <w:t xml:space="preserve"> istnieje większe ryzyko przedwczesnej śmierci, a wśród osobników, które przeżyły, większe prawdopodobieństwo wystąpienia efektów </w:t>
      </w:r>
      <w:proofErr w:type="spellStart"/>
      <w:r w:rsidRPr="0092719C">
        <w:t>subletalnych</w:t>
      </w:r>
      <w:proofErr w:type="spellEnd"/>
      <w:r w:rsidRPr="0092719C">
        <w:rPr>
          <w:rStyle w:val="FootnoteReference"/>
        </w:rPr>
        <w:footnoteReference w:id="20"/>
      </w:r>
      <w:r w:rsidRPr="0092719C">
        <w:t xml:space="preserve">; mając na uwadze, że stwierdzono również, iż </w:t>
      </w:r>
      <w:proofErr w:type="spellStart"/>
      <w:r w:rsidRPr="0092719C">
        <w:t>tiaklopryd</w:t>
      </w:r>
      <w:proofErr w:type="spellEnd"/>
      <w:r w:rsidRPr="0092719C">
        <w:t xml:space="preserve"> wpływa na zachowanie i układ odpornościowy pszczół miodnych podobnie jak </w:t>
      </w:r>
      <w:proofErr w:type="spellStart"/>
      <w:r w:rsidRPr="0092719C">
        <w:t>imidaklopryd</w:t>
      </w:r>
      <w:proofErr w:type="spellEnd"/>
      <w:r w:rsidRPr="0092719C">
        <w:t xml:space="preserve">, </w:t>
      </w:r>
      <w:proofErr w:type="spellStart"/>
      <w:r w:rsidRPr="0092719C">
        <w:t>chlotianidyna</w:t>
      </w:r>
      <w:proofErr w:type="spellEnd"/>
      <w:r w:rsidRPr="0092719C">
        <w:t xml:space="preserve"> i </w:t>
      </w:r>
      <w:proofErr w:type="spellStart"/>
      <w:r w:rsidRPr="0092719C">
        <w:t>tiametoksam</w:t>
      </w:r>
      <w:proofErr w:type="spellEnd"/>
      <w:r w:rsidRPr="0092719C">
        <w:rPr>
          <w:rStyle w:val="FootnoteReference"/>
        </w:rPr>
        <w:footnoteReference w:id="21"/>
      </w:r>
      <w:r w:rsidRPr="0092719C">
        <w:rPr>
          <w:rStyle w:val="FootnoteReference"/>
        </w:rPr>
        <w:footnoteReference w:id="22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W.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coraz więcej dowodów wskazuje na niszczący wpływ stosowania </w:t>
      </w:r>
      <w:proofErr w:type="spellStart"/>
      <w:r w:rsidRPr="0092719C">
        <w:t>tiakloprydu</w:t>
      </w:r>
      <w:proofErr w:type="spellEnd"/>
      <w:r w:rsidRPr="0092719C">
        <w:t xml:space="preserve"> na różnorodność biologiczną, a w szczególności na pszczoły i inne owady </w:t>
      </w:r>
      <w:r w:rsidRPr="0092719C">
        <w:lastRenderedPageBreak/>
        <w:t>zapylające</w:t>
      </w:r>
      <w:r w:rsidRPr="0092719C">
        <w:rPr>
          <w:rStyle w:val="FootnoteReference"/>
          <w:szCs w:val="24"/>
        </w:rPr>
        <w:footnoteReference w:id="23"/>
      </w:r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X.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w swoim sprawozdaniu z 22 października 2019 r. dotyczącym nieodnowienia</w:t>
      </w:r>
      <w:r w:rsidRPr="0092719C">
        <w:rPr>
          <w:rStyle w:val="FootnoteReference"/>
        </w:rPr>
        <w:footnoteReference w:id="24"/>
      </w:r>
      <w:r w:rsidRPr="0092719C">
        <w:t xml:space="preserve"> EFSA stwierdził, że dostępne informacje są niewystarczające, by spełnić wymogi określone w art. 4 ust. 1–3 rozporządzenia (WE) nr 1107/2009, a w szczególności że nie można sfinalizować oceny ryzyka dla pszczół;</w:t>
      </w:r>
    </w:p>
    <w:p w:rsidR="00EA7CD8" w:rsidRPr="0092719C" w:rsidRDefault="00EA7CD8" w:rsidP="00EA7CD8">
      <w:pPr>
        <w:pStyle w:val="NormalHanging12a"/>
        <w:jc w:val="both"/>
      </w:pPr>
      <w:r w:rsidRPr="0092719C">
        <w:t>Y.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w przypadku </w:t>
      </w:r>
      <w:proofErr w:type="spellStart"/>
      <w:r w:rsidRPr="0092719C">
        <w:t>tiakloprydu</w:t>
      </w:r>
      <w:proofErr w:type="spellEnd"/>
      <w:r w:rsidRPr="0092719C">
        <w:t xml:space="preserve"> należy w związku z tym zastosować tę samą logikę i te same zasady co w przypadku </w:t>
      </w:r>
      <w:proofErr w:type="spellStart"/>
      <w:r w:rsidRPr="0092719C">
        <w:t>chlotianidyny</w:t>
      </w:r>
      <w:proofErr w:type="spellEnd"/>
      <w:r w:rsidRPr="0092719C">
        <w:t xml:space="preserve"> i </w:t>
      </w:r>
      <w:proofErr w:type="spellStart"/>
      <w:r w:rsidRPr="0092719C">
        <w:t>tiametoksamu</w:t>
      </w:r>
      <w:proofErr w:type="spellEnd"/>
      <w:r w:rsidRPr="0092719C">
        <w:t>;</w:t>
      </w:r>
    </w:p>
    <w:p w:rsidR="00EA7CD8" w:rsidRPr="0092719C" w:rsidRDefault="00EA7CD8" w:rsidP="00EA7CD8">
      <w:pPr>
        <w:pStyle w:val="NormalHanging12a"/>
        <w:jc w:val="both"/>
      </w:pPr>
      <w:r w:rsidRPr="0092719C">
        <w:t>Z.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Komisja powinna chronić środowisko i obywateli Unii, opierając się na dostępnych informacjach naukowych i korzystając z obowiązków i możliwości prawnych przewidzianych w rozporządzeniach (WE) nr 396/2005 i (WE) nr 178/2002 w celu zapewnienia wysokiego poziomu ochrony zdrowia ludzi i zwierząt oraz środowiska;</w:t>
      </w:r>
    </w:p>
    <w:p w:rsidR="00EA7CD8" w:rsidRPr="0092719C" w:rsidRDefault="00EA7CD8" w:rsidP="00EA7CD8">
      <w:pPr>
        <w:pStyle w:val="NormalHanging12a"/>
        <w:jc w:val="both"/>
      </w:pPr>
      <w:r w:rsidRPr="0092719C">
        <w:t>AA.</w:t>
      </w:r>
      <w:r w:rsidRPr="0092719C">
        <w:tab/>
        <w:t>mając na uwadze, że proponowane NDP nie chronią zdrowia obywateli w Unii i nie zapewniają wysokiego poziomu ochrony pszczół i innych owadów zapylających, a zatem są sprzeczne z rozporządzeniami (WE) nr 396/2005 i (WE) nr 178/2002;</w:t>
      </w:r>
    </w:p>
    <w:p w:rsidR="00EA7CD8" w:rsidRPr="0092719C" w:rsidRDefault="00EA7CD8" w:rsidP="00EA7CD8">
      <w:pPr>
        <w:pStyle w:val="NormalHanging12a"/>
        <w:jc w:val="both"/>
      </w:pPr>
      <w:r w:rsidRPr="0092719C">
        <w:t>AB.</w:t>
      </w:r>
      <w:r w:rsidRPr="0092719C">
        <w:tab/>
      </w:r>
      <w:proofErr w:type="gramStart"/>
      <w:r w:rsidRPr="0092719C">
        <w:t>mając</w:t>
      </w:r>
      <w:proofErr w:type="gramEnd"/>
      <w:r w:rsidRPr="0092719C">
        <w:t xml:space="preserve"> na uwadze, że nie należy określać NDP dla substancji czynnych, które z obawy o kwestie zdrowotne nie zostały w Unii zatwierdzone; mając na uwadze, że nie należy w związku z tym określać tolerancji importowych dla </w:t>
      </w:r>
      <w:proofErr w:type="spellStart"/>
      <w:r w:rsidRPr="0092719C">
        <w:t>tiakloprydu</w:t>
      </w:r>
      <w:proofErr w:type="spellEnd"/>
      <w:r w:rsidRPr="0092719C">
        <w:t xml:space="preserve">, skoro został on sklasyfikowany jako substancja działająca toksycznie na rozrodczość kategorii 1B; mając ponadto na uwadze, że klasyfikacja </w:t>
      </w:r>
      <w:proofErr w:type="spellStart"/>
      <w:r w:rsidRPr="0092719C">
        <w:t>tiakloprydu</w:t>
      </w:r>
      <w:proofErr w:type="spellEnd"/>
      <w:r w:rsidRPr="0092719C">
        <w:t xml:space="preserve"> jako substancji działającej toksycznie na rozrodczość kategorii 1B powinna być dla Komisji wystarczającą podstawą do odrzucenia wniosków o tolerancje importowe ze względu na zagrożenia dla zdrowia obywateli państw trzecich; </w:t>
      </w:r>
    </w:p>
    <w:p w:rsidR="00EA7CD8" w:rsidRPr="0092719C" w:rsidRDefault="00EA7CD8" w:rsidP="00EA7CD8">
      <w:pPr>
        <w:pStyle w:val="NormalHanging12a"/>
        <w:jc w:val="both"/>
      </w:pPr>
      <w:r w:rsidRPr="0092719C">
        <w:t>1.</w:t>
      </w:r>
      <w:r w:rsidRPr="0092719C">
        <w:tab/>
      </w:r>
      <w:proofErr w:type="gramStart"/>
      <w:r w:rsidRPr="0092719C">
        <w:t>sprzeciwia</w:t>
      </w:r>
      <w:proofErr w:type="gramEnd"/>
      <w:r w:rsidRPr="0092719C">
        <w:t xml:space="preserve"> się przyjęciu wniosku dotyczącego rozporządzenia Rady;</w:t>
      </w:r>
    </w:p>
    <w:p w:rsidR="00EA7CD8" w:rsidRPr="0092719C" w:rsidRDefault="00EA7CD8" w:rsidP="00EA7CD8">
      <w:pPr>
        <w:pStyle w:val="NormalHanging12a"/>
        <w:jc w:val="both"/>
      </w:pPr>
      <w:r w:rsidRPr="0092719C">
        <w:t>2.</w:t>
      </w:r>
      <w:r w:rsidRPr="0092719C">
        <w:tab/>
      </w:r>
      <w:proofErr w:type="gramStart"/>
      <w:r w:rsidRPr="0092719C">
        <w:t>uważa</w:t>
      </w:r>
      <w:proofErr w:type="gramEnd"/>
      <w:r w:rsidRPr="0092719C">
        <w:t>, że wniosek dotyczący rozporządzenia Rady jest niezgodny z celem i treścią rozporządzenia (WE) nr 396/2005 i rozporządzenia (WE) nr 178/2002, jak również rozporządzenia (WE) nr 1107/2009, w tym pkt 3.6.4 załącznika II do tegoż rozporządzenia;</w:t>
      </w:r>
    </w:p>
    <w:p w:rsidR="00EA7CD8" w:rsidRPr="0092719C" w:rsidRDefault="00EA7CD8" w:rsidP="00EA7CD8">
      <w:pPr>
        <w:pStyle w:val="NormalHanging12a"/>
        <w:jc w:val="both"/>
      </w:pPr>
      <w:r w:rsidRPr="0092719C">
        <w:t>3.</w:t>
      </w:r>
      <w:r w:rsidRPr="0092719C">
        <w:tab/>
      </w:r>
      <w:proofErr w:type="gramStart"/>
      <w:r w:rsidRPr="0092719C">
        <w:t>wzywa</w:t>
      </w:r>
      <w:proofErr w:type="gramEnd"/>
      <w:r w:rsidRPr="0092719C">
        <w:t xml:space="preserve"> Komisję do wycofania wniosku dotyczącego rozporządzenia;</w:t>
      </w:r>
    </w:p>
    <w:p w:rsidR="00EA7CD8" w:rsidRPr="0092719C" w:rsidRDefault="00EA7CD8" w:rsidP="00EA7CD8">
      <w:pPr>
        <w:pStyle w:val="NormalHanging12a"/>
        <w:jc w:val="both"/>
      </w:pPr>
      <w:r w:rsidRPr="0092719C">
        <w:t>4.</w:t>
      </w:r>
      <w:r w:rsidRPr="0092719C">
        <w:tab/>
      </w:r>
      <w:proofErr w:type="gramStart"/>
      <w:r w:rsidRPr="0092719C">
        <w:t>wzywa</w:t>
      </w:r>
      <w:proofErr w:type="gramEnd"/>
      <w:r w:rsidRPr="0092719C">
        <w:t xml:space="preserve"> Komisję, by przedstawiła komisji nowy projekt, w którym obniży do granicy oznaczalności wszystkie NDP dla </w:t>
      </w:r>
      <w:proofErr w:type="spellStart"/>
      <w:r w:rsidRPr="0092719C">
        <w:t>tiakloprydu</w:t>
      </w:r>
      <w:proofErr w:type="spellEnd"/>
      <w:r w:rsidRPr="0092719C">
        <w:t xml:space="preserve"> w przypadku wszystkich jego zastosowań, i by odrzuciła wszelkie wnioski o tolerancje importowe;</w:t>
      </w:r>
    </w:p>
    <w:p w:rsidR="00EA7CD8" w:rsidRPr="0092719C" w:rsidRDefault="00EA7CD8" w:rsidP="00EA7CD8">
      <w:pPr>
        <w:pStyle w:val="NormalHanging12a"/>
        <w:jc w:val="both"/>
      </w:pPr>
      <w:r w:rsidRPr="0092719C">
        <w:t>5.</w:t>
      </w:r>
      <w:r w:rsidRPr="0092719C">
        <w:tab/>
      </w:r>
      <w:proofErr w:type="gramStart"/>
      <w:r w:rsidRPr="0092719C">
        <w:t>zobowiązuje</w:t>
      </w:r>
      <w:proofErr w:type="gramEnd"/>
      <w:r w:rsidRPr="0092719C">
        <w:t xml:space="preserve"> swoją przewodniczącą do przekazania niniejszej rezolucji Radzie i Komisji oraz rządom i parlamentom państw członkowskich.</w:t>
      </w:r>
    </w:p>
    <w:sectPr w:rsidR="00EA7CD8" w:rsidRPr="0092719C" w:rsidSect="009271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238" w:rsidRPr="0092719C" w:rsidRDefault="00854238">
      <w:r w:rsidRPr="0092719C">
        <w:separator/>
      </w:r>
    </w:p>
  </w:endnote>
  <w:endnote w:type="continuationSeparator" w:id="0">
    <w:p w:rsidR="00854238" w:rsidRPr="0092719C" w:rsidRDefault="00854238">
      <w:r w:rsidRPr="009271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1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1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1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238" w:rsidRPr="0092719C" w:rsidRDefault="00854238">
      <w:r w:rsidRPr="0092719C">
        <w:separator/>
      </w:r>
    </w:p>
  </w:footnote>
  <w:footnote w:type="continuationSeparator" w:id="0">
    <w:p w:rsidR="00854238" w:rsidRPr="0092719C" w:rsidRDefault="00854238">
      <w:r w:rsidRPr="0092719C">
        <w:continuationSeparator/>
      </w:r>
    </w:p>
  </w:footnote>
  <w:footnote w:id="1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Dz.U. L 70 z 16.3.2005, </w:t>
      </w:r>
      <w:proofErr w:type="gramStart"/>
      <w:r w:rsidRPr="0092719C">
        <w:rPr>
          <w:sz w:val="24"/>
          <w:lang w:val="pl-PL"/>
        </w:rPr>
        <w:t>s</w:t>
      </w:r>
      <w:proofErr w:type="gramEnd"/>
      <w:r w:rsidRPr="0092719C">
        <w:rPr>
          <w:sz w:val="24"/>
          <w:lang w:val="pl-PL"/>
        </w:rPr>
        <w:t>. 1.</w:t>
      </w:r>
    </w:p>
  </w:footnote>
  <w:footnote w:id="2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Dz.U. L 309 z 24.11.2009, </w:t>
      </w:r>
      <w:proofErr w:type="gramStart"/>
      <w:r w:rsidRPr="0092719C">
        <w:rPr>
          <w:sz w:val="24"/>
          <w:lang w:val="pl-PL"/>
        </w:rPr>
        <w:t>s</w:t>
      </w:r>
      <w:proofErr w:type="gramEnd"/>
      <w:r w:rsidRPr="0092719C">
        <w:rPr>
          <w:sz w:val="24"/>
          <w:lang w:val="pl-PL"/>
        </w:rPr>
        <w:t>. 1.</w:t>
      </w:r>
    </w:p>
  </w:footnote>
  <w:footnote w:id="3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Dz.U. L 31 z 1.2.2002, </w:t>
      </w:r>
      <w:proofErr w:type="gramStart"/>
      <w:r w:rsidRPr="0092719C">
        <w:rPr>
          <w:sz w:val="24"/>
          <w:lang w:val="pl-PL"/>
        </w:rPr>
        <w:t>s</w:t>
      </w:r>
      <w:proofErr w:type="gramEnd"/>
      <w:r w:rsidRPr="0092719C">
        <w:rPr>
          <w:sz w:val="24"/>
          <w:lang w:val="pl-PL"/>
        </w:rPr>
        <w:t>. 1.</w:t>
      </w:r>
    </w:p>
  </w:footnote>
  <w:footnote w:id="4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Oświadczenie EFSA w sprawie badania krótkoterminowej (ostrej) toksyczności pokarmowej oraz oceny danych potwierdzających niektóre najwyższe dopuszczalne poziomy pozostałości (NDP) </w:t>
      </w:r>
      <w:proofErr w:type="spellStart"/>
      <w:r w:rsidRPr="0092719C">
        <w:rPr>
          <w:sz w:val="24"/>
          <w:lang w:val="pl-PL"/>
        </w:rPr>
        <w:t>tiakloprydu</w:t>
      </w:r>
      <w:proofErr w:type="spellEnd"/>
      <w:r w:rsidRPr="0092719C">
        <w:rPr>
          <w:sz w:val="24"/>
          <w:lang w:val="pl-PL"/>
        </w:rPr>
        <w:t xml:space="preserve">, EFSA </w:t>
      </w:r>
      <w:proofErr w:type="spellStart"/>
      <w:r w:rsidRPr="0092719C">
        <w:rPr>
          <w:sz w:val="24"/>
          <w:lang w:val="pl-PL"/>
        </w:rPr>
        <w:t>Journal</w:t>
      </w:r>
      <w:proofErr w:type="spellEnd"/>
      <w:proofErr w:type="gramStart"/>
      <w:r w:rsidRPr="0092719C">
        <w:rPr>
          <w:sz w:val="24"/>
          <w:lang w:val="pl-PL"/>
        </w:rPr>
        <w:t xml:space="preserve"> 2023;21(3):7888, </w:t>
      </w:r>
      <w:hyperlink r:id="rId1" w:history="1">
        <w:proofErr w:type="gramEnd"/>
        <w:r w:rsidRPr="0092719C">
          <w:rPr>
            <w:rStyle w:val="Hyperlink"/>
            <w:sz w:val="24"/>
            <w:lang w:val="pl-PL"/>
          </w:rPr>
          <w:t>https://doi.org/10.2903/j.efsa.2023.7888</w:t>
        </w:r>
      </w:hyperlink>
      <w:r w:rsidRPr="0092719C">
        <w:rPr>
          <w:sz w:val="24"/>
          <w:lang w:val="pl-PL"/>
        </w:rPr>
        <w:t>.</w:t>
      </w:r>
    </w:p>
  </w:footnote>
  <w:footnote w:id="5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Wnioski EFSA z recenzji oceny ryzyka stwarzanego przez pestycydy, dotyczącej substancji czynnej </w:t>
      </w:r>
      <w:proofErr w:type="spellStart"/>
      <w:r w:rsidRPr="0092719C">
        <w:rPr>
          <w:sz w:val="24"/>
          <w:lang w:val="pl-PL"/>
        </w:rPr>
        <w:t>tiaklopryd</w:t>
      </w:r>
      <w:proofErr w:type="spellEnd"/>
      <w:r w:rsidRPr="0092719C">
        <w:rPr>
          <w:sz w:val="24"/>
          <w:lang w:val="pl-PL"/>
        </w:rPr>
        <w:t xml:space="preserve">, EFSA </w:t>
      </w:r>
      <w:proofErr w:type="spellStart"/>
      <w:r w:rsidRPr="0092719C">
        <w:rPr>
          <w:sz w:val="24"/>
          <w:lang w:val="pl-PL"/>
        </w:rPr>
        <w:t>Journal</w:t>
      </w:r>
      <w:proofErr w:type="spellEnd"/>
      <w:proofErr w:type="gramStart"/>
      <w:r w:rsidRPr="0092719C">
        <w:rPr>
          <w:sz w:val="24"/>
          <w:lang w:val="pl-PL"/>
        </w:rPr>
        <w:t xml:space="preserve"> 2019;17(3):5595, </w:t>
      </w:r>
      <w:hyperlink r:id="rId2" w:history="1">
        <w:proofErr w:type="gramEnd"/>
        <w:r w:rsidRPr="0092719C">
          <w:rPr>
            <w:rStyle w:val="Hyperlink"/>
            <w:sz w:val="24"/>
            <w:lang w:val="pl-PL"/>
          </w:rPr>
          <w:t>https://doi.org/10.2903/j.efsa.2019.5595</w:t>
        </w:r>
      </w:hyperlink>
      <w:r w:rsidRPr="0092719C">
        <w:rPr>
          <w:sz w:val="24"/>
          <w:lang w:val="pl-PL"/>
        </w:rPr>
        <w:t>.</w:t>
      </w:r>
    </w:p>
  </w:footnote>
  <w:footnote w:id="6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Opinia Komitetu de. Oceny Ryzyka (RAC) w sprawie zharmonizowanej klasyfikacji i oznakowania </w:t>
      </w:r>
      <w:proofErr w:type="spellStart"/>
      <w:r w:rsidRPr="0092719C">
        <w:rPr>
          <w:sz w:val="24"/>
          <w:lang w:val="pl-PL"/>
        </w:rPr>
        <w:t>tiakloprydu</w:t>
      </w:r>
      <w:proofErr w:type="spellEnd"/>
      <w:r w:rsidRPr="0092719C">
        <w:rPr>
          <w:sz w:val="24"/>
          <w:lang w:val="pl-PL"/>
        </w:rPr>
        <w:t xml:space="preserve"> (ISO) na szczeblu UE; {(2Z</w:t>
      </w:r>
      <w:proofErr w:type="gramStart"/>
      <w:r w:rsidRPr="0092719C">
        <w:rPr>
          <w:sz w:val="24"/>
          <w:lang w:val="pl-PL"/>
        </w:rPr>
        <w:t>)-3-[(6-chloropirydyn-</w:t>
      </w:r>
      <w:proofErr w:type="gramEnd"/>
      <w:r w:rsidRPr="0092719C">
        <w:rPr>
          <w:sz w:val="24"/>
          <w:lang w:val="pl-PL"/>
        </w:rPr>
        <w:t xml:space="preserve">3-ylo)metylo]-1,3-tiazolidyn-2-ylideno}cyjanamid, </w:t>
      </w:r>
      <w:hyperlink r:id="rId3" w:history="1">
        <w:r w:rsidRPr="0092719C">
          <w:rPr>
            <w:rStyle w:val="Hyperlink"/>
            <w:sz w:val="24"/>
            <w:lang w:val="pl-PL"/>
          </w:rPr>
          <w:t>https://echa.europa.eu/registry-of-clh-intentions-until-outcome/-/dislist/details/0b0236e180638ff8</w:t>
        </w:r>
      </w:hyperlink>
      <w:r w:rsidRPr="0092719C">
        <w:rPr>
          <w:sz w:val="24"/>
          <w:lang w:val="pl-PL"/>
        </w:rPr>
        <w:t>.</w:t>
      </w:r>
    </w:p>
  </w:footnote>
  <w:footnote w:id="7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Dz.U. L 184 z 17.7.1999, </w:t>
      </w:r>
      <w:proofErr w:type="gramStart"/>
      <w:r w:rsidRPr="0092719C">
        <w:rPr>
          <w:sz w:val="24"/>
          <w:lang w:val="pl-PL"/>
        </w:rPr>
        <w:t>s</w:t>
      </w:r>
      <w:proofErr w:type="gramEnd"/>
      <w:r w:rsidRPr="0092719C">
        <w:rPr>
          <w:sz w:val="24"/>
          <w:lang w:val="pl-PL"/>
        </w:rPr>
        <w:t>. 23.</w:t>
      </w:r>
    </w:p>
  </w:footnote>
  <w:footnote w:id="8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Rozporządzenie wykonawcze Komisji (UE) 2020/23 z dnia 13 stycznia 2020 r. w sprawie nieodnowienia zatwierdzenia substancji czynnej </w:t>
      </w:r>
      <w:proofErr w:type="spellStart"/>
      <w:r w:rsidRPr="0092719C">
        <w:rPr>
          <w:sz w:val="24"/>
          <w:lang w:val="pl-PL"/>
        </w:rPr>
        <w:t>tiaklopryd</w:t>
      </w:r>
      <w:proofErr w:type="spellEnd"/>
      <w:r w:rsidRPr="0092719C">
        <w:rPr>
          <w:sz w:val="24"/>
          <w:lang w:val="pl-PL"/>
        </w:rPr>
        <w:t xml:space="preserve">, zgodnie z rozporządzeniem Parlamentu Europejskiego i Rady (WE) nr 1107/2009 dotyczącym wprowadzania do obrotu środków ochrony roślin, oraz w sprawie zmiany załącznika do rozporządzenia wykonawczego Komisji (UE) nr 540/2011 (Dz.U. L 8 z 14.1.2020, </w:t>
      </w:r>
      <w:proofErr w:type="gramStart"/>
      <w:r w:rsidRPr="0092719C">
        <w:rPr>
          <w:sz w:val="24"/>
          <w:lang w:val="pl-PL"/>
        </w:rPr>
        <w:t>s</w:t>
      </w:r>
      <w:proofErr w:type="gramEnd"/>
      <w:r w:rsidRPr="0092719C">
        <w:rPr>
          <w:sz w:val="24"/>
          <w:lang w:val="pl-PL"/>
        </w:rPr>
        <w:t>. 8).</w:t>
      </w:r>
    </w:p>
  </w:footnote>
  <w:footnote w:id="9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>Konkluzje EFSA z dnia 17 stycznia 2019 r.</w:t>
      </w:r>
    </w:p>
  </w:footnote>
  <w:footnote w:id="10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Rozporządzenie Parlamentu Europejskiego i Rady (WE) nr 1272/2008 z dnia 16 grudnia 2008 r. w sprawie klasyfikacji, oznakowania i pakowania substancji i mieszanin, zmieniające i uchylające dyrektywy 67/548/EWG i 1999/45/WE oraz zmieniające rozporządzenie (WE) nr 1907/2006 (Dz.U. L 353 z 31.12.2008, </w:t>
      </w:r>
      <w:proofErr w:type="gramStart"/>
      <w:r w:rsidRPr="0092719C">
        <w:rPr>
          <w:sz w:val="24"/>
          <w:lang w:val="pl-PL"/>
        </w:rPr>
        <w:t>s</w:t>
      </w:r>
      <w:proofErr w:type="gramEnd"/>
      <w:r w:rsidRPr="0092719C">
        <w:rPr>
          <w:sz w:val="24"/>
          <w:lang w:val="pl-PL"/>
        </w:rPr>
        <w:t>. 1).</w:t>
      </w:r>
    </w:p>
  </w:footnote>
  <w:footnote w:id="11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Sprawozdanie podsumowujące z posiedzenia Stałego Komitetu ds. Roślin, Zwierząt, Żywności i Pasz, które odbyło się w dniach 18–19 września 2023 r., </w:t>
      </w:r>
      <w:r w:rsidR="00861E03">
        <w:fldChar w:fldCharType="begin"/>
      </w:r>
      <w:r w:rsidR="00861E03" w:rsidRPr="00861E03">
        <w:rPr>
          <w:lang w:val="pl-PL"/>
        </w:rPr>
        <w:instrText xml:space="preserve"> HYPERLINK "https://ec.europa.eu/transparency/comitology-register/screen/documents/092486/1/consult?lang=pl" </w:instrText>
      </w:r>
      <w:r w:rsidR="00861E03">
        <w:fldChar w:fldCharType="separate"/>
      </w:r>
      <w:r w:rsidRPr="0092719C">
        <w:rPr>
          <w:rStyle w:val="Hyperlink"/>
          <w:sz w:val="24"/>
          <w:lang w:val="pl-PL"/>
        </w:rPr>
        <w:t>https://ec.europa.eu/transparency/comitology-register/screen/documents/092486/1/consult?lang=pl</w:t>
      </w:r>
      <w:r w:rsidR="00861E03">
        <w:rPr>
          <w:rStyle w:val="Hyperlink"/>
          <w:sz w:val="24"/>
          <w:lang w:val="pl-PL"/>
        </w:rPr>
        <w:fldChar w:fldCharType="end"/>
      </w:r>
    </w:p>
  </w:footnote>
  <w:footnote w:id="12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>Ibid.</w:t>
      </w:r>
    </w:p>
  </w:footnote>
  <w:footnote w:id="13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>Uzasadniona opinia EFSA z dnia 9 lutego 2023 r.</w:t>
      </w:r>
    </w:p>
  </w:footnote>
  <w:footnote w:id="14">
    <w:p w:rsidR="00EA7CD8" w:rsidRPr="00861E03" w:rsidRDefault="00EA7CD8" w:rsidP="0092719C">
      <w:pPr>
        <w:pStyle w:val="FootnoteText"/>
        <w:ind w:left="567" w:hanging="567"/>
        <w:rPr>
          <w:sz w:val="24"/>
          <w:szCs w:val="22"/>
          <w:lang w:val="en-GB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861E03">
        <w:rPr>
          <w:sz w:val="24"/>
          <w:lang w:val="en-GB"/>
        </w:rPr>
        <w:t xml:space="preserve"> </w:t>
      </w:r>
      <w:r w:rsidR="0092719C" w:rsidRPr="00861E03">
        <w:rPr>
          <w:sz w:val="24"/>
          <w:lang w:val="en-GB"/>
        </w:rPr>
        <w:tab/>
      </w:r>
      <w:r w:rsidRPr="00861E03">
        <w:rPr>
          <w:sz w:val="24"/>
          <w:lang w:val="en-GB"/>
        </w:rPr>
        <w:t xml:space="preserve">J.P. van der </w:t>
      </w:r>
      <w:proofErr w:type="spellStart"/>
      <w:r w:rsidRPr="00861E03">
        <w:rPr>
          <w:sz w:val="24"/>
          <w:lang w:val="en-GB"/>
        </w:rPr>
        <w:t>Sluijs</w:t>
      </w:r>
      <w:proofErr w:type="spellEnd"/>
      <w:r w:rsidRPr="00861E03">
        <w:rPr>
          <w:sz w:val="24"/>
          <w:lang w:val="en-GB"/>
        </w:rPr>
        <w:t xml:space="preserve">, N.S. </w:t>
      </w:r>
      <w:proofErr w:type="spellStart"/>
      <w:r w:rsidRPr="00861E03">
        <w:rPr>
          <w:sz w:val="24"/>
          <w:lang w:val="en-GB"/>
        </w:rPr>
        <w:t>Vaage</w:t>
      </w:r>
      <w:proofErr w:type="spellEnd"/>
      <w:r w:rsidRPr="00861E03">
        <w:rPr>
          <w:sz w:val="24"/>
          <w:lang w:val="en-GB"/>
        </w:rPr>
        <w:t xml:space="preserve">, </w:t>
      </w:r>
      <w:r w:rsidRPr="00861E03">
        <w:rPr>
          <w:i/>
          <w:sz w:val="24"/>
          <w:lang w:val="en-GB"/>
        </w:rPr>
        <w:t>Pollinators and Global Food Security:</w:t>
      </w:r>
      <w:r w:rsidRPr="00861E03">
        <w:rPr>
          <w:sz w:val="24"/>
          <w:lang w:val="en-GB"/>
        </w:rPr>
        <w:t xml:space="preserve"> </w:t>
      </w:r>
      <w:r w:rsidRPr="00861E03">
        <w:rPr>
          <w:i/>
          <w:sz w:val="24"/>
          <w:lang w:val="en-GB"/>
        </w:rPr>
        <w:t>the Need for Holistic Global Stewardship</w:t>
      </w:r>
      <w:r w:rsidRPr="00861E03">
        <w:rPr>
          <w:sz w:val="24"/>
          <w:lang w:val="en-GB"/>
        </w:rPr>
        <w:t xml:space="preserve">, „Food ethics” 2016, 1, s. 75–91, </w:t>
      </w:r>
      <w:r w:rsidR="00861E03">
        <w:fldChar w:fldCharType="begin"/>
      </w:r>
      <w:r w:rsidR="00861E03" w:rsidRPr="00861E03">
        <w:rPr>
          <w:lang w:val="en-GB"/>
        </w:rPr>
        <w:instrText xml:space="preserve"> HYPERLINK "https://doi.org/10.1007/s41055-016-0003-z" </w:instrText>
      </w:r>
      <w:r w:rsidR="00861E03">
        <w:fldChar w:fldCharType="separate"/>
      </w:r>
      <w:r w:rsidRPr="00861E03">
        <w:rPr>
          <w:rStyle w:val="Hyperlink"/>
          <w:sz w:val="24"/>
          <w:lang w:val="en-GB"/>
        </w:rPr>
        <w:t>https://doi.org/10.1007/s41055-016-0003-z</w:t>
      </w:r>
      <w:r w:rsidR="00861E03">
        <w:rPr>
          <w:rStyle w:val="Hyperlink"/>
          <w:sz w:val="24"/>
          <w:lang w:val="pl-PL"/>
        </w:rPr>
        <w:fldChar w:fldCharType="end"/>
      </w:r>
      <w:r w:rsidRPr="00861E03">
        <w:rPr>
          <w:sz w:val="24"/>
          <w:lang w:val="en-GB"/>
        </w:rPr>
        <w:t>.</w:t>
      </w:r>
    </w:p>
  </w:footnote>
  <w:footnote w:id="15">
    <w:p w:rsidR="00EA7CD8" w:rsidRPr="0092719C" w:rsidRDefault="00EA7CD8" w:rsidP="0092719C">
      <w:pPr>
        <w:pStyle w:val="FootnoteText"/>
        <w:ind w:left="567" w:hanging="567"/>
        <w:rPr>
          <w:iCs/>
          <w:sz w:val="24"/>
          <w:szCs w:val="22"/>
          <w:lang w:val="pl-PL"/>
        </w:rPr>
      </w:pPr>
      <w:r w:rsidRPr="0092719C">
        <w:rPr>
          <w:iCs/>
          <w:sz w:val="24"/>
          <w:szCs w:val="22"/>
          <w:vertAlign w:val="superscript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>COM(2020)0381.</w:t>
      </w:r>
    </w:p>
  </w:footnote>
  <w:footnote w:id="16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Rozporządzenie Komisji (UE) 2023/334 z dnia 2 lutego 2023 r. zmieniające załączniki II i V do rozporządzenia (WE) nr 396/2005 Parlamentu Europejskiego i Rady w odniesieniu do najwyższych dopuszczalnych poziomów pozostałości </w:t>
      </w:r>
      <w:proofErr w:type="spellStart"/>
      <w:r w:rsidRPr="0092719C">
        <w:rPr>
          <w:sz w:val="24"/>
          <w:lang w:val="pl-PL"/>
        </w:rPr>
        <w:t>chlotianidyny</w:t>
      </w:r>
      <w:proofErr w:type="spellEnd"/>
      <w:r w:rsidRPr="0092719C">
        <w:rPr>
          <w:sz w:val="24"/>
          <w:lang w:val="pl-PL"/>
        </w:rPr>
        <w:t xml:space="preserve"> i </w:t>
      </w:r>
      <w:proofErr w:type="spellStart"/>
      <w:r w:rsidRPr="0092719C">
        <w:rPr>
          <w:sz w:val="24"/>
          <w:lang w:val="pl-PL"/>
        </w:rPr>
        <w:t>tiametoksamu</w:t>
      </w:r>
      <w:proofErr w:type="spellEnd"/>
      <w:r w:rsidRPr="0092719C">
        <w:rPr>
          <w:sz w:val="24"/>
          <w:lang w:val="pl-PL"/>
        </w:rPr>
        <w:t xml:space="preserve"> w określonych produktach lub na ich powierzchni (Dz.U. L 47 z 15.2.2023, </w:t>
      </w:r>
      <w:proofErr w:type="gramStart"/>
      <w:r w:rsidRPr="0092719C">
        <w:rPr>
          <w:sz w:val="24"/>
          <w:lang w:val="pl-PL"/>
        </w:rPr>
        <w:t>s</w:t>
      </w:r>
      <w:proofErr w:type="gramEnd"/>
      <w:r w:rsidRPr="0092719C">
        <w:rPr>
          <w:sz w:val="24"/>
          <w:lang w:val="pl-PL"/>
        </w:rPr>
        <w:t>. 29).</w:t>
      </w:r>
    </w:p>
  </w:footnote>
  <w:footnote w:id="17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>Ibid.</w:t>
      </w:r>
    </w:p>
  </w:footnote>
  <w:footnote w:id="18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Sprawozdanie podsumowujące z posiedzenia Stałego Komitetu ds. Roślin, Zwierząt, Żywności i Pasz, które odbyło się w dniach 10–11 maja 2023 r., </w:t>
      </w:r>
      <w:r w:rsidR="00861E03">
        <w:fldChar w:fldCharType="begin"/>
      </w:r>
      <w:r w:rsidR="00861E03" w:rsidRPr="00861E03">
        <w:rPr>
          <w:lang w:val="pl-PL"/>
        </w:rPr>
        <w:instrText xml:space="preserve"> HYPERLINK "https://ec.europa.eu/transparency/comitology-register/screen/documents/090500/1/consult?lang=pl" </w:instrText>
      </w:r>
      <w:r w:rsidR="00861E03">
        <w:fldChar w:fldCharType="separate"/>
      </w:r>
      <w:r w:rsidRPr="0092719C">
        <w:rPr>
          <w:rStyle w:val="Hyperlink"/>
          <w:sz w:val="24"/>
          <w:lang w:val="pl-PL"/>
        </w:rPr>
        <w:t>https://ec.europa.eu/transparency/comitology-register/screen/documents/090500/1/consult?lang=pl</w:t>
      </w:r>
      <w:r w:rsidR="00861E03">
        <w:rPr>
          <w:rStyle w:val="Hyperlink"/>
          <w:sz w:val="24"/>
          <w:lang w:val="pl-PL"/>
        </w:rPr>
        <w:fldChar w:fldCharType="end"/>
      </w:r>
    </w:p>
  </w:footnote>
  <w:footnote w:id="19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C. </w:t>
      </w:r>
      <w:proofErr w:type="spellStart"/>
      <w:r w:rsidRPr="0092719C">
        <w:rPr>
          <w:sz w:val="24"/>
          <w:lang w:val="pl-PL"/>
        </w:rPr>
        <w:t>Ellis</w:t>
      </w:r>
      <w:proofErr w:type="spellEnd"/>
      <w:r w:rsidRPr="0092719C">
        <w:rPr>
          <w:sz w:val="24"/>
          <w:lang w:val="pl-PL"/>
        </w:rPr>
        <w:t xml:space="preserve">, K.J. Park, P. </w:t>
      </w:r>
      <w:proofErr w:type="spellStart"/>
      <w:r w:rsidRPr="0092719C">
        <w:rPr>
          <w:sz w:val="24"/>
          <w:lang w:val="pl-PL"/>
        </w:rPr>
        <w:t>Whitehorn</w:t>
      </w:r>
      <w:proofErr w:type="spellEnd"/>
      <w:r w:rsidRPr="0092719C">
        <w:rPr>
          <w:sz w:val="24"/>
          <w:lang w:val="pl-PL"/>
        </w:rPr>
        <w:t xml:space="preserve">, A. David, D. </w:t>
      </w:r>
      <w:proofErr w:type="spellStart"/>
      <w:r w:rsidRPr="0092719C">
        <w:rPr>
          <w:sz w:val="24"/>
          <w:lang w:val="pl-PL"/>
        </w:rPr>
        <w:t>Goulson</w:t>
      </w:r>
      <w:proofErr w:type="spellEnd"/>
      <w:r w:rsidRPr="0092719C">
        <w:rPr>
          <w:sz w:val="24"/>
          <w:lang w:val="pl-PL"/>
        </w:rPr>
        <w:t xml:space="preserve">, </w:t>
      </w:r>
      <w:r w:rsidRPr="0092719C">
        <w:rPr>
          <w:i/>
          <w:sz w:val="24"/>
          <w:lang w:val="pl-PL"/>
        </w:rPr>
        <w:t xml:space="preserve">The </w:t>
      </w:r>
      <w:proofErr w:type="spellStart"/>
      <w:r w:rsidRPr="0092719C">
        <w:rPr>
          <w:i/>
          <w:sz w:val="24"/>
          <w:lang w:val="pl-PL"/>
        </w:rPr>
        <w:t>Neonicotinoid</w:t>
      </w:r>
      <w:proofErr w:type="spellEnd"/>
      <w:r w:rsidRPr="0092719C">
        <w:rPr>
          <w:i/>
          <w:sz w:val="24"/>
          <w:lang w:val="pl-PL"/>
        </w:rPr>
        <w:t xml:space="preserve"> </w:t>
      </w:r>
      <w:proofErr w:type="spellStart"/>
      <w:r w:rsidRPr="0092719C">
        <w:rPr>
          <w:i/>
          <w:sz w:val="24"/>
          <w:lang w:val="pl-PL"/>
        </w:rPr>
        <w:t>Insecticide</w:t>
      </w:r>
      <w:proofErr w:type="spellEnd"/>
      <w:r w:rsidRPr="0092719C">
        <w:rPr>
          <w:i/>
          <w:sz w:val="24"/>
          <w:lang w:val="pl-PL"/>
        </w:rPr>
        <w:t xml:space="preserve"> </w:t>
      </w:r>
      <w:proofErr w:type="spellStart"/>
      <w:r w:rsidRPr="0092719C">
        <w:rPr>
          <w:i/>
          <w:sz w:val="24"/>
          <w:lang w:val="pl-PL"/>
        </w:rPr>
        <w:t>Thiacloprid</w:t>
      </w:r>
      <w:proofErr w:type="spellEnd"/>
      <w:r w:rsidRPr="0092719C">
        <w:rPr>
          <w:i/>
          <w:sz w:val="24"/>
          <w:lang w:val="pl-PL"/>
        </w:rPr>
        <w:t xml:space="preserve"> </w:t>
      </w:r>
      <w:proofErr w:type="spellStart"/>
      <w:r w:rsidRPr="0092719C">
        <w:rPr>
          <w:i/>
          <w:sz w:val="24"/>
          <w:lang w:val="pl-PL"/>
        </w:rPr>
        <w:t>Impacts</w:t>
      </w:r>
      <w:proofErr w:type="spellEnd"/>
      <w:r w:rsidRPr="0092719C">
        <w:rPr>
          <w:i/>
          <w:sz w:val="24"/>
          <w:lang w:val="pl-PL"/>
        </w:rPr>
        <w:t xml:space="preserve"> upon </w:t>
      </w:r>
      <w:proofErr w:type="spellStart"/>
      <w:r w:rsidRPr="0092719C">
        <w:rPr>
          <w:i/>
          <w:sz w:val="24"/>
          <w:lang w:val="pl-PL"/>
        </w:rPr>
        <w:t>Bumblebee</w:t>
      </w:r>
      <w:proofErr w:type="spellEnd"/>
      <w:r w:rsidRPr="0092719C">
        <w:rPr>
          <w:i/>
          <w:sz w:val="24"/>
          <w:lang w:val="pl-PL"/>
        </w:rPr>
        <w:t xml:space="preserve"> Colony Development </w:t>
      </w:r>
      <w:proofErr w:type="spellStart"/>
      <w:r w:rsidRPr="0092719C">
        <w:rPr>
          <w:i/>
          <w:sz w:val="24"/>
          <w:lang w:val="pl-PL"/>
        </w:rPr>
        <w:t>under</w:t>
      </w:r>
      <w:proofErr w:type="spellEnd"/>
      <w:r w:rsidRPr="0092719C">
        <w:rPr>
          <w:i/>
          <w:sz w:val="24"/>
          <w:lang w:val="pl-PL"/>
        </w:rPr>
        <w:t xml:space="preserve"> Field </w:t>
      </w:r>
      <w:proofErr w:type="spellStart"/>
      <w:r w:rsidRPr="0092719C">
        <w:rPr>
          <w:i/>
          <w:sz w:val="24"/>
          <w:lang w:val="pl-PL"/>
        </w:rPr>
        <w:t>Conditions</w:t>
      </w:r>
      <w:proofErr w:type="spellEnd"/>
      <w:r w:rsidRPr="0092719C">
        <w:rPr>
          <w:sz w:val="24"/>
          <w:lang w:val="pl-PL"/>
        </w:rPr>
        <w:t>, „</w:t>
      </w:r>
      <w:proofErr w:type="spellStart"/>
      <w:r w:rsidRPr="0092719C">
        <w:rPr>
          <w:sz w:val="24"/>
          <w:lang w:val="pl-PL"/>
        </w:rPr>
        <w:t>Environmental</w:t>
      </w:r>
      <w:proofErr w:type="spellEnd"/>
      <w:r w:rsidRPr="0092719C">
        <w:rPr>
          <w:sz w:val="24"/>
          <w:lang w:val="pl-PL"/>
        </w:rPr>
        <w:t xml:space="preserve"> Science &amp; Technology” 2017, 51, 3, s. 1727–1732, </w:t>
      </w:r>
      <w:r w:rsidR="00861E03">
        <w:fldChar w:fldCharType="begin"/>
      </w:r>
      <w:r w:rsidR="00861E03" w:rsidRPr="00861E03">
        <w:rPr>
          <w:lang w:val="pl-PL"/>
        </w:rPr>
        <w:instrText xml:space="preserve"> HYPERLINK "https://pubs.acs.org/doi/10.1021/acs.est.6b04791" </w:instrText>
      </w:r>
      <w:r w:rsidR="00861E03">
        <w:fldChar w:fldCharType="separate"/>
      </w:r>
      <w:r w:rsidRPr="0092719C">
        <w:rPr>
          <w:rStyle w:val="Hyperlink"/>
          <w:sz w:val="24"/>
          <w:lang w:val="pl-PL"/>
        </w:rPr>
        <w:t>https://pubs.acs.org/doi/10.1021/acs.est.6b04791</w:t>
      </w:r>
      <w:r w:rsidR="00861E03">
        <w:rPr>
          <w:rStyle w:val="Hyperlink"/>
          <w:sz w:val="24"/>
          <w:lang w:val="pl-PL"/>
        </w:rPr>
        <w:fldChar w:fldCharType="end"/>
      </w:r>
      <w:r w:rsidRPr="0092719C">
        <w:rPr>
          <w:sz w:val="24"/>
          <w:lang w:val="pl-PL"/>
        </w:rPr>
        <w:t>.</w:t>
      </w:r>
    </w:p>
  </w:footnote>
  <w:footnote w:id="20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>Ibid.</w:t>
      </w:r>
    </w:p>
  </w:footnote>
  <w:footnote w:id="21">
    <w:p w:rsidR="00EA7CD8" w:rsidRPr="0092719C" w:rsidRDefault="00EA7CD8" w:rsidP="0092719C">
      <w:pPr>
        <w:pStyle w:val="FootnoteText"/>
        <w:ind w:left="567" w:hanging="567"/>
        <w:rPr>
          <w:sz w:val="24"/>
          <w:szCs w:val="22"/>
          <w:lang w:val="pl-PL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92719C">
        <w:rPr>
          <w:sz w:val="24"/>
          <w:lang w:val="pl-PL"/>
        </w:rPr>
        <w:t xml:space="preserve"> </w:t>
      </w:r>
      <w:r w:rsidR="0092719C" w:rsidRPr="0092719C">
        <w:rPr>
          <w:sz w:val="24"/>
          <w:lang w:val="pl-PL"/>
        </w:rPr>
        <w:tab/>
      </w:r>
      <w:r w:rsidRPr="0092719C">
        <w:rPr>
          <w:sz w:val="24"/>
          <w:lang w:val="pl-PL"/>
        </w:rPr>
        <w:t xml:space="preserve">A. Brandt, A. </w:t>
      </w:r>
      <w:proofErr w:type="spellStart"/>
      <w:r w:rsidRPr="0092719C">
        <w:rPr>
          <w:sz w:val="24"/>
          <w:lang w:val="pl-PL"/>
        </w:rPr>
        <w:t>Gorenflo</w:t>
      </w:r>
      <w:proofErr w:type="spellEnd"/>
      <w:r w:rsidRPr="0092719C">
        <w:rPr>
          <w:sz w:val="24"/>
          <w:lang w:val="pl-PL"/>
        </w:rPr>
        <w:t xml:space="preserve">, R. </w:t>
      </w:r>
      <w:proofErr w:type="spellStart"/>
      <w:r w:rsidRPr="0092719C">
        <w:rPr>
          <w:sz w:val="24"/>
          <w:lang w:val="pl-PL"/>
        </w:rPr>
        <w:t>Siede</w:t>
      </w:r>
      <w:proofErr w:type="spellEnd"/>
      <w:r w:rsidRPr="0092719C">
        <w:rPr>
          <w:sz w:val="24"/>
          <w:lang w:val="pl-PL"/>
        </w:rPr>
        <w:t xml:space="preserve">, M. </w:t>
      </w:r>
      <w:proofErr w:type="spellStart"/>
      <w:r w:rsidRPr="0092719C">
        <w:rPr>
          <w:sz w:val="24"/>
          <w:lang w:val="pl-PL"/>
        </w:rPr>
        <w:t>Meixner</w:t>
      </w:r>
      <w:proofErr w:type="spellEnd"/>
      <w:r w:rsidRPr="0092719C">
        <w:rPr>
          <w:sz w:val="24"/>
          <w:lang w:val="pl-PL"/>
        </w:rPr>
        <w:t xml:space="preserve">, R. </w:t>
      </w:r>
      <w:proofErr w:type="spellStart"/>
      <w:r w:rsidRPr="0092719C">
        <w:rPr>
          <w:sz w:val="24"/>
          <w:lang w:val="pl-PL"/>
        </w:rPr>
        <w:t>Büchler</w:t>
      </w:r>
      <w:proofErr w:type="spellEnd"/>
      <w:r w:rsidRPr="0092719C">
        <w:rPr>
          <w:sz w:val="24"/>
          <w:lang w:val="pl-PL"/>
        </w:rPr>
        <w:t xml:space="preserve">, </w:t>
      </w:r>
      <w:r w:rsidRPr="0092719C">
        <w:rPr>
          <w:i/>
          <w:sz w:val="24"/>
          <w:lang w:val="pl-PL"/>
        </w:rPr>
        <w:t xml:space="preserve">The </w:t>
      </w:r>
      <w:proofErr w:type="spellStart"/>
      <w:r w:rsidRPr="0092719C">
        <w:rPr>
          <w:i/>
          <w:sz w:val="24"/>
          <w:lang w:val="pl-PL"/>
        </w:rPr>
        <w:t>neonicotinoids</w:t>
      </w:r>
      <w:proofErr w:type="spellEnd"/>
      <w:r w:rsidRPr="0092719C">
        <w:rPr>
          <w:i/>
          <w:sz w:val="24"/>
          <w:lang w:val="pl-PL"/>
        </w:rPr>
        <w:t xml:space="preserve"> </w:t>
      </w:r>
      <w:proofErr w:type="spellStart"/>
      <w:r w:rsidRPr="0092719C">
        <w:rPr>
          <w:i/>
          <w:sz w:val="24"/>
          <w:lang w:val="pl-PL"/>
        </w:rPr>
        <w:t>thiacloprid</w:t>
      </w:r>
      <w:proofErr w:type="spellEnd"/>
      <w:r w:rsidRPr="0092719C">
        <w:rPr>
          <w:i/>
          <w:sz w:val="24"/>
          <w:lang w:val="pl-PL"/>
        </w:rPr>
        <w:t xml:space="preserve">, </w:t>
      </w:r>
      <w:proofErr w:type="spellStart"/>
      <w:r w:rsidRPr="0092719C">
        <w:rPr>
          <w:i/>
          <w:sz w:val="24"/>
          <w:lang w:val="pl-PL"/>
        </w:rPr>
        <w:t>imidacloprid</w:t>
      </w:r>
      <w:proofErr w:type="spellEnd"/>
      <w:r w:rsidRPr="0092719C">
        <w:rPr>
          <w:i/>
          <w:sz w:val="24"/>
          <w:lang w:val="pl-PL"/>
        </w:rPr>
        <w:t xml:space="preserve">, and </w:t>
      </w:r>
      <w:proofErr w:type="spellStart"/>
      <w:r w:rsidRPr="0092719C">
        <w:rPr>
          <w:i/>
          <w:sz w:val="24"/>
          <w:lang w:val="pl-PL"/>
        </w:rPr>
        <w:t>clothianidin</w:t>
      </w:r>
      <w:proofErr w:type="spellEnd"/>
      <w:r w:rsidRPr="0092719C">
        <w:rPr>
          <w:i/>
          <w:sz w:val="24"/>
          <w:lang w:val="pl-PL"/>
        </w:rPr>
        <w:t xml:space="preserve"> </w:t>
      </w:r>
      <w:proofErr w:type="spellStart"/>
      <w:r w:rsidRPr="0092719C">
        <w:rPr>
          <w:i/>
          <w:sz w:val="24"/>
          <w:lang w:val="pl-PL"/>
        </w:rPr>
        <w:t>affect</w:t>
      </w:r>
      <w:proofErr w:type="spellEnd"/>
      <w:r w:rsidRPr="0092719C">
        <w:rPr>
          <w:i/>
          <w:sz w:val="24"/>
          <w:lang w:val="pl-PL"/>
        </w:rPr>
        <w:t xml:space="preserve"> the </w:t>
      </w:r>
      <w:proofErr w:type="spellStart"/>
      <w:r w:rsidRPr="0092719C">
        <w:rPr>
          <w:i/>
          <w:sz w:val="24"/>
          <w:lang w:val="pl-PL"/>
        </w:rPr>
        <w:t>immunocompetence</w:t>
      </w:r>
      <w:proofErr w:type="spellEnd"/>
      <w:r w:rsidRPr="0092719C">
        <w:rPr>
          <w:i/>
          <w:sz w:val="24"/>
          <w:lang w:val="pl-PL"/>
        </w:rPr>
        <w:t xml:space="preserve"> of </w:t>
      </w:r>
      <w:proofErr w:type="spellStart"/>
      <w:r w:rsidRPr="0092719C">
        <w:rPr>
          <w:i/>
          <w:sz w:val="24"/>
          <w:lang w:val="pl-PL"/>
        </w:rPr>
        <w:t>honey</w:t>
      </w:r>
      <w:proofErr w:type="spellEnd"/>
      <w:r w:rsidRPr="0092719C">
        <w:rPr>
          <w:i/>
          <w:sz w:val="24"/>
          <w:lang w:val="pl-PL"/>
        </w:rPr>
        <w:t xml:space="preserve"> </w:t>
      </w:r>
      <w:proofErr w:type="spellStart"/>
      <w:r w:rsidRPr="0092719C">
        <w:rPr>
          <w:i/>
          <w:sz w:val="24"/>
          <w:lang w:val="pl-PL"/>
        </w:rPr>
        <w:t>bees</w:t>
      </w:r>
      <w:proofErr w:type="spellEnd"/>
      <w:r w:rsidRPr="0092719C">
        <w:rPr>
          <w:i/>
          <w:sz w:val="24"/>
          <w:lang w:val="pl-PL"/>
        </w:rPr>
        <w:t xml:space="preserve"> (Apis </w:t>
      </w:r>
      <w:proofErr w:type="spellStart"/>
      <w:r w:rsidRPr="0092719C">
        <w:rPr>
          <w:i/>
          <w:sz w:val="24"/>
          <w:lang w:val="pl-PL"/>
        </w:rPr>
        <w:t>mellifera</w:t>
      </w:r>
      <w:proofErr w:type="spellEnd"/>
      <w:r w:rsidRPr="0092719C">
        <w:rPr>
          <w:i/>
          <w:sz w:val="24"/>
          <w:lang w:val="pl-PL"/>
        </w:rPr>
        <w:t xml:space="preserve"> L.)</w:t>
      </w:r>
      <w:r w:rsidRPr="0092719C">
        <w:rPr>
          <w:sz w:val="24"/>
          <w:lang w:val="pl-PL"/>
        </w:rPr>
        <w:t>, „</w:t>
      </w:r>
      <w:proofErr w:type="spellStart"/>
      <w:r w:rsidRPr="0092719C">
        <w:rPr>
          <w:sz w:val="24"/>
          <w:lang w:val="pl-PL"/>
        </w:rPr>
        <w:t>Journal</w:t>
      </w:r>
      <w:proofErr w:type="spellEnd"/>
      <w:r w:rsidRPr="0092719C">
        <w:rPr>
          <w:sz w:val="24"/>
          <w:lang w:val="pl-PL"/>
        </w:rPr>
        <w:t xml:space="preserve"> of </w:t>
      </w:r>
      <w:proofErr w:type="spellStart"/>
      <w:r w:rsidRPr="0092719C">
        <w:rPr>
          <w:sz w:val="24"/>
          <w:lang w:val="pl-PL"/>
        </w:rPr>
        <w:t>Insect</w:t>
      </w:r>
      <w:proofErr w:type="spellEnd"/>
      <w:r w:rsidRPr="0092719C">
        <w:rPr>
          <w:sz w:val="24"/>
          <w:lang w:val="pl-PL"/>
        </w:rPr>
        <w:t xml:space="preserve"> </w:t>
      </w:r>
      <w:proofErr w:type="spellStart"/>
      <w:r w:rsidRPr="0092719C">
        <w:rPr>
          <w:sz w:val="24"/>
          <w:lang w:val="pl-PL"/>
        </w:rPr>
        <w:t>Physiology</w:t>
      </w:r>
      <w:proofErr w:type="spellEnd"/>
      <w:r w:rsidRPr="0092719C">
        <w:rPr>
          <w:sz w:val="24"/>
          <w:lang w:val="pl-PL"/>
        </w:rPr>
        <w:t xml:space="preserve">”, marzec 2016, t. 86, s. 40–47, </w:t>
      </w:r>
      <w:r w:rsidR="00861E03">
        <w:fldChar w:fldCharType="begin"/>
      </w:r>
      <w:r w:rsidR="00861E03" w:rsidRPr="00861E03">
        <w:rPr>
          <w:lang w:val="pl-PL"/>
        </w:rPr>
        <w:instrText xml:space="preserve"> HYPERLINK "https://www.sciencedirect.com/science/article/pii/S002219101630</w:instrText>
      </w:r>
      <w:r w:rsidR="00861E03" w:rsidRPr="00861E03">
        <w:rPr>
          <w:lang w:val="pl-PL"/>
        </w:rPr>
        <w:instrText xml:space="preserve">0014" </w:instrText>
      </w:r>
      <w:r w:rsidR="00861E03">
        <w:fldChar w:fldCharType="separate"/>
      </w:r>
      <w:r w:rsidRPr="0092719C">
        <w:rPr>
          <w:rStyle w:val="Hyperlink"/>
          <w:sz w:val="24"/>
          <w:lang w:val="pl-PL"/>
        </w:rPr>
        <w:t>https://www.sciencedirect.com/science/article/pii/S0022191016300014</w:t>
      </w:r>
      <w:r w:rsidR="00861E03">
        <w:rPr>
          <w:rStyle w:val="Hyperlink"/>
          <w:sz w:val="24"/>
          <w:lang w:val="pl-PL"/>
        </w:rPr>
        <w:fldChar w:fldCharType="end"/>
      </w:r>
      <w:r w:rsidRPr="0092719C">
        <w:rPr>
          <w:sz w:val="24"/>
          <w:lang w:val="pl-PL"/>
        </w:rPr>
        <w:t>.</w:t>
      </w:r>
    </w:p>
  </w:footnote>
  <w:footnote w:id="22">
    <w:p w:rsidR="00EA7CD8" w:rsidRPr="00861E03" w:rsidRDefault="00EA7CD8" w:rsidP="0092719C">
      <w:pPr>
        <w:pStyle w:val="FootnoteText"/>
        <w:keepNext/>
        <w:ind w:left="567" w:hanging="567"/>
        <w:rPr>
          <w:sz w:val="24"/>
          <w:szCs w:val="22"/>
          <w:lang w:val="en-GB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861E03">
        <w:rPr>
          <w:sz w:val="24"/>
          <w:lang w:val="en-GB"/>
        </w:rPr>
        <w:t xml:space="preserve"> </w:t>
      </w:r>
      <w:r w:rsidR="0092719C" w:rsidRPr="00861E03">
        <w:rPr>
          <w:sz w:val="24"/>
          <w:lang w:val="en-GB"/>
        </w:rPr>
        <w:tab/>
      </w:r>
      <w:r w:rsidRPr="00861E03">
        <w:rPr>
          <w:sz w:val="24"/>
          <w:lang w:val="en-GB"/>
        </w:rPr>
        <w:t xml:space="preserve">L. </w:t>
      </w:r>
      <w:proofErr w:type="spellStart"/>
      <w:r w:rsidRPr="00861E03">
        <w:rPr>
          <w:sz w:val="24"/>
          <w:lang w:val="en-GB"/>
        </w:rPr>
        <w:t>Tison</w:t>
      </w:r>
      <w:proofErr w:type="spellEnd"/>
      <w:r w:rsidRPr="00861E03">
        <w:rPr>
          <w:sz w:val="24"/>
          <w:lang w:val="en-GB"/>
        </w:rPr>
        <w:t xml:space="preserve">, M.-L. Hahn, S. Holtz, A. </w:t>
      </w:r>
      <w:proofErr w:type="spellStart"/>
      <w:r w:rsidRPr="00861E03">
        <w:rPr>
          <w:sz w:val="24"/>
          <w:lang w:val="en-GB"/>
        </w:rPr>
        <w:t>Rößner</w:t>
      </w:r>
      <w:proofErr w:type="spellEnd"/>
      <w:r w:rsidRPr="00861E03">
        <w:rPr>
          <w:sz w:val="24"/>
          <w:lang w:val="en-GB"/>
        </w:rPr>
        <w:t xml:space="preserve">, U. </w:t>
      </w:r>
      <w:proofErr w:type="spellStart"/>
      <w:r w:rsidRPr="00861E03">
        <w:rPr>
          <w:sz w:val="24"/>
          <w:lang w:val="en-GB"/>
        </w:rPr>
        <w:t>Greggers</w:t>
      </w:r>
      <w:proofErr w:type="spellEnd"/>
      <w:r w:rsidRPr="00861E03">
        <w:rPr>
          <w:sz w:val="24"/>
          <w:lang w:val="en-GB"/>
        </w:rPr>
        <w:t xml:space="preserve">, G. Bischoff, R. </w:t>
      </w:r>
      <w:proofErr w:type="spellStart"/>
      <w:r w:rsidRPr="00861E03">
        <w:rPr>
          <w:sz w:val="24"/>
          <w:lang w:val="en-GB"/>
        </w:rPr>
        <w:t>Menzel</w:t>
      </w:r>
      <w:proofErr w:type="spellEnd"/>
      <w:r w:rsidRPr="00861E03">
        <w:rPr>
          <w:sz w:val="24"/>
          <w:lang w:val="en-GB"/>
        </w:rPr>
        <w:t xml:space="preserve">, </w:t>
      </w:r>
      <w:r w:rsidRPr="00861E03">
        <w:rPr>
          <w:i/>
          <w:sz w:val="24"/>
          <w:lang w:val="en-GB"/>
        </w:rPr>
        <w:t xml:space="preserve">Honey Bees’ </w:t>
      </w:r>
      <w:proofErr w:type="spellStart"/>
      <w:r w:rsidRPr="00861E03">
        <w:rPr>
          <w:i/>
          <w:sz w:val="24"/>
          <w:lang w:val="en-GB"/>
        </w:rPr>
        <w:t>Behavior</w:t>
      </w:r>
      <w:proofErr w:type="spellEnd"/>
      <w:r w:rsidRPr="00861E03">
        <w:rPr>
          <w:i/>
          <w:sz w:val="24"/>
          <w:lang w:val="en-GB"/>
        </w:rPr>
        <w:t xml:space="preserve"> Is Impaired by Chronic Exposure to the Neonicotinoid </w:t>
      </w:r>
      <w:proofErr w:type="spellStart"/>
      <w:r w:rsidRPr="00861E03">
        <w:rPr>
          <w:i/>
          <w:sz w:val="24"/>
          <w:lang w:val="en-GB"/>
        </w:rPr>
        <w:t>Thiacloprid</w:t>
      </w:r>
      <w:proofErr w:type="spellEnd"/>
      <w:r w:rsidRPr="00861E03">
        <w:rPr>
          <w:i/>
          <w:sz w:val="24"/>
          <w:lang w:val="en-GB"/>
        </w:rPr>
        <w:t xml:space="preserve"> in the Field</w:t>
      </w:r>
      <w:r w:rsidRPr="00861E03">
        <w:rPr>
          <w:sz w:val="24"/>
          <w:lang w:val="en-GB"/>
        </w:rPr>
        <w:t xml:space="preserve">, „Environmental Science &amp; Technology” 2016, 50, 13, s. 7218–7227, </w:t>
      </w:r>
      <w:hyperlink r:id="rId4" w:history="1">
        <w:r w:rsidRPr="00861E03">
          <w:rPr>
            <w:rStyle w:val="Hyperlink"/>
            <w:sz w:val="24"/>
            <w:lang w:val="en-GB"/>
          </w:rPr>
          <w:t>https://pubs.acs.org/doi/full/10.1021/acs.est.6b02658</w:t>
        </w:r>
      </w:hyperlink>
      <w:r w:rsidRPr="00861E03">
        <w:rPr>
          <w:sz w:val="24"/>
          <w:lang w:val="en-GB"/>
        </w:rPr>
        <w:t xml:space="preserve">. </w:t>
      </w:r>
    </w:p>
  </w:footnote>
  <w:footnote w:id="23">
    <w:p w:rsidR="00EA7CD8" w:rsidRPr="00861E03" w:rsidRDefault="00EA7CD8" w:rsidP="0092719C">
      <w:pPr>
        <w:pStyle w:val="FootnoteText"/>
        <w:ind w:left="567" w:hanging="567"/>
        <w:rPr>
          <w:iCs/>
          <w:sz w:val="24"/>
          <w:szCs w:val="22"/>
          <w:lang w:val="en-GB"/>
        </w:rPr>
      </w:pPr>
      <w:r w:rsidRPr="0092719C">
        <w:rPr>
          <w:iCs/>
          <w:sz w:val="24"/>
          <w:szCs w:val="22"/>
          <w:vertAlign w:val="superscript"/>
          <w:lang w:val="pl-PL"/>
        </w:rPr>
        <w:footnoteRef/>
      </w:r>
      <w:r w:rsidR="0092719C" w:rsidRPr="00861E03">
        <w:rPr>
          <w:sz w:val="24"/>
          <w:lang w:val="en-GB"/>
        </w:rPr>
        <w:t xml:space="preserve"> </w:t>
      </w:r>
      <w:r w:rsidR="0092719C" w:rsidRPr="00861E03">
        <w:rPr>
          <w:sz w:val="24"/>
          <w:lang w:val="en-GB"/>
        </w:rPr>
        <w:tab/>
      </w:r>
      <w:r w:rsidRPr="00861E03">
        <w:rPr>
          <w:sz w:val="24"/>
          <w:lang w:val="en-GB"/>
        </w:rPr>
        <w:t xml:space="preserve">L. Pisa, D. </w:t>
      </w:r>
      <w:proofErr w:type="spellStart"/>
      <w:r w:rsidRPr="00861E03">
        <w:rPr>
          <w:sz w:val="24"/>
          <w:lang w:val="en-GB"/>
        </w:rPr>
        <w:t>Goulson</w:t>
      </w:r>
      <w:proofErr w:type="spellEnd"/>
      <w:r w:rsidRPr="00861E03">
        <w:rPr>
          <w:sz w:val="24"/>
          <w:lang w:val="en-GB"/>
        </w:rPr>
        <w:t>, E.C. Yang </w:t>
      </w:r>
      <w:proofErr w:type="spellStart"/>
      <w:r w:rsidRPr="00861E03">
        <w:rPr>
          <w:sz w:val="24"/>
          <w:lang w:val="en-GB"/>
        </w:rPr>
        <w:t>i</w:t>
      </w:r>
      <w:proofErr w:type="spellEnd"/>
      <w:r w:rsidRPr="00861E03">
        <w:rPr>
          <w:sz w:val="24"/>
          <w:lang w:val="en-GB"/>
        </w:rPr>
        <w:t xml:space="preserve"> in., </w:t>
      </w:r>
      <w:r w:rsidRPr="00861E03">
        <w:rPr>
          <w:i/>
          <w:sz w:val="24"/>
          <w:lang w:val="en-GB"/>
        </w:rPr>
        <w:t>An update of the Worldwide Integrated Assessment (WIA) on systemic insecticides.</w:t>
      </w:r>
      <w:r w:rsidRPr="00861E03">
        <w:rPr>
          <w:sz w:val="24"/>
          <w:lang w:val="en-GB"/>
        </w:rPr>
        <w:t xml:space="preserve"> </w:t>
      </w:r>
      <w:r w:rsidRPr="00861E03">
        <w:rPr>
          <w:i/>
          <w:sz w:val="24"/>
          <w:lang w:val="en-GB"/>
        </w:rPr>
        <w:t>Part 2:</w:t>
      </w:r>
      <w:r w:rsidRPr="00861E03">
        <w:rPr>
          <w:sz w:val="24"/>
          <w:lang w:val="en-GB"/>
        </w:rPr>
        <w:t xml:space="preserve"> </w:t>
      </w:r>
      <w:r w:rsidRPr="00861E03">
        <w:rPr>
          <w:i/>
          <w:sz w:val="24"/>
          <w:lang w:val="en-GB"/>
        </w:rPr>
        <w:t>impacts on organisms and ecosystems</w:t>
      </w:r>
      <w:r w:rsidRPr="00861E03">
        <w:rPr>
          <w:sz w:val="24"/>
          <w:lang w:val="en-GB"/>
        </w:rPr>
        <w:t xml:space="preserve">, „Environmental Science and Pollution Research” 2021, 28, s. 11749–11797, </w:t>
      </w:r>
      <w:hyperlink r:id="rId5" w:history="1">
        <w:r w:rsidRPr="00861E03">
          <w:rPr>
            <w:rStyle w:val="Hyperlink"/>
            <w:sz w:val="24"/>
            <w:lang w:val="en-GB"/>
          </w:rPr>
          <w:t>https://doi.org/10.1007/s11356-017-0341-3</w:t>
        </w:r>
      </w:hyperlink>
      <w:r w:rsidRPr="00861E03">
        <w:rPr>
          <w:sz w:val="24"/>
          <w:lang w:val="en-GB"/>
        </w:rPr>
        <w:t>.</w:t>
      </w:r>
    </w:p>
  </w:footnote>
  <w:footnote w:id="24">
    <w:p w:rsidR="00EA7CD8" w:rsidRPr="00861E03" w:rsidRDefault="00EA7CD8" w:rsidP="0092719C">
      <w:pPr>
        <w:pStyle w:val="FootnoteText"/>
        <w:ind w:left="567" w:hanging="567"/>
        <w:rPr>
          <w:sz w:val="24"/>
          <w:szCs w:val="22"/>
          <w:lang w:val="en-GB"/>
        </w:rPr>
      </w:pPr>
      <w:r w:rsidRPr="0092719C">
        <w:rPr>
          <w:rStyle w:val="FootnoteReference"/>
          <w:sz w:val="24"/>
          <w:szCs w:val="22"/>
          <w:lang w:val="pl-PL"/>
        </w:rPr>
        <w:footnoteRef/>
      </w:r>
      <w:r w:rsidR="0092719C" w:rsidRPr="00861E03">
        <w:rPr>
          <w:sz w:val="24"/>
          <w:lang w:val="en-GB"/>
        </w:rPr>
        <w:t xml:space="preserve"> </w:t>
      </w:r>
      <w:r w:rsidR="0092719C" w:rsidRPr="00861E03">
        <w:rPr>
          <w:sz w:val="24"/>
          <w:lang w:val="en-GB"/>
        </w:rPr>
        <w:tab/>
      </w:r>
      <w:hyperlink r:id="rId6" w:history="1">
        <w:r w:rsidRPr="00861E03">
          <w:rPr>
            <w:rStyle w:val="Hyperlink"/>
            <w:sz w:val="24"/>
            <w:lang w:val="en-GB"/>
          </w:rPr>
          <w:t>https://ec.europa.eu/food/plant/pesticides/eu-pesticides-database/start/screen/active-substances/details/841</w:t>
        </w:r>
      </w:hyperlink>
      <w:r w:rsidRPr="00861E03">
        <w:rPr>
          <w:sz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1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1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1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7/2024"/>
    <w:docVar w:name="dvlangue" w:val="PL"/>
    <w:docVar w:name="dvnumam" w:val="0"/>
    <w:docVar w:name="dvpe" w:val="757.277"/>
    <w:docVar w:name="dvtitre" w:val="Rezolucja Parlamentu Europejskiego z dnia  2024 r. w sprawie wniosku dotyczącego rozporządzenia Rady zmieniającego załącznik II do rozporządzenia (WE) nr 396/2005 Parlamentu Europejskiego i Rady w odniesieniu do najwyższych dopuszczalnych poziomów pozostałości tiakloprydu w określonych produktach lub na ich powierzchni(COM(2023)0739 – 2023/3005(RPS))"/>
  </w:docVars>
  <w:rsids>
    <w:rsidRoot w:val="0085423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3F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238"/>
    <w:rsid w:val="00861E03"/>
    <w:rsid w:val="00865F67"/>
    <w:rsid w:val="00881A7B"/>
    <w:rsid w:val="008840E5"/>
    <w:rsid w:val="00887B3E"/>
    <w:rsid w:val="008C2AC6"/>
    <w:rsid w:val="0092719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CD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256B8"/>
  <w15:chartTrackingRefBased/>
  <w15:docId w15:val="{9940BCEE-B5F1-416B-A209-94D706DF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A7CD8"/>
    <w:pPr>
      <w:spacing w:before="480" w:after="240"/>
    </w:pPr>
  </w:style>
  <w:style w:type="paragraph" w:customStyle="1" w:styleId="NormalHanging12a">
    <w:name w:val="NormalHanging12a"/>
    <w:basedOn w:val="Normal"/>
    <w:rsid w:val="00EA7CD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EA7C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ha.europa.eu/registry-of-clh-intentions-until-outcome/-/dislist/details/0b0236e180638ff8" TargetMode="External"/><Relationship Id="rId2" Type="http://schemas.openxmlformats.org/officeDocument/2006/relationships/hyperlink" Target="https://doi.org/10.2903/j.efsa.2019.5595" TargetMode="External"/><Relationship Id="rId1" Type="http://schemas.openxmlformats.org/officeDocument/2006/relationships/hyperlink" Target="https://doi.org/10.2903/j.efsa.2023.7888" TargetMode="External"/><Relationship Id="rId6" Type="http://schemas.openxmlformats.org/officeDocument/2006/relationships/hyperlink" Target="https://ec.europa.eu/food/plant/pesticides/eu-pesticides-database/start/screen/active-substances/details/841" TargetMode="External"/><Relationship Id="rId5" Type="http://schemas.openxmlformats.org/officeDocument/2006/relationships/hyperlink" Target="https://doi.org/10.1007/s11356-017-0341-3" TargetMode="External"/><Relationship Id="rId4" Type="http://schemas.openxmlformats.org/officeDocument/2006/relationships/hyperlink" Target="https://pubs.acs.org/doi/full/10.1021/acs.est.6b026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74B8A-6D76-47D9-A57F-23FA5CC5A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2327</Words>
  <Characters>14684</Characters>
  <Application>Microsoft Office Word</Application>
  <DocSecurity>0</DocSecurity>
  <Lines>122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2024-01-17T14:01:00Z</dcterms:created>
  <dcterms:modified xsi:type="dcterms:W3CDTF">2024-01-17T14:01:00Z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B9-0057/2024</vt:lpwstr>
  </property>
  <property fmtid="{D5CDD505-2E9C-101B-9397-08002B2CF9AE}" pid="4" name="&lt;Type&gt;">
    <vt:lpwstr>RR</vt:lpwstr>
  </property>
</Properties>
</file>