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A2D" w:rsidTr="0010095E">
        <w:trPr>
          <w:trHeight w:hRule="exact" w:val="1418"/>
        </w:trPr>
        <w:tc>
          <w:tcPr>
            <w:tcW w:w="6804" w:type="dxa"/>
            <w:shd w:val="clear" w:color="auto" w:fill="auto"/>
            <w:vAlign w:val="center"/>
          </w:tcPr>
          <w:p w:rsidR="00751A4A" w:rsidRPr="00703A2D" w:rsidRDefault="003F04BD" w:rsidP="0010095E">
            <w:pPr>
              <w:pStyle w:val="EPName"/>
            </w:pPr>
            <w:r w:rsidRPr="00703A2D">
              <w:t>Parlamentul European</w:t>
            </w:r>
          </w:p>
          <w:p w:rsidR="00751A4A" w:rsidRPr="00703A2D" w:rsidRDefault="00817416" w:rsidP="00756632">
            <w:pPr>
              <w:pStyle w:val="EPTerm"/>
              <w:rPr>
                <w:rStyle w:val="HideTWBExt"/>
                <w:noProof w:val="0"/>
                <w:vanish w:val="0"/>
                <w:color w:val="auto"/>
              </w:rPr>
            </w:pPr>
            <w:r w:rsidRPr="00703A2D">
              <w:t>2019-2024</w:t>
            </w:r>
          </w:p>
        </w:tc>
        <w:tc>
          <w:tcPr>
            <w:tcW w:w="2268" w:type="dxa"/>
            <w:shd w:val="clear" w:color="auto" w:fill="auto"/>
          </w:tcPr>
          <w:p w:rsidR="00751A4A" w:rsidRPr="00703A2D" w:rsidRDefault="00187494" w:rsidP="0010095E">
            <w:pPr>
              <w:pStyle w:val="EPLogo"/>
            </w:pPr>
            <w:r w:rsidRPr="00703A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3A2D" w:rsidRDefault="00D058B8" w:rsidP="004C5D52">
      <w:pPr>
        <w:pStyle w:val="LineTop"/>
      </w:pPr>
    </w:p>
    <w:p w:rsidR="00680577" w:rsidRPr="00703A2D" w:rsidRDefault="003F04BD" w:rsidP="00680577">
      <w:pPr>
        <w:pStyle w:val="EPBodyTA1"/>
      </w:pPr>
      <w:r w:rsidRPr="00703A2D">
        <w:t>TEXTE ADOPTATE</w:t>
      </w:r>
    </w:p>
    <w:p w:rsidR="00D058B8" w:rsidRPr="00703A2D" w:rsidRDefault="00D058B8" w:rsidP="00D058B8">
      <w:pPr>
        <w:pStyle w:val="LineBottom"/>
      </w:pPr>
    </w:p>
    <w:p w:rsidR="003F04BD" w:rsidRPr="00703A2D" w:rsidRDefault="003F04BD" w:rsidP="003F04BD">
      <w:pPr>
        <w:pStyle w:val="ATHeading1"/>
      </w:pPr>
      <w:bookmarkStart w:id="0" w:name="TANumber"/>
      <w:r w:rsidRPr="00703A2D">
        <w:t>P9_TA(2024)00</w:t>
      </w:r>
      <w:bookmarkEnd w:id="0"/>
      <w:r w:rsidR="00703A2D" w:rsidRPr="00703A2D">
        <w:t>16</w:t>
      </w:r>
    </w:p>
    <w:p w:rsidR="003F04BD" w:rsidRPr="00703A2D" w:rsidRDefault="0057059C" w:rsidP="0057059C">
      <w:pPr>
        <w:pStyle w:val="ATHeading2"/>
      </w:pPr>
      <w:bookmarkStart w:id="1" w:name="title"/>
      <w:r w:rsidRPr="00703A2D">
        <w:t xml:space="preserve">Obiecție la un act de punere în aplicare: limitele maxime pentru reziduurile de </w:t>
      </w:r>
      <w:proofErr w:type="spellStart"/>
      <w:r w:rsidR="00E44778" w:rsidRPr="00703A2D">
        <w:t>tiacloprid</w:t>
      </w:r>
      <w:proofErr w:type="spellEnd"/>
      <w:r w:rsidR="00E44778" w:rsidRPr="00703A2D">
        <w:t xml:space="preserve"> din sau de pe anumite produse</w:t>
      </w:r>
      <w:bookmarkStart w:id="2" w:name="_GoBack"/>
      <w:bookmarkEnd w:id="1"/>
      <w:bookmarkEnd w:id="2"/>
    </w:p>
    <w:p w:rsidR="003F04BD" w:rsidRPr="00703A2D" w:rsidRDefault="003F04BD" w:rsidP="003F04BD">
      <w:pPr>
        <w:rPr>
          <w:i/>
          <w:vanish/>
        </w:rPr>
      </w:pPr>
      <w:r w:rsidRPr="00703A2D">
        <w:rPr>
          <w:i/>
        </w:rPr>
        <w:fldChar w:fldCharType="begin"/>
      </w:r>
      <w:r w:rsidRPr="00703A2D">
        <w:rPr>
          <w:i/>
        </w:rPr>
        <w:instrText xml:space="preserve"> TC"(</w:instrText>
      </w:r>
      <w:bookmarkStart w:id="3" w:name="DocNumber"/>
      <w:r w:rsidRPr="00703A2D">
        <w:rPr>
          <w:i/>
        </w:rPr>
        <w:instrText>B9-0057/2024</w:instrText>
      </w:r>
      <w:bookmarkEnd w:id="3"/>
      <w:r w:rsidRPr="00703A2D">
        <w:rPr>
          <w:i/>
        </w:rPr>
        <w:instrText xml:space="preserve">)"\l3 \n&gt; \* MERGEFORMAT </w:instrText>
      </w:r>
      <w:r w:rsidRPr="00703A2D">
        <w:rPr>
          <w:i/>
        </w:rPr>
        <w:fldChar w:fldCharType="end"/>
      </w:r>
    </w:p>
    <w:p w:rsidR="003F04BD" w:rsidRPr="00703A2D" w:rsidRDefault="003F04BD" w:rsidP="003F04BD">
      <w:pPr>
        <w:rPr>
          <w:vanish/>
        </w:rPr>
      </w:pPr>
      <w:bookmarkStart w:id="4" w:name="PE"/>
      <w:r w:rsidRPr="00703A2D">
        <w:rPr>
          <w:vanish/>
        </w:rPr>
        <w:t>PE757.277</w:t>
      </w:r>
      <w:bookmarkEnd w:id="4"/>
    </w:p>
    <w:p w:rsidR="003F04BD" w:rsidRPr="00703A2D" w:rsidRDefault="003F04BD" w:rsidP="003F04BD">
      <w:pPr>
        <w:pStyle w:val="ATHeading3"/>
      </w:pPr>
      <w:bookmarkStart w:id="5" w:name="Sujet"/>
      <w:r w:rsidRPr="00703A2D">
        <w:t xml:space="preserve">Rezoluția Parlamentului European din </w:t>
      </w:r>
      <w:r w:rsidR="0057059C" w:rsidRPr="00703A2D">
        <w:t>17 ianuarie</w:t>
      </w:r>
      <w:r w:rsidRPr="00703A2D">
        <w:t xml:space="preserve"> 2024 referitoare la propunerea de regulament al Consiliului de modificare a anexei II la Regulamentul (CE) nr. 396/2005 al Parlamentului European și al Consiliului în ceea ce privește limitele maxime pentru reziduurile de </w:t>
      </w:r>
      <w:proofErr w:type="spellStart"/>
      <w:r w:rsidRPr="00703A2D">
        <w:t>tiacloprid</w:t>
      </w:r>
      <w:proofErr w:type="spellEnd"/>
      <w:r w:rsidRPr="00703A2D">
        <w:t xml:space="preserve"> din sau de pe anumite produse</w:t>
      </w:r>
      <w:bookmarkEnd w:id="5"/>
      <w:r w:rsidRPr="00703A2D">
        <w:t xml:space="preserve"> </w:t>
      </w:r>
      <w:bookmarkStart w:id="6" w:name="References"/>
      <w:r w:rsidRPr="00703A2D">
        <w:t>(COM(2023)0739 – 2023/3005(RPS))</w:t>
      </w:r>
      <w:bookmarkEnd w:id="6"/>
    </w:p>
    <w:p w:rsidR="00320AE1" w:rsidRPr="00703A2D" w:rsidRDefault="00320AE1" w:rsidP="00320AE1">
      <w:pPr>
        <w:pStyle w:val="EPComma"/>
      </w:pPr>
      <w:bookmarkStart w:id="7" w:name="TextBodyBegin"/>
      <w:bookmarkEnd w:id="7"/>
      <w:r w:rsidRPr="00703A2D">
        <w:rPr>
          <w:i/>
        </w:rPr>
        <w:t>Parlamentul European</w:t>
      </w:r>
      <w:r w:rsidRPr="00703A2D">
        <w:t>,</w:t>
      </w:r>
    </w:p>
    <w:p w:rsidR="00320AE1" w:rsidRPr="00703A2D" w:rsidRDefault="00320AE1" w:rsidP="00F31487">
      <w:pPr>
        <w:pStyle w:val="NormalHanging12a"/>
        <w:widowControl/>
      </w:pPr>
      <w:r w:rsidRPr="00703A2D">
        <w:t>–</w:t>
      </w:r>
      <w:r w:rsidRPr="00703A2D">
        <w:tab/>
        <w:t xml:space="preserve">având în vedere propunerea de regulament al Consiliului de modificare a anexei II la Regulamentul (CE) nr. 396/2005 al Parlamentului European și al Consiliului în ceea ce privește limitele maxime pentru reziduurile de </w:t>
      </w:r>
      <w:proofErr w:type="spellStart"/>
      <w:r w:rsidRPr="00703A2D">
        <w:t>tiacloprid</w:t>
      </w:r>
      <w:proofErr w:type="spellEnd"/>
      <w:r w:rsidRPr="00703A2D">
        <w:t xml:space="preserve"> din sau de pe anumite produse (COM(2023)0739),</w:t>
      </w:r>
    </w:p>
    <w:p w:rsidR="00320AE1" w:rsidRPr="00703A2D" w:rsidRDefault="00320AE1" w:rsidP="00F31487">
      <w:pPr>
        <w:pStyle w:val="NormalHanging12a"/>
        <w:widowControl/>
        <w:rPr>
          <w:szCs w:val="24"/>
        </w:rPr>
      </w:pPr>
      <w:r w:rsidRPr="00703A2D">
        <w:t>–</w:t>
      </w:r>
      <w:r w:rsidRPr="00703A2D">
        <w:tab/>
        <w:t>având în vedere Regulamentul (CE) nr. 396/2005 al Parlamentului European și al Consiliului din 23 februarie 2005 privind conținuturile maxime aplicabile reziduurilor de pesticide din sau de pe produse alimentare și hrana de origine vegetală și animală pentru animale și de modificare a Directivei 91/414/CEE</w:t>
      </w:r>
      <w:r w:rsidRPr="00703A2D">
        <w:rPr>
          <w:rStyle w:val="FootnoteReference"/>
        </w:rPr>
        <w:footnoteReference w:id="1"/>
      </w:r>
      <w:r w:rsidRPr="00703A2D">
        <w:t xml:space="preserve">, în special articolul 14 alineatul (1) litera (a) și articolul 49 alineatul (2), </w:t>
      </w:r>
    </w:p>
    <w:p w:rsidR="00320AE1" w:rsidRPr="00703A2D" w:rsidRDefault="00320AE1" w:rsidP="00F31487">
      <w:pPr>
        <w:pStyle w:val="NormalHanging12a"/>
        <w:widowControl/>
        <w:rPr>
          <w:szCs w:val="24"/>
        </w:rPr>
      </w:pPr>
      <w:r w:rsidRPr="00703A2D">
        <w:t>–</w:t>
      </w:r>
      <w:r w:rsidRPr="00703A2D">
        <w:tab/>
        <w:t>având în vedere Regulamentul (CE) nr. 1107/2009 al Parlamentului European și al Consiliului din 21 octombrie 2009 privind introducerea pe piață a produselor fitosanitare și de abrogare a Directivelor 79/117/CEE și 91/414/CEE ale Consiliului</w:t>
      </w:r>
      <w:r w:rsidRPr="00703A2D">
        <w:rPr>
          <w:rStyle w:val="FootnoteReference"/>
          <w:szCs w:val="24"/>
        </w:rPr>
        <w:footnoteReference w:id="2"/>
      </w:r>
      <w:r w:rsidRPr="00703A2D">
        <w:t>, în special articolul 4 alineatul (1), articolul 4 alineatul (2) primul alineat litera (a) și punctul 3.6.4 din anexa II,</w:t>
      </w:r>
    </w:p>
    <w:p w:rsidR="00320AE1" w:rsidRPr="00703A2D" w:rsidRDefault="00320AE1" w:rsidP="00F31487">
      <w:pPr>
        <w:pStyle w:val="NormalHanging12a"/>
        <w:widowControl/>
        <w:rPr>
          <w:szCs w:val="24"/>
        </w:rPr>
      </w:pPr>
      <w:r w:rsidRPr="00703A2D">
        <w:t>–</w:t>
      </w:r>
      <w:r w:rsidRPr="00703A2D">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703A2D">
        <w:rPr>
          <w:rStyle w:val="FootnoteReference"/>
          <w:szCs w:val="24"/>
        </w:rPr>
        <w:footnoteReference w:id="3"/>
      </w:r>
      <w:r w:rsidRPr="00703A2D">
        <w:t>, în special articolul 5 alineatul (1),</w:t>
      </w:r>
    </w:p>
    <w:p w:rsidR="00320AE1" w:rsidRPr="00703A2D" w:rsidRDefault="00320AE1" w:rsidP="00F31487">
      <w:pPr>
        <w:pStyle w:val="NormalHanging12a"/>
        <w:widowControl/>
        <w:rPr>
          <w:szCs w:val="24"/>
        </w:rPr>
      </w:pPr>
      <w:r w:rsidRPr="00703A2D">
        <w:lastRenderedPageBreak/>
        <w:t>–</w:t>
      </w:r>
      <w:r w:rsidRPr="00703A2D">
        <w:tab/>
        <w:t>având în vedere articolele 11, 13, 168 și 191 din Tratatul privind funcționarea Uniunii Europene,</w:t>
      </w:r>
    </w:p>
    <w:p w:rsidR="00320AE1" w:rsidRPr="00703A2D" w:rsidRDefault="00320AE1" w:rsidP="00F31487">
      <w:pPr>
        <w:pStyle w:val="NormalHanging12a"/>
        <w:widowControl/>
      </w:pPr>
      <w:r w:rsidRPr="00703A2D">
        <w:t>–</w:t>
      </w:r>
      <w:r w:rsidRPr="00703A2D">
        <w:tab/>
        <w:t>având în vedere avizul motivat adoptat de Autoritatea Europeană pentru Siguranța Alimentară (EFSA) la 9 februarie 2023 și publicat la 15 martie 2023</w:t>
      </w:r>
      <w:r w:rsidRPr="00703A2D">
        <w:rPr>
          <w:rStyle w:val="FootnoteReference"/>
        </w:rPr>
        <w:footnoteReference w:id="4"/>
      </w:r>
      <w:r w:rsidRPr="00703A2D">
        <w:t>,</w:t>
      </w:r>
    </w:p>
    <w:p w:rsidR="00320AE1" w:rsidRPr="00703A2D" w:rsidRDefault="00320AE1" w:rsidP="00F31487">
      <w:pPr>
        <w:pStyle w:val="NormalHanging12a"/>
        <w:widowControl/>
        <w:rPr>
          <w:szCs w:val="24"/>
        </w:rPr>
      </w:pPr>
      <w:r w:rsidRPr="00703A2D">
        <w:t>–</w:t>
      </w:r>
      <w:r w:rsidRPr="00703A2D">
        <w:tab/>
        <w:t xml:space="preserve">având în vedere concluzia cu privire la examinarea inter </w:t>
      </w:r>
      <w:proofErr w:type="spellStart"/>
      <w:r w:rsidRPr="00703A2D">
        <w:t>pares</w:t>
      </w:r>
      <w:proofErr w:type="spellEnd"/>
      <w:r w:rsidRPr="00703A2D">
        <w:t xml:space="preserve"> a pesticidelor, aprobată de EFSA la 17 ianuarie 2019 și publicată la 14 martie 2019</w:t>
      </w:r>
      <w:r w:rsidRPr="00703A2D">
        <w:rPr>
          <w:rStyle w:val="FootnoteReference"/>
          <w:szCs w:val="24"/>
        </w:rPr>
        <w:footnoteReference w:id="5"/>
      </w:r>
      <w:r w:rsidRPr="00703A2D">
        <w:t>,</w:t>
      </w:r>
    </w:p>
    <w:p w:rsidR="00320AE1" w:rsidRPr="00703A2D" w:rsidRDefault="00320AE1" w:rsidP="00F31487">
      <w:pPr>
        <w:pStyle w:val="NormalHanging12a"/>
        <w:widowControl/>
        <w:rPr>
          <w:szCs w:val="24"/>
        </w:rPr>
      </w:pPr>
      <w:r w:rsidRPr="00703A2D">
        <w:t>–</w:t>
      </w:r>
      <w:r w:rsidRPr="00703A2D">
        <w:tab/>
        <w:t>având în vedere avizul adoptat de Comitetul pentru evaluarea riscurilor (CER) al Agenției Europene pentru Produse Chimice (ECHA) la 12 martie 2015</w:t>
      </w:r>
      <w:r w:rsidRPr="00703A2D">
        <w:rPr>
          <w:rStyle w:val="FootnoteReference"/>
          <w:szCs w:val="24"/>
        </w:rPr>
        <w:footnoteReference w:id="6"/>
      </w:r>
      <w:r w:rsidRPr="00703A2D">
        <w:t>,</w:t>
      </w:r>
    </w:p>
    <w:p w:rsidR="00320AE1" w:rsidRPr="00703A2D" w:rsidRDefault="00320AE1" w:rsidP="00F31487">
      <w:pPr>
        <w:pStyle w:val="NormalHanging12a"/>
        <w:widowControl/>
        <w:rPr>
          <w:szCs w:val="24"/>
        </w:rPr>
      </w:pPr>
      <w:r w:rsidRPr="00703A2D">
        <w:t>–</w:t>
      </w:r>
      <w:r w:rsidRPr="00703A2D">
        <w:tab/>
        <w:t>având în vedere articolul 5a alineatul (4) litera (e) și articolul 5a alineatul (5) din Decizia 1999/468/CE a Consiliului din 28 iunie 1999 de stabilire a normelor privind exercitarea competențelor de executare conferite Comisiei</w:t>
      </w:r>
      <w:r w:rsidRPr="00703A2D">
        <w:rPr>
          <w:rStyle w:val="FootnoteReference"/>
          <w:szCs w:val="24"/>
        </w:rPr>
        <w:footnoteReference w:id="7"/>
      </w:r>
      <w:r w:rsidRPr="00703A2D">
        <w:t>,</w:t>
      </w:r>
    </w:p>
    <w:p w:rsidR="00320AE1" w:rsidRPr="00703A2D" w:rsidRDefault="00320AE1" w:rsidP="00F31487">
      <w:pPr>
        <w:pStyle w:val="NormalHanging12a"/>
        <w:widowControl/>
      </w:pPr>
      <w:r w:rsidRPr="00703A2D">
        <w:t>–</w:t>
      </w:r>
      <w:r w:rsidRPr="00703A2D">
        <w:tab/>
        <w:t>având în vedere articolul 112 alineatele (2) și (3) și alineatul (4) litera (c) din Regulamentul său de procedură,</w:t>
      </w:r>
    </w:p>
    <w:p w:rsidR="00320AE1" w:rsidRPr="00703A2D" w:rsidRDefault="00320AE1" w:rsidP="00F31487">
      <w:pPr>
        <w:pStyle w:val="NormalHanging12a"/>
        <w:widowControl/>
      </w:pPr>
      <w:r w:rsidRPr="00703A2D">
        <w:t>–</w:t>
      </w:r>
      <w:r w:rsidRPr="00703A2D">
        <w:tab/>
        <w:t>având în vedere propunerea de rezoluție a Comisiei pentru mediu, sănătate publică și siguranță alimentară,</w:t>
      </w:r>
    </w:p>
    <w:p w:rsidR="00320AE1" w:rsidRPr="00703A2D" w:rsidRDefault="00320AE1" w:rsidP="00F31487">
      <w:pPr>
        <w:pStyle w:val="NormalHanging12a"/>
        <w:widowControl/>
      </w:pPr>
      <w:r w:rsidRPr="00703A2D">
        <w:t>A.</w:t>
      </w:r>
      <w:r w:rsidRPr="00703A2D">
        <w:tab/>
        <w:t xml:space="preserve">întrucât </w:t>
      </w:r>
      <w:proofErr w:type="spellStart"/>
      <w:r w:rsidRPr="00703A2D">
        <w:t>tiaclopridul</w:t>
      </w:r>
      <w:proofErr w:type="spellEnd"/>
      <w:r w:rsidRPr="00703A2D">
        <w:t xml:space="preserve"> este un ingredient activ în insecticidele utilizate în principal pentru bumbac, fructe sămânțoase, legume și cartofi;</w:t>
      </w:r>
    </w:p>
    <w:p w:rsidR="00320AE1" w:rsidRPr="00703A2D" w:rsidRDefault="00320AE1" w:rsidP="00F31487">
      <w:pPr>
        <w:pStyle w:val="NormalHanging12a"/>
        <w:widowControl/>
      </w:pPr>
      <w:r w:rsidRPr="00703A2D">
        <w:t>B.</w:t>
      </w:r>
      <w:r w:rsidRPr="00703A2D">
        <w:tab/>
        <w:t xml:space="preserve">întrucât aprobarea substanței active </w:t>
      </w:r>
      <w:proofErr w:type="spellStart"/>
      <w:r w:rsidRPr="00703A2D">
        <w:t>tiacloprid</w:t>
      </w:r>
      <w:proofErr w:type="spellEnd"/>
      <w:r w:rsidRPr="00703A2D">
        <w:t xml:space="preserve"> a expirat la 3 februarie 2020 și nu a fost reînnoită în conformitate cu Regulamentul de punere în aplicare (UE) 2020/23 al Comisiei</w:t>
      </w:r>
      <w:r w:rsidRPr="00703A2D">
        <w:rPr>
          <w:rStyle w:val="FootnoteReference"/>
        </w:rPr>
        <w:footnoteReference w:id="8"/>
      </w:r>
      <w:r w:rsidRPr="00703A2D">
        <w:t xml:space="preserve">; întrucât perioada de grație pentru produsele de protecție a plantelor care conțin </w:t>
      </w:r>
      <w:proofErr w:type="spellStart"/>
      <w:r w:rsidRPr="00703A2D">
        <w:t>tiacloprid</w:t>
      </w:r>
      <w:proofErr w:type="spellEnd"/>
      <w:r w:rsidRPr="00703A2D">
        <w:t xml:space="preserve"> a expirat la 3 februarie 2021;</w:t>
      </w:r>
    </w:p>
    <w:p w:rsidR="00320AE1" w:rsidRPr="00703A2D" w:rsidRDefault="00320AE1" w:rsidP="00F31487">
      <w:pPr>
        <w:pStyle w:val="NormalHanging12a"/>
        <w:widowControl/>
      </w:pPr>
      <w:r w:rsidRPr="00703A2D">
        <w:t>C.</w:t>
      </w:r>
      <w:r w:rsidRPr="00703A2D">
        <w:tab/>
        <w:t xml:space="preserve">întrucât aprobarea substanței active </w:t>
      </w:r>
      <w:proofErr w:type="spellStart"/>
      <w:r w:rsidRPr="00703A2D">
        <w:t>tiacloprid</w:t>
      </w:r>
      <w:proofErr w:type="spellEnd"/>
      <w:r w:rsidRPr="00703A2D">
        <w:t xml:space="preserve"> nu a fost reînnoită, deoarece nu s-a putut stabili, în ceea ce privește una sau mai multe utilizări reprezentative ale cel puțin unui produs fitosanitar, îndeplinirea criteriilor de aprobare prevăzute la articolul 4 din Regulamentul (CE) nr. 1107/2009; întrucât, în special, EFSA a identificat două domenii </w:t>
      </w:r>
      <w:r w:rsidRPr="00703A2D">
        <w:lastRenderedPageBreak/>
        <w:t xml:space="preserve">de preocupare majoră; întrucât primul domeniu de preocupare majoră a fost legat de indicarea contaminării apelor subterane cu mai mulți metaboliți relevanți ai </w:t>
      </w:r>
      <w:proofErr w:type="spellStart"/>
      <w:r w:rsidRPr="00703A2D">
        <w:t>tiaclopridului</w:t>
      </w:r>
      <w:proofErr w:type="spellEnd"/>
      <w:r w:rsidRPr="00703A2D">
        <w:t xml:space="preserve"> al căror potențial cancerigen nu a putut fi exclus (M30, M34 și M46) peste limita parametrică pentru apa potabilă de 0,1 µg/l pentru toate utilizările reprezentative</w:t>
      </w:r>
      <w:r w:rsidRPr="00703A2D">
        <w:rPr>
          <w:rStyle w:val="FootnoteReference"/>
        </w:rPr>
        <w:footnoteReference w:id="9"/>
      </w:r>
      <w:r w:rsidRPr="00703A2D">
        <w:t xml:space="preserve">; întrucât al doilea domeniu de preocupare majoră legat de clasificarea armonizată de către ECHA a </w:t>
      </w:r>
      <w:proofErr w:type="spellStart"/>
      <w:r w:rsidRPr="00703A2D">
        <w:t>tiaclopridului</w:t>
      </w:r>
      <w:proofErr w:type="spellEnd"/>
      <w:r w:rsidRPr="00703A2D">
        <w:t xml:space="preserve"> ca fiind presupus a dăuna fertilității și fătului (toxic pentru reproducere din categoria 1B), în conformitate cu Regulamentul (CE) nr. 1272/2008 al Parlamentului European și al Consiliului</w:t>
      </w:r>
      <w:r w:rsidRPr="00703A2D">
        <w:rPr>
          <w:rStyle w:val="FootnoteReference"/>
        </w:rPr>
        <w:footnoteReference w:id="10"/>
      </w:r>
      <w:r w:rsidRPr="00703A2D">
        <w:t xml:space="preserve">, ceea ce face ca </w:t>
      </w:r>
      <w:proofErr w:type="spellStart"/>
      <w:r w:rsidRPr="00703A2D">
        <w:t>tiacloprid</w:t>
      </w:r>
      <w:proofErr w:type="spellEnd"/>
      <w:r w:rsidRPr="00703A2D">
        <w:t xml:space="preserve"> să fie o „substanță care îndeplinește criteriile de limitare” în conformitate cu articolul 4 alineatul (1) din Regulamentul (CE) nr. 1107/2009; </w:t>
      </w:r>
    </w:p>
    <w:p w:rsidR="00320AE1" w:rsidRPr="00703A2D" w:rsidRDefault="00320AE1" w:rsidP="00F31487">
      <w:pPr>
        <w:pStyle w:val="NormalHanging12a"/>
        <w:widowControl/>
      </w:pPr>
      <w:r w:rsidRPr="00703A2D">
        <w:t>D.</w:t>
      </w:r>
      <w:r w:rsidRPr="00703A2D">
        <w:tab/>
        <w:t>întrucât EFSA a concluzionat, de asemenea, că evaluarea riscurilor pentru albine și pentru plantele terestre nevizate nu a putut fi finalizată;</w:t>
      </w:r>
    </w:p>
    <w:p w:rsidR="00320AE1" w:rsidRPr="00703A2D" w:rsidRDefault="00320AE1" w:rsidP="00F31487">
      <w:pPr>
        <w:pStyle w:val="NormalHanging12a"/>
        <w:widowControl/>
      </w:pPr>
      <w:r w:rsidRPr="00703A2D">
        <w:t>E.</w:t>
      </w:r>
      <w:r w:rsidRPr="00703A2D">
        <w:tab/>
        <w:t xml:space="preserve">întrucât </w:t>
      </w:r>
      <w:proofErr w:type="spellStart"/>
      <w:r w:rsidRPr="00703A2D">
        <w:t>tiaclopridul</w:t>
      </w:r>
      <w:proofErr w:type="spellEnd"/>
      <w:r w:rsidRPr="00703A2D">
        <w:t xml:space="preserve"> este, de asemenea, clasificat în conformitate cu Regulamentul (CE) nr. 1272/2008 ca fiind susceptibil de a provoca cancer (cancerigen categoria 2), foarte toxic pentru mediul acvatic (toxicitate acvatică acută 1) și foarte toxic pentru mediul acvatic cu efect de lungă durată (toxicitate acvatică cronică 1);</w:t>
      </w:r>
    </w:p>
    <w:p w:rsidR="00320AE1" w:rsidRPr="00703A2D" w:rsidRDefault="00320AE1" w:rsidP="00F31487">
      <w:pPr>
        <w:pStyle w:val="NormalHanging12a"/>
        <w:widowControl/>
      </w:pPr>
      <w:r w:rsidRPr="00703A2D">
        <w:t>F.</w:t>
      </w:r>
      <w:r w:rsidRPr="00703A2D">
        <w:tab/>
        <w:t>întrucât Comitetul permanent pentru plante, animale, produse alimentare și hrană pentru animale (Comitetul PAFF) nu a emis un aviz cu privire la propunerea de regulament al Consiliului; întrucât, în cadrul reuniunii Comitetului PAFF din 18-19 septembrie 2023, „opt state membre nu au sprijinit proiectul de regulament. Șase dintre acestea au menționat în primul rând preocupările lor cu privire la menținerea CXL-urilor și la toleranțele la importuri pentru o substanță neaprobată care îndeplinește unul dintre criteriile de limitare prevăzute de Regulamentul (CE) nr. 1107/2009 (toxic pentru reproducere). În plus, un stat membru care nu a sprijinit proiectul de regulament și-a exprimat îngrijorarea cu privire la faptul că EFSA a indicat depășiri ale dozei acute de referință pentru anumite produse în anumite circumstanțe atipice, un alt stat membru a menționat discriminarea fermierilor din UE care nu mai pot utiliza produse fitosanitare care conțin această substanță activă, în timp ce fermierii din țările terțe ar putea face acest lucru în continuare, ceea ce conduce astfel la concurență neloială”</w:t>
      </w:r>
      <w:r w:rsidRPr="00703A2D">
        <w:rPr>
          <w:rStyle w:val="FootnoteReference"/>
        </w:rPr>
        <w:footnoteReference w:id="11"/>
      </w:r>
      <w:r w:rsidRPr="00703A2D">
        <w:t>;</w:t>
      </w:r>
    </w:p>
    <w:p w:rsidR="00320AE1" w:rsidRPr="00703A2D" w:rsidRDefault="00320AE1" w:rsidP="00F31487">
      <w:pPr>
        <w:pStyle w:val="NormalHanging12a"/>
        <w:widowControl/>
      </w:pPr>
      <w:r w:rsidRPr="00703A2D">
        <w:t>G.</w:t>
      </w:r>
      <w:r w:rsidRPr="00703A2D">
        <w:tab/>
        <w:t>întrucât Germania a solicitat includerea următoarei declarații în raportul de sinteză al reuniunii Comitetului PAFF din 18-19 septembrie 2023: „</w:t>
      </w:r>
      <w:proofErr w:type="spellStart"/>
      <w:r w:rsidRPr="00703A2D">
        <w:t>Tiaclopridul</w:t>
      </w:r>
      <w:proofErr w:type="spellEnd"/>
      <w:r w:rsidRPr="00703A2D">
        <w:t xml:space="preserve"> este o substanță activă care îndeplinește criteriile de limitare în conformitate cu Regulamentul (CE) nr. 1107/2009. În cursul procedurii de reaprobare a substanței active, s-a stabilit că aceasta îndeplinește criteriile de limitare, deoarece corespunde clasificării ca substanță toxică pentru reproducere 1B. În consecință, substanța activă nu a fost reaprobată. În general, Germania nu sprijină stabilirea [limitelor maxime de reziduuri (LMR)] pentru substanțele active care nu sunt aprobate în UE din cauza unor probleme de sănătate. </w:t>
      </w:r>
      <w:r w:rsidRPr="00703A2D">
        <w:lastRenderedPageBreak/>
        <w:t>Factorul decisiv în acest caz este faptul că criteriile de limitare au fost stabilite în cadrul procedurii de (re)aprobare a unei substanțe active în temeiul Regulamentului (CE) nr. 1107/2009”</w:t>
      </w:r>
      <w:r w:rsidRPr="00703A2D">
        <w:rPr>
          <w:rStyle w:val="FootnoteReference"/>
        </w:rPr>
        <w:footnoteReference w:id="12"/>
      </w:r>
      <w:r w:rsidRPr="00703A2D">
        <w:t>;</w:t>
      </w:r>
    </w:p>
    <w:p w:rsidR="00320AE1" w:rsidRPr="00703A2D" w:rsidRDefault="00320AE1" w:rsidP="00F31487">
      <w:pPr>
        <w:pStyle w:val="NormalHanging12a"/>
        <w:widowControl/>
      </w:pPr>
      <w:r w:rsidRPr="00703A2D">
        <w:t>H.</w:t>
      </w:r>
      <w:r w:rsidRPr="00703A2D">
        <w:tab/>
        <w:t xml:space="preserve">întrucât este adecvat să se elimine LMR-urile existente stabilite pentru </w:t>
      </w:r>
      <w:proofErr w:type="spellStart"/>
      <w:r w:rsidRPr="00703A2D">
        <w:t>tiacloprid</w:t>
      </w:r>
      <w:proofErr w:type="spellEnd"/>
      <w:r w:rsidRPr="00703A2D">
        <w:t xml:space="preserve"> în anexa II la Regulamentul (CE) nr. 396/2005, în conformitate cu articolul 17 din regulamentul respectiv coroborat cu articolul 14 alineatul (1) litera (a) din același regulament;</w:t>
      </w:r>
    </w:p>
    <w:p w:rsidR="00320AE1" w:rsidRPr="00703A2D" w:rsidRDefault="00320AE1" w:rsidP="00F31487">
      <w:pPr>
        <w:pStyle w:val="NormalHanging12a"/>
        <w:widowControl/>
      </w:pPr>
      <w:r w:rsidRPr="00703A2D">
        <w:t>I.</w:t>
      </w:r>
      <w:r w:rsidRPr="00703A2D">
        <w:tab/>
        <w:t xml:space="preserve">întrucât, cu toate acestea, în propunerea de regulament al Consiliului, Comisia propune menținerea LMR-urilor pentru </w:t>
      </w:r>
      <w:proofErr w:type="spellStart"/>
      <w:r w:rsidRPr="00703A2D">
        <w:t>tiacloprid</w:t>
      </w:r>
      <w:proofErr w:type="spellEnd"/>
      <w:r w:rsidRPr="00703A2D">
        <w:t xml:space="preserve"> peste limita de detecție în vederea utilizării pentru mai mult de 30 de produse în scopul importului, pe baza avizului motivat al EFSA</w:t>
      </w:r>
      <w:r w:rsidRPr="00703A2D">
        <w:rPr>
          <w:rStyle w:val="FootnoteReference"/>
        </w:rPr>
        <w:footnoteReference w:id="13"/>
      </w:r>
      <w:r w:rsidRPr="00703A2D">
        <w:t>;</w:t>
      </w:r>
    </w:p>
    <w:p w:rsidR="00320AE1" w:rsidRPr="00703A2D" w:rsidRDefault="00320AE1" w:rsidP="00F31487">
      <w:pPr>
        <w:pStyle w:val="NormalHanging12a"/>
        <w:widowControl/>
      </w:pPr>
      <w:r w:rsidRPr="00703A2D">
        <w:t>J.</w:t>
      </w:r>
      <w:r w:rsidRPr="00703A2D">
        <w:tab/>
        <w:t xml:space="preserve">întrucât utilizările pentru care sunt considerate sigure LMR-urile peste limita de detecție includ utilizările </w:t>
      </w:r>
      <w:proofErr w:type="spellStart"/>
      <w:r w:rsidRPr="00703A2D">
        <w:t>tiaclopridului</w:t>
      </w:r>
      <w:proofErr w:type="spellEnd"/>
      <w:r w:rsidRPr="00703A2D">
        <w:t xml:space="preserve"> în papaya, ceai, fructe cu coajă lemnoasă, gutui, moșmoni, moșmoni japonezi, caise, cireșe (dulci), prune, căpșuni, mure, mure de câmp, alte fructe mici și bace, kiwi, cartofi, tomate, vinete, pepeni galbeni, pepeni verzi, orez, grâu, produse de origine animală (porcine, bovine, ovine, cabaline, păsări de crescătorie și alte animale de fermă) provenite din țesuturi (mușchi, ficat, rinichi și organe comestibile), lapte și ouă, zmeură, castraveți, dovlecei, semințe de rapiță, semințe de muștar și semințe de bumbac; întrucât LMR propuse pentru aceste utilizări variază de la dublul limitei de detecție până la o mie de ori limita de detecție (pentru utilizarea pentru ceaiuri);</w:t>
      </w:r>
    </w:p>
    <w:p w:rsidR="00320AE1" w:rsidRPr="00703A2D" w:rsidRDefault="00320AE1" w:rsidP="00F31487">
      <w:pPr>
        <w:pStyle w:val="NormalHanging12a"/>
        <w:widowControl/>
      </w:pPr>
      <w:r w:rsidRPr="00703A2D">
        <w:t>K.</w:t>
      </w:r>
      <w:r w:rsidRPr="00703A2D">
        <w:tab/>
        <w:t xml:space="preserve">întrucât, în schimb, cererea de toleranțe la importuri a fost refuzată numai pentru două utilizări (pentru piersici și ardei grași), deoarece depășirea dozei acute de referință nu poate fi exclusă și, prin urmare, Comisia a propus reducerea LMR-urilor pentru </w:t>
      </w:r>
      <w:proofErr w:type="spellStart"/>
      <w:r w:rsidRPr="00703A2D">
        <w:t>tiacloprid</w:t>
      </w:r>
      <w:proofErr w:type="spellEnd"/>
      <w:r w:rsidRPr="00703A2D">
        <w:t xml:space="preserve"> la limita de detecție numai pentru aceste utilizări; </w:t>
      </w:r>
    </w:p>
    <w:p w:rsidR="00320AE1" w:rsidRPr="00703A2D" w:rsidRDefault="00320AE1" w:rsidP="00F31487">
      <w:pPr>
        <w:pStyle w:val="NormalHanging12a"/>
        <w:widowControl/>
      </w:pPr>
      <w:r w:rsidRPr="00703A2D">
        <w:t>L.</w:t>
      </w:r>
      <w:r w:rsidRPr="00703A2D">
        <w:tab/>
        <w:t xml:space="preserve">întrucât considerentul 5 din Regulamentul (CE) nr. 396/2005 prevede că reziduurile nu trebuie să fie prezente la niveluri care prezintă un risc inacceptabil pentru oameni și, după caz, pentru animale; </w:t>
      </w:r>
    </w:p>
    <w:p w:rsidR="00320AE1" w:rsidRPr="00703A2D" w:rsidRDefault="00320AE1" w:rsidP="00F31487">
      <w:pPr>
        <w:pStyle w:val="NormalHanging12a"/>
        <w:widowControl/>
      </w:pPr>
      <w:r w:rsidRPr="00703A2D">
        <w:t>M.</w:t>
      </w:r>
      <w:r w:rsidRPr="00703A2D">
        <w:tab/>
        <w:t>întrucât articolul 4 alineatul (2) litera (a) din Regulamentul (CE) nr. 1107/2009 prevede că produsele fitosanitare nu trebuie să producă efecte nocive asupra sănătății umane, inclusiv aceea a grupurilor vulnerabile, ori asupra sănătății animale, luând în considerare efectele cumulative și sinergice cunoscute; întrucât punctul 3.6.4 din anexa II la regulamentul respectiv prevede că o substanță activă clasificată, în conformitate cu Regulamentul (CE) nr. 1272/2008, ca substanță toxică pentru reproducere din categoria 1A sau 1B, nu se aprobă decât dacă „reziduurile substanței active, [...] din alimente și furaje nu depășesc valorile de ajustare prevăzute la articolul 18 alineatul (1) litera (b) din Regulamentul (CE) nr. 396/2005”; întrucât articolul 18 alineatul (1) litera (b) din Regulamentul (CE) nr. 396/2005 stabilește o valoare de ajustare de 0,01 mg/kg;</w:t>
      </w:r>
    </w:p>
    <w:p w:rsidR="00320AE1" w:rsidRPr="00703A2D" w:rsidRDefault="00320AE1" w:rsidP="00F31487">
      <w:pPr>
        <w:pStyle w:val="NormalHanging12a"/>
        <w:widowControl/>
      </w:pPr>
      <w:r w:rsidRPr="00703A2D">
        <w:t>N.</w:t>
      </w:r>
      <w:r w:rsidRPr="00703A2D">
        <w:tab/>
        <w:t xml:space="preserve">întrucât articolul 3 alineatul (2) litera (g) din Regulamentul (CE) nr. 396/2005 prevede că toleranța la importuri este o LMR stabilită pentru produsele importate în cazul în care „utilizarea substanței active într-un produs fitosanitar, în ceea ce privește un anumit </w:t>
      </w:r>
      <w:r w:rsidRPr="00703A2D">
        <w:lastRenderedPageBreak/>
        <w:t xml:space="preserve">produs, nu este autorizată în Comunitate, din alte motive decât sănătatea publică pentru un produs și un uz determinat”; întrucât </w:t>
      </w:r>
      <w:proofErr w:type="spellStart"/>
      <w:r w:rsidRPr="00703A2D">
        <w:t>tiaclopridul</w:t>
      </w:r>
      <w:proofErr w:type="spellEnd"/>
      <w:r w:rsidRPr="00703A2D">
        <w:t xml:space="preserve"> nu îndeplinește aceste criterii deoarece a fost interzis din motive de sănătate, având în vedere că este clasificat ca toxic pentru reproducere din categoria 1B;</w:t>
      </w:r>
    </w:p>
    <w:p w:rsidR="00320AE1" w:rsidRPr="00703A2D" w:rsidRDefault="00320AE1" w:rsidP="00F31487">
      <w:pPr>
        <w:pStyle w:val="NormalHanging12a"/>
        <w:widowControl/>
      </w:pPr>
      <w:r w:rsidRPr="00703A2D">
        <w:t>O.</w:t>
      </w:r>
      <w:r w:rsidRPr="00703A2D">
        <w:tab/>
        <w:t>întrucât la articolul 5 alineatul (1) din Regulamentul (CE) nr. 178/2002, se prevede că legislația alimentară trebuie să urmărească unul sau mai multe dintre obiectivele generale ale unui nivel ridicat de protecție a vieții și sănătății umane și de protecție a intereselor consumatorilor, inclusiv practici echitabile în comerțul cu produse alimentare, ținând seama, după caz, de protecția sănătății și bunăstării animalelor, a sănătății plantelor și a mediului;</w:t>
      </w:r>
    </w:p>
    <w:p w:rsidR="00320AE1" w:rsidRPr="00703A2D" w:rsidRDefault="00320AE1" w:rsidP="00F31487">
      <w:pPr>
        <w:pStyle w:val="NormalHanging12a"/>
        <w:widowControl/>
      </w:pPr>
      <w:r w:rsidRPr="00703A2D">
        <w:t>P.</w:t>
      </w:r>
      <w:r w:rsidRPr="00703A2D">
        <w:tab/>
        <w:t>întrucât actuala criză a polenizatorilor este una dintre principalele amenințări la adresa biodiversității și a securității alimentare mondiale și locale; întrucât această criză poate agrava problemele foametei ascunse, erodează reziliența ecosistemelor și poate destabiliza ecosistemele care alcătuiesc sistemul ce ne permite să supraviețuim</w:t>
      </w:r>
      <w:r w:rsidRPr="00703A2D">
        <w:rPr>
          <w:rStyle w:val="FootnoteReference"/>
        </w:rPr>
        <w:footnoteReference w:id="14"/>
      </w:r>
      <w:r w:rsidRPr="00703A2D">
        <w:t>;</w:t>
      </w:r>
    </w:p>
    <w:p w:rsidR="00320AE1" w:rsidRPr="00703A2D" w:rsidRDefault="00320AE1" w:rsidP="00F31487">
      <w:pPr>
        <w:pStyle w:val="NormalHanging12a"/>
        <w:widowControl/>
      </w:pPr>
      <w:r w:rsidRPr="00703A2D">
        <w:t>Q.</w:t>
      </w:r>
      <w:r w:rsidRPr="00703A2D">
        <w:tab/>
        <w:t>întrucât, în comunicarea sa din 20 mai 2020 intitulată „O strategie «De la fermă la consumator» pentru un sistem alimentar echitabil, sănătos și ecologic”</w:t>
      </w:r>
      <w:r w:rsidRPr="00703A2D">
        <w:rPr>
          <w:rStyle w:val="FootnoteReference"/>
        </w:rPr>
        <w:footnoteReference w:id="15"/>
      </w:r>
      <w:r w:rsidRPr="00703A2D">
        <w:t>, Comisia a anunțat că „UE va sprijini tranziția globală către sisteme agroalimentare durabile, în conformitate cu obiectivele acestei strategii și cu obiectivele de dezvoltare durabilă” și că „UE poate juca un rol esențial în stabilirea de standarde globale cu ajutorul acestei strategii”; întrucât Comisia a afirmat în mod explicit în strategie că „sistem alimentar mai durabil al UE necesită, de asemenea, practici din ce în ce mai durabile din partea partenerilor noștri comerciali. Pentru a promova trecerea treptată la utilizarea de produse de protecție a plantelor mai sigure, UE va lua în considerare, în conformitate cu normele OMC și în urma unei evaluări a riscurilor, revizuirea toleranțelor la import pentru substanțele care îndeplinesc «criteriile de limitare» și care prezintă un nivel ridicat de risc pentru sănătatea umană”;</w:t>
      </w:r>
    </w:p>
    <w:p w:rsidR="00320AE1" w:rsidRPr="00703A2D" w:rsidRDefault="00320AE1" w:rsidP="00F31487">
      <w:pPr>
        <w:pStyle w:val="NormalHanging12a"/>
        <w:widowControl/>
      </w:pPr>
      <w:r w:rsidRPr="00703A2D">
        <w:t>R.</w:t>
      </w:r>
      <w:r w:rsidRPr="00703A2D">
        <w:tab/>
        <w:t>întrucât în 2022 Comisia a redus</w:t>
      </w:r>
      <w:r w:rsidRPr="00703A2D">
        <w:rPr>
          <w:rStyle w:val="FootnoteReference"/>
        </w:rPr>
        <w:footnoteReference w:id="16"/>
      </w:r>
      <w:r w:rsidRPr="00703A2D">
        <w:t xml:space="preserve"> LMR-urile pentru două </w:t>
      </w:r>
      <w:proofErr w:type="spellStart"/>
      <w:r w:rsidRPr="00703A2D">
        <w:t>neonicotinoide</w:t>
      </w:r>
      <w:proofErr w:type="spellEnd"/>
      <w:r w:rsidRPr="00703A2D">
        <w:t xml:space="preserve"> care prezintă un risc ridicat pentru polenizatori la cel mai scăzut nivel care poate fi măsurat cu ajutorul celor mai recente tehnologii, propunere în temeiul căreia produsele importate nu mai pot conține reziduuri de </w:t>
      </w:r>
      <w:proofErr w:type="spellStart"/>
      <w:r w:rsidRPr="00703A2D">
        <w:t>clotianidin</w:t>
      </w:r>
      <w:proofErr w:type="spellEnd"/>
      <w:r w:rsidRPr="00703A2D">
        <w:t xml:space="preserve"> și </w:t>
      </w:r>
      <w:proofErr w:type="spellStart"/>
      <w:r w:rsidRPr="00703A2D">
        <w:t>tiametoxam</w:t>
      </w:r>
      <w:proofErr w:type="spellEnd"/>
      <w:r w:rsidRPr="00703A2D">
        <w:t xml:space="preserve">; </w:t>
      </w:r>
    </w:p>
    <w:p w:rsidR="00320AE1" w:rsidRPr="00703A2D" w:rsidRDefault="00320AE1" w:rsidP="00F31487">
      <w:pPr>
        <w:pStyle w:val="NormalHanging12a"/>
        <w:widowControl/>
      </w:pPr>
      <w:r w:rsidRPr="00703A2D">
        <w:t>S.</w:t>
      </w:r>
      <w:r w:rsidRPr="00703A2D">
        <w:tab/>
        <w:t xml:space="preserve">întrucât, în această privință, Comisia a argumentat că „ținând seama de toți factorii relevanți pentru subiectul în cauză în conformitate cu articolul 14 alineatul (2), citit în lumina articolului 11 din Tratatul privind funcționarea Uniunii Europene, care prevede că «  cerințele de protecție a mediului trebuie integrate în definirea și punerea în aplicare a politicilor și acțiunilor Uniunii, în special în vederea promovării dezvoltării durabile », </w:t>
      </w:r>
      <w:r w:rsidRPr="00703A2D">
        <w:lastRenderedPageBreak/>
        <w:t xml:space="preserve">toate LMR-urile actuale pentru </w:t>
      </w:r>
      <w:proofErr w:type="spellStart"/>
      <w:r w:rsidRPr="00703A2D">
        <w:t>clotianidin</w:t>
      </w:r>
      <w:proofErr w:type="spellEnd"/>
      <w:r w:rsidRPr="00703A2D">
        <w:t xml:space="preserve"> și/sau </w:t>
      </w:r>
      <w:proofErr w:type="spellStart"/>
      <w:r w:rsidRPr="00703A2D">
        <w:t>tiametoxam</w:t>
      </w:r>
      <w:proofErr w:type="spellEnd"/>
      <w:r w:rsidRPr="00703A2D">
        <w:t>, astfel cum sunt prevăzute în Regulamentul (CE) nr. 396/2005, trebuie reduse la limita de detecție (LOD)”</w:t>
      </w:r>
      <w:r w:rsidRPr="00703A2D">
        <w:rPr>
          <w:rStyle w:val="FootnoteReference"/>
        </w:rPr>
        <w:footnoteReference w:id="17"/>
      </w:r>
      <w:r w:rsidRPr="00703A2D">
        <w:t>;</w:t>
      </w:r>
    </w:p>
    <w:p w:rsidR="00320AE1" w:rsidRPr="00703A2D" w:rsidRDefault="00320AE1" w:rsidP="00F31487">
      <w:pPr>
        <w:pStyle w:val="NormalHanging12a"/>
        <w:widowControl/>
      </w:pPr>
      <w:r w:rsidRPr="00703A2D">
        <w:t>T.</w:t>
      </w:r>
      <w:r w:rsidRPr="00703A2D">
        <w:tab/>
        <w:t xml:space="preserve">întrucât, în cadrul Comitetului PAFF, care a avut loc în perioada 10-11 mai 2023, „Comisia a reamintit că </w:t>
      </w:r>
      <w:proofErr w:type="spellStart"/>
      <w:r w:rsidRPr="00703A2D">
        <w:t>tiaclopridul</w:t>
      </w:r>
      <w:proofErr w:type="spellEnd"/>
      <w:r w:rsidRPr="00703A2D">
        <w:t xml:space="preserve"> aparține grupului de substanțe active ale </w:t>
      </w:r>
      <w:proofErr w:type="spellStart"/>
      <w:r w:rsidRPr="00703A2D">
        <w:t>neonicotinoidelor</w:t>
      </w:r>
      <w:proofErr w:type="spellEnd"/>
      <w:r w:rsidRPr="00703A2D">
        <w:t xml:space="preserve"> [dar că] deoarece are proprietăți diferite de </w:t>
      </w:r>
      <w:proofErr w:type="spellStart"/>
      <w:r w:rsidRPr="00703A2D">
        <w:t>clotianidin</w:t>
      </w:r>
      <w:proofErr w:type="spellEnd"/>
      <w:r w:rsidRPr="00703A2D">
        <w:t xml:space="preserve"> și </w:t>
      </w:r>
      <w:proofErr w:type="spellStart"/>
      <w:r w:rsidRPr="00703A2D">
        <w:t>tiametoxam</w:t>
      </w:r>
      <w:proofErr w:type="spellEnd"/>
      <w:r w:rsidRPr="00703A2D">
        <w:t xml:space="preserve">, în prezent nu se preconizează să se urmeze aceeași abordare ca în cazul </w:t>
      </w:r>
      <w:proofErr w:type="spellStart"/>
      <w:r w:rsidRPr="00703A2D">
        <w:t>clotianidinului</w:t>
      </w:r>
      <w:proofErr w:type="spellEnd"/>
      <w:r w:rsidRPr="00703A2D">
        <w:t xml:space="preserve"> și al </w:t>
      </w:r>
      <w:proofErr w:type="spellStart"/>
      <w:r w:rsidRPr="00703A2D">
        <w:t>tiametoxamului</w:t>
      </w:r>
      <w:proofErr w:type="spellEnd"/>
      <w:r w:rsidRPr="00703A2D">
        <w:t xml:space="preserve"> care pune în aplicare Strategia „De la fermă la consumator” prin reducerea tuturor LMR-urilor la LOQ”</w:t>
      </w:r>
      <w:r w:rsidRPr="00703A2D">
        <w:rPr>
          <w:rStyle w:val="FootnoteReference"/>
        </w:rPr>
        <w:footnoteReference w:id="18"/>
      </w:r>
      <w:r w:rsidRPr="00703A2D">
        <w:t>;</w:t>
      </w:r>
    </w:p>
    <w:p w:rsidR="00320AE1" w:rsidRPr="00703A2D" w:rsidRDefault="00320AE1" w:rsidP="00F31487">
      <w:pPr>
        <w:pStyle w:val="NormalHanging12a"/>
        <w:widowControl/>
      </w:pPr>
      <w:r w:rsidRPr="00703A2D">
        <w:t>U.</w:t>
      </w:r>
      <w:r w:rsidRPr="00703A2D">
        <w:tab/>
        <w:t xml:space="preserve">întrucât faptul că </w:t>
      </w:r>
      <w:proofErr w:type="spellStart"/>
      <w:r w:rsidRPr="00703A2D">
        <w:t>tiaclopridul</w:t>
      </w:r>
      <w:proofErr w:type="spellEnd"/>
      <w:r w:rsidRPr="00703A2D">
        <w:t xml:space="preserve"> ar avea proprietăți diferite de cele ale altor </w:t>
      </w:r>
      <w:proofErr w:type="spellStart"/>
      <w:r w:rsidRPr="00703A2D">
        <w:t>neonicotinoide</w:t>
      </w:r>
      <w:proofErr w:type="spellEnd"/>
      <w:r w:rsidRPr="00703A2D">
        <w:t xml:space="preserve"> este contestat în literatura științifică, rezultatele arătând că „imaginea </w:t>
      </w:r>
      <w:proofErr w:type="spellStart"/>
      <w:r w:rsidRPr="00703A2D">
        <w:t>tiaclopridului</w:t>
      </w:r>
      <w:proofErr w:type="spellEnd"/>
      <w:r w:rsidRPr="00703A2D">
        <w:t xml:space="preserve"> ca </w:t>
      </w:r>
      <w:proofErr w:type="spellStart"/>
      <w:r w:rsidRPr="00703A2D">
        <w:t>neonicotinoid</w:t>
      </w:r>
      <w:proofErr w:type="spellEnd"/>
      <w:r w:rsidRPr="00703A2D">
        <w:t xml:space="preserve"> relativ benign ar trebui pusă acum sub semnul întrebării”</w:t>
      </w:r>
      <w:r w:rsidRPr="00703A2D">
        <w:rPr>
          <w:rStyle w:val="FootnoteReference"/>
        </w:rPr>
        <w:footnoteReference w:id="19"/>
      </w:r>
      <w:r w:rsidRPr="00703A2D">
        <w:t>;</w:t>
      </w:r>
    </w:p>
    <w:p w:rsidR="00320AE1" w:rsidRPr="00703A2D" w:rsidRDefault="00320AE1" w:rsidP="00F31487">
      <w:pPr>
        <w:pStyle w:val="NormalHanging12a"/>
        <w:widowControl/>
      </w:pPr>
      <w:r w:rsidRPr="00703A2D">
        <w:t>V.</w:t>
      </w:r>
      <w:r w:rsidRPr="00703A2D">
        <w:tab/>
        <w:t xml:space="preserve">întrucât, în special, s-a constatat că este mai probabil ca coloniile de bondari expuși la </w:t>
      </w:r>
      <w:proofErr w:type="spellStart"/>
      <w:r w:rsidRPr="00703A2D">
        <w:t>tiacloprid</w:t>
      </w:r>
      <w:proofErr w:type="spellEnd"/>
      <w:r w:rsidRPr="00703A2D">
        <w:t xml:space="preserve"> să moară prematur, iar cele care au supraviețuit să sufere de efecte </w:t>
      </w:r>
      <w:proofErr w:type="spellStart"/>
      <w:r w:rsidRPr="00703A2D">
        <w:t>subletale</w:t>
      </w:r>
      <w:proofErr w:type="spellEnd"/>
      <w:r w:rsidRPr="00703A2D">
        <w:rPr>
          <w:rStyle w:val="FootnoteReference"/>
        </w:rPr>
        <w:footnoteReference w:id="20"/>
      </w:r>
      <w:r w:rsidRPr="00703A2D">
        <w:t xml:space="preserve">; întrucât s-a constatat, de asemenea, că </w:t>
      </w:r>
      <w:proofErr w:type="spellStart"/>
      <w:r w:rsidRPr="00703A2D">
        <w:t>tiaclopridul</w:t>
      </w:r>
      <w:proofErr w:type="spellEnd"/>
      <w:r w:rsidRPr="00703A2D">
        <w:t xml:space="preserve"> afectează comportamentul și sistemul imunitar al albinelor melifere în mod similar ca </w:t>
      </w:r>
      <w:proofErr w:type="spellStart"/>
      <w:r w:rsidRPr="00703A2D">
        <w:t>imidaclopridul</w:t>
      </w:r>
      <w:proofErr w:type="spellEnd"/>
      <w:r w:rsidRPr="00703A2D">
        <w:t xml:space="preserve">, </w:t>
      </w:r>
      <w:proofErr w:type="spellStart"/>
      <w:r w:rsidRPr="00703A2D">
        <w:t>clotianidinul</w:t>
      </w:r>
      <w:proofErr w:type="spellEnd"/>
      <w:r w:rsidRPr="00703A2D">
        <w:t xml:space="preserve"> și </w:t>
      </w:r>
      <w:proofErr w:type="spellStart"/>
      <w:r w:rsidRPr="00703A2D">
        <w:t>tiametoxamul</w:t>
      </w:r>
      <w:proofErr w:type="spellEnd"/>
      <w:r w:rsidRPr="00703A2D">
        <w:rPr>
          <w:rStyle w:val="FootnoteReference"/>
        </w:rPr>
        <w:footnoteReference w:id="21"/>
      </w:r>
      <w:r w:rsidRPr="00703A2D">
        <w:rPr>
          <w:rStyle w:val="FootnoteReference"/>
        </w:rPr>
        <w:footnoteReference w:id="22"/>
      </w:r>
      <w:r w:rsidRPr="00703A2D">
        <w:t>;</w:t>
      </w:r>
    </w:p>
    <w:p w:rsidR="00320AE1" w:rsidRPr="00703A2D" w:rsidRDefault="00320AE1" w:rsidP="00F31487">
      <w:pPr>
        <w:pStyle w:val="NormalHanging12a"/>
        <w:widowControl/>
      </w:pPr>
      <w:r w:rsidRPr="00703A2D">
        <w:t>W.</w:t>
      </w:r>
      <w:r w:rsidRPr="00703A2D">
        <w:tab/>
        <w:t xml:space="preserve">întrucât există tot mai multe dovezi că folosirea </w:t>
      </w:r>
      <w:proofErr w:type="spellStart"/>
      <w:r w:rsidRPr="00703A2D">
        <w:t>tiaclopridului</w:t>
      </w:r>
      <w:proofErr w:type="spellEnd"/>
      <w:r w:rsidRPr="00703A2D">
        <w:t xml:space="preserve"> are un impact devastator asupra biodiversității și mai ales asupra albinelor și a altor polenizatori</w:t>
      </w:r>
      <w:r w:rsidRPr="00703A2D">
        <w:rPr>
          <w:rStyle w:val="FootnoteReference"/>
          <w:szCs w:val="24"/>
        </w:rPr>
        <w:footnoteReference w:id="23"/>
      </w:r>
      <w:r w:rsidRPr="00703A2D">
        <w:t>;</w:t>
      </w:r>
    </w:p>
    <w:p w:rsidR="00320AE1" w:rsidRPr="00703A2D" w:rsidRDefault="00320AE1" w:rsidP="00F31487">
      <w:pPr>
        <w:pStyle w:val="NormalHanging12a"/>
        <w:widowControl/>
      </w:pPr>
      <w:r w:rsidRPr="00703A2D">
        <w:lastRenderedPageBreak/>
        <w:t>X.</w:t>
      </w:r>
      <w:r w:rsidRPr="00703A2D">
        <w:tab/>
        <w:t xml:space="preserve">întrucât, în raportul său din 22 octombrie 2019 privind </w:t>
      </w:r>
      <w:proofErr w:type="spellStart"/>
      <w:r w:rsidRPr="00703A2D">
        <w:t>nereînnoirea</w:t>
      </w:r>
      <w:proofErr w:type="spellEnd"/>
      <w:r w:rsidRPr="00703A2D">
        <w:t xml:space="preserve"> aprobării</w:t>
      </w:r>
      <w:r w:rsidRPr="00703A2D">
        <w:rPr>
          <w:rStyle w:val="FootnoteReference"/>
        </w:rPr>
        <w:footnoteReference w:id="24"/>
      </w:r>
      <w:r w:rsidRPr="00703A2D">
        <w:t>, EFSA a concluzionat că „informațiile disponibile sunt insuficiente pentru a îndeplini cerințele prevăzute la articolul 4 alineatele (1)-(3) din Regulamentul (CE) nr. 1107/2009” și, în special, că „evaluarea riscurilor pentru albine nu a putut fi finalizată”;</w:t>
      </w:r>
    </w:p>
    <w:p w:rsidR="00320AE1" w:rsidRPr="00703A2D" w:rsidRDefault="00320AE1" w:rsidP="00F31487">
      <w:pPr>
        <w:pStyle w:val="NormalHanging12a"/>
        <w:widowControl/>
      </w:pPr>
      <w:r w:rsidRPr="00703A2D">
        <w:t>Y.</w:t>
      </w:r>
      <w:r w:rsidRPr="00703A2D">
        <w:tab/>
        <w:t xml:space="preserve">întrucât </w:t>
      </w:r>
      <w:proofErr w:type="spellStart"/>
      <w:r w:rsidRPr="00703A2D">
        <w:t>tiaclopridul</w:t>
      </w:r>
      <w:proofErr w:type="spellEnd"/>
      <w:r w:rsidRPr="00703A2D">
        <w:t xml:space="preserve"> ar trebui deci să facă obiectul acelorași raționamente și norme care se aplică </w:t>
      </w:r>
      <w:proofErr w:type="spellStart"/>
      <w:r w:rsidRPr="00703A2D">
        <w:t>clotianidinului</w:t>
      </w:r>
      <w:proofErr w:type="spellEnd"/>
      <w:r w:rsidRPr="00703A2D">
        <w:t xml:space="preserve"> și </w:t>
      </w:r>
      <w:proofErr w:type="spellStart"/>
      <w:r w:rsidRPr="00703A2D">
        <w:t>tiametoxamului</w:t>
      </w:r>
      <w:proofErr w:type="spellEnd"/>
      <w:r w:rsidRPr="00703A2D">
        <w:t>;</w:t>
      </w:r>
    </w:p>
    <w:p w:rsidR="00320AE1" w:rsidRPr="00703A2D" w:rsidRDefault="00320AE1" w:rsidP="00F31487">
      <w:pPr>
        <w:pStyle w:val="NormalHanging12a"/>
        <w:widowControl/>
      </w:pPr>
      <w:r w:rsidRPr="00703A2D">
        <w:t>Z.</w:t>
      </w:r>
      <w:r w:rsidRPr="00703A2D">
        <w:tab/>
        <w:t>întrucât Comisia trebuie să protejeze mediul și cetățenii Uniunii pe baza informațiilor științifice disponibile, făcând uz de obligațiile și posibilitățile legale prevăzute de regulamentele (CE) nr. 396/2005 și (CE) nr. 178/2002 pentru a asigura o bună protecție a sănătății umane și animale și a mediului;</w:t>
      </w:r>
    </w:p>
    <w:p w:rsidR="00320AE1" w:rsidRPr="00703A2D" w:rsidRDefault="00320AE1" w:rsidP="00F31487">
      <w:pPr>
        <w:pStyle w:val="NormalHanging12a"/>
        <w:widowControl/>
      </w:pPr>
      <w:r w:rsidRPr="00703A2D">
        <w:t>AA.</w:t>
      </w:r>
      <w:r w:rsidRPr="00703A2D">
        <w:tab/>
        <w:t>întrucât LMR-urile propuse nu protejează sănătatea cetățenilor din Uniune și nu asigură un nivel ridicat de protecție a albinelor și a altor polenizatori și, prin urmare, sunt contrare regulamentelor (CE) nr. 396/2005 și (CE) nr. 178/2002;</w:t>
      </w:r>
    </w:p>
    <w:p w:rsidR="00320AE1" w:rsidRPr="00703A2D" w:rsidRDefault="00320AE1" w:rsidP="00F31487">
      <w:pPr>
        <w:pStyle w:val="NormalHanging12a"/>
        <w:widowControl/>
      </w:pPr>
      <w:r w:rsidRPr="00703A2D">
        <w:t>AB.</w:t>
      </w:r>
      <w:r w:rsidRPr="00703A2D">
        <w:tab/>
        <w:t xml:space="preserve">întrucât LMR-urile ar trebui stabilite pentru substanțele active care nu sunt aprobate în Uniune din cauza unor probleme de sănătate; întrucât, prin urmare, nu ar trebui stabilite toleranțe la importuri pentru </w:t>
      </w:r>
      <w:proofErr w:type="spellStart"/>
      <w:r w:rsidRPr="00703A2D">
        <w:t>tiacloprid</w:t>
      </w:r>
      <w:proofErr w:type="spellEnd"/>
      <w:r w:rsidRPr="00703A2D">
        <w:t xml:space="preserve">, deoarece acesta este clasificat ca toxic pentru reproducere din categoria 1B; întrucât clasificarea </w:t>
      </w:r>
      <w:proofErr w:type="spellStart"/>
      <w:r w:rsidRPr="00703A2D">
        <w:t>tiaclopridului</w:t>
      </w:r>
      <w:proofErr w:type="spellEnd"/>
      <w:r w:rsidRPr="00703A2D">
        <w:t xml:space="preserve"> ca substanță toxică pentru reproducere din categoria 1B ar fi trebuit să constituie un motiv suficient pentru ca Comisia să refuze cererile de toleranțe la importuri, având în vedere riscurile pentru sănătatea cetățenilor din țările terțe, </w:t>
      </w:r>
    </w:p>
    <w:p w:rsidR="00320AE1" w:rsidRPr="00703A2D" w:rsidRDefault="00320AE1" w:rsidP="00F31487">
      <w:pPr>
        <w:pStyle w:val="NormalHanging12a"/>
        <w:widowControl/>
      </w:pPr>
      <w:r w:rsidRPr="00703A2D">
        <w:t>1.</w:t>
      </w:r>
      <w:r w:rsidRPr="00703A2D">
        <w:tab/>
        <w:t>se opune adoptării propunerii de regulament al Consiliului;</w:t>
      </w:r>
    </w:p>
    <w:p w:rsidR="00320AE1" w:rsidRPr="00703A2D" w:rsidRDefault="00320AE1" w:rsidP="00F31487">
      <w:pPr>
        <w:pStyle w:val="NormalHanging12a"/>
        <w:widowControl/>
      </w:pPr>
      <w:r w:rsidRPr="00703A2D">
        <w:t>2.</w:t>
      </w:r>
      <w:r w:rsidRPr="00703A2D">
        <w:tab/>
        <w:t>consideră că propunerea de regulament al Consiliului este incompatibilă cu scopul și conținutul Regulamentului (CE) nr. 396/2005 și ale Regulamentului (CE) nr. 178/2002, precum și cu ale Regulamentului (CE) nr. 1107/2009, inclusiv punctul 3.6.4 din anexa II la acesta;</w:t>
      </w:r>
    </w:p>
    <w:p w:rsidR="00320AE1" w:rsidRPr="00703A2D" w:rsidRDefault="00320AE1" w:rsidP="00F31487">
      <w:pPr>
        <w:pStyle w:val="NormalHanging12a"/>
        <w:widowControl/>
      </w:pPr>
      <w:r w:rsidRPr="00703A2D">
        <w:t>3.</w:t>
      </w:r>
      <w:r w:rsidRPr="00703A2D">
        <w:tab/>
        <w:t>solicită Comisiei să retragă propunerea de regulament;</w:t>
      </w:r>
    </w:p>
    <w:p w:rsidR="00320AE1" w:rsidRPr="00703A2D" w:rsidRDefault="00320AE1" w:rsidP="00F31487">
      <w:pPr>
        <w:pStyle w:val="NormalHanging12a"/>
        <w:widowControl/>
      </w:pPr>
      <w:r w:rsidRPr="00703A2D">
        <w:t>4.</w:t>
      </w:r>
      <w:r w:rsidRPr="00703A2D">
        <w:tab/>
        <w:t xml:space="preserve">invită Comisia să prezinte comisiei un nou proiect de reducere a tuturor LMR-urilor pentru </w:t>
      </w:r>
      <w:proofErr w:type="spellStart"/>
      <w:r w:rsidRPr="00703A2D">
        <w:t>tiacloprid</w:t>
      </w:r>
      <w:proofErr w:type="spellEnd"/>
      <w:r w:rsidRPr="00703A2D">
        <w:t xml:space="preserve"> la limita de detecție pentru toate utilizările și să refuze orice cerere de toleranță la importuri;</w:t>
      </w:r>
    </w:p>
    <w:p w:rsidR="00320AE1" w:rsidRPr="00703A2D" w:rsidRDefault="00320AE1" w:rsidP="00F31487">
      <w:pPr>
        <w:pStyle w:val="NormalHanging12a"/>
        <w:widowControl/>
      </w:pPr>
      <w:r w:rsidRPr="00703A2D">
        <w:t>5.</w:t>
      </w:r>
      <w:r w:rsidRPr="00703A2D">
        <w:tab/>
        <w:t>încredințează Președintei sarcina de a transmite prezenta rezoluție Consiliului și Comisiei, precum și guvernelor și parlamentelor statelor membre.</w:t>
      </w:r>
    </w:p>
    <w:p w:rsidR="00E365E1" w:rsidRPr="00703A2D" w:rsidRDefault="00E365E1" w:rsidP="00F31487">
      <w:pPr>
        <w:widowControl/>
        <w:spacing w:after="240"/>
        <w:ind w:left="567" w:hanging="567"/>
      </w:pPr>
      <w:bookmarkStart w:id="8" w:name="TextBodyEnd"/>
      <w:bookmarkEnd w:id="8"/>
    </w:p>
    <w:sectPr w:rsidR="00E365E1" w:rsidRPr="00703A2D" w:rsidSect="006653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4BD" w:rsidRPr="006653F9" w:rsidRDefault="003F04BD">
      <w:r w:rsidRPr="006653F9">
        <w:separator/>
      </w:r>
    </w:p>
  </w:endnote>
  <w:endnote w:type="continuationSeparator" w:id="0">
    <w:p w:rsidR="003F04BD" w:rsidRPr="006653F9" w:rsidRDefault="003F04BD">
      <w:r w:rsidRPr="00665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4BD" w:rsidRPr="006653F9" w:rsidRDefault="003F04BD">
      <w:r w:rsidRPr="006653F9">
        <w:separator/>
      </w:r>
    </w:p>
  </w:footnote>
  <w:footnote w:type="continuationSeparator" w:id="0">
    <w:p w:rsidR="003F04BD" w:rsidRPr="006653F9" w:rsidRDefault="003F04BD">
      <w:r w:rsidRPr="006653F9">
        <w:continuationSeparator/>
      </w:r>
    </w:p>
  </w:footnote>
  <w:footnote w:id="1">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JO L 70, 16.3.2005, p. 1.</w:t>
      </w:r>
    </w:p>
  </w:footnote>
  <w:footnote w:id="2">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JO L 309, 24.11.2009, p. 1.</w:t>
      </w:r>
    </w:p>
  </w:footnote>
  <w:footnote w:id="3">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JO L 31, 1.2.2002, p. 1.</w:t>
      </w:r>
    </w:p>
  </w:footnote>
  <w:footnote w:id="4">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Declarația EFSA privind evaluarea riscului alimentar pe termen scurt (acut) și evaluarea datelor de confirmare în cazul anumitor limite maxime pentru reziduurile (LMR-uri) de </w:t>
      </w:r>
      <w:proofErr w:type="spellStart"/>
      <w:r w:rsidRPr="006653F9">
        <w:rPr>
          <w:sz w:val="24"/>
          <w:lang w:val="ro-RO"/>
        </w:rPr>
        <w:t>tiacloprid</w:t>
      </w:r>
      <w:proofErr w:type="spellEnd"/>
      <w:r w:rsidRPr="006653F9">
        <w:rPr>
          <w:sz w:val="24"/>
          <w:lang w:val="ro-RO"/>
        </w:rPr>
        <w:t xml:space="preserve">, EFSA Journal 2023;21(3):7888, </w:t>
      </w:r>
      <w:r w:rsidR="00E44778">
        <w:fldChar w:fldCharType="begin"/>
      </w:r>
      <w:r w:rsidR="00E44778" w:rsidRPr="00E44778">
        <w:rPr>
          <w:lang w:val="ro-RO"/>
        </w:rPr>
        <w:instrText xml:space="preserve"> HYPERLINK "https://doi.org/10.2903/j.efsa.2023.7888" </w:instrText>
      </w:r>
      <w:r w:rsidR="00E44778">
        <w:fldChar w:fldCharType="separate"/>
      </w:r>
      <w:r w:rsidRPr="006653F9">
        <w:rPr>
          <w:rStyle w:val="Hyperlink"/>
          <w:sz w:val="24"/>
          <w:lang w:val="ro-RO"/>
        </w:rPr>
        <w:t>https://doi.org/10.2903/j.efsa.2023.7888</w:t>
      </w:r>
      <w:r w:rsidR="00E44778">
        <w:rPr>
          <w:rStyle w:val="Hyperlink"/>
          <w:sz w:val="24"/>
          <w:lang w:val="ro-RO"/>
        </w:rPr>
        <w:fldChar w:fldCharType="end"/>
      </w:r>
      <w:r w:rsidRPr="006653F9">
        <w:rPr>
          <w:sz w:val="24"/>
          <w:lang w:val="ro-RO"/>
        </w:rPr>
        <w:t>.</w:t>
      </w:r>
    </w:p>
  </w:footnote>
  <w:footnote w:id="5">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Concluzia EFSA cu privire la examinarea inter </w:t>
      </w:r>
      <w:proofErr w:type="spellStart"/>
      <w:r w:rsidRPr="006653F9">
        <w:rPr>
          <w:sz w:val="24"/>
          <w:lang w:val="ro-RO"/>
        </w:rPr>
        <w:t>pares</w:t>
      </w:r>
      <w:proofErr w:type="spellEnd"/>
      <w:r w:rsidRPr="006653F9">
        <w:rPr>
          <w:sz w:val="24"/>
          <w:lang w:val="ro-RO"/>
        </w:rPr>
        <w:t xml:space="preserve"> a riscului utilizării ca pesticid a substanței active </w:t>
      </w:r>
      <w:proofErr w:type="spellStart"/>
      <w:r w:rsidRPr="006653F9">
        <w:rPr>
          <w:sz w:val="24"/>
          <w:lang w:val="ro-RO"/>
        </w:rPr>
        <w:t>tiacloprid</w:t>
      </w:r>
      <w:proofErr w:type="spellEnd"/>
      <w:r w:rsidRPr="006653F9">
        <w:rPr>
          <w:sz w:val="24"/>
          <w:lang w:val="ro-RO"/>
        </w:rPr>
        <w:t xml:space="preserve">, EFSA Journal 2019;17(3):5595, </w:t>
      </w:r>
      <w:r w:rsidR="00E44778">
        <w:fldChar w:fldCharType="begin"/>
      </w:r>
      <w:r w:rsidR="00E44778" w:rsidRPr="00E44778">
        <w:rPr>
          <w:lang w:val="ro-RO"/>
        </w:rPr>
        <w:instrText xml:space="preserve"> HYPERLINK "https://doi.org/10.2903/j.efsa.2019.5595" </w:instrText>
      </w:r>
      <w:r w:rsidR="00E44778">
        <w:fldChar w:fldCharType="separate"/>
      </w:r>
      <w:r w:rsidRPr="006653F9">
        <w:rPr>
          <w:rStyle w:val="Hyperlink"/>
          <w:sz w:val="24"/>
          <w:lang w:val="ro-RO"/>
        </w:rPr>
        <w:t>https://doi.org/10.2903/j.efsa.2019.5595</w:t>
      </w:r>
      <w:r w:rsidR="00E44778">
        <w:rPr>
          <w:rStyle w:val="Hyperlink"/>
          <w:sz w:val="24"/>
          <w:lang w:val="ro-RO"/>
        </w:rPr>
        <w:fldChar w:fldCharType="end"/>
      </w:r>
      <w:r w:rsidRPr="006653F9">
        <w:rPr>
          <w:sz w:val="24"/>
          <w:lang w:val="ro-RO"/>
        </w:rPr>
        <w:t>.</w:t>
      </w:r>
    </w:p>
  </w:footnote>
  <w:footnote w:id="6">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Avizul CER privind propunerea clasificării și etichetării armonizate la nivelul UE a </w:t>
      </w:r>
      <w:proofErr w:type="spellStart"/>
      <w:r w:rsidRPr="006653F9">
        <w:rPr>
          <w:sz w:val="24"/>
          <w:lang w:val="ro-RO"/>
        </w:rPr>
        <w:t>tiaclopridului</w:t>
      </w:r>
      <w:proofErr w:type="spellEnd"/>
      <w:r w:rsidRPr="006653F9">
        <w:rPr>
          <w:sz w:val="24"/>
          <w:lang w:val="ro-RO"/>
        </w:rPr>
        <w:t xml:space="preserve"> (ISO); {(2Z)-3-[(6-cloropiridină-3-yl)metil]-1,3-tiazolidină-2-ilidenă}cianamidă, </w:t>
      </w:r>
      <w:r w:rsidR="00E44778">
        <w:fldChar w:fldCharType="begin"/>
      </w:r>
      <w:r w:rsidR="00E44778" w:rsidRPr="00E44778">
        <w:rPr>
          <w:lang w:val="ro-RO"/>
        </w:rPr>
        <w:instrText xml:space="preserve"> HYPERLINK "https://echa.europa.eu/registry-of-clh-intentions-until-outcome/-/dislist/details/0b0236e180638ff8" </w:instrText>
      </w:r>
      <w:r w:rsidR="00E44778">
        <w:fldChar w:fldCharType="separate"/>
      </w:r>
      <w:r w:rsidRPr="006653F9">
        <w:rPr>
          <w:rStyle w:val="Hyperlink"/>
          <w:sz w:val="24"/>
          <w:lang w:val="ro-RO"/>
        </w:rPr>
        <w:t>https://echa.europa.eu/registry-of-clh-intentions-until-outcome/-/dislist/details/0b0236e180638ff8</w:t>
      </w:r>
      <w:r w:rsidR="00E44778">
        <w:rPr>
          <w:rStyle w:val="Hyperlink"/>
          <w:sz w:val="24"/>
          <w:lang w:val="ro-RO"/>
        </w:rPr>
        <w:fldChar w:fldCharType="end"/>
      </w:r>
      <w:r w:rsidRPr="006653F9">
        <w:rPr>
          <w:sz w:val="24"/>
          <w:lang w:val="ro-RO"/>
        </w:rPr>
        <w:t>.</w:t>
      </w:r>
    </w:p>
  </w:footnote>
  <w:footnote w:id="7">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JO L 184, 17.7.1999, p. 23.</w:t>
      </w:r>
    </w:p>
  </w:footnote>
  <w:footnote w:id="8">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Regulamentul de punere în aplicare (UE) 2020/23 al Comisiei din 13 ianuarie 2020 privind </w:t>
      </w:r>
      <w:proofErr w:type="spellStart"/>
      <w:r w:rsidRPr="006653F9">
        <w:rPr>
          <w:sz w:val="24"/>
          <w:lang w:val="ro-RO"/>
        </w:rPr>
        <w:t>nereînnoirea</w:t>
      </w:r>
      <w:proofErr w:type="spellEnd"/>
      <w:r w:rsidRPr="006653F9">
        <w:rPr>
          <w:sz w:val="24"/>
          <w:lang w:val="ro-RO"/>
        </w:rPr>
        <w:t xml:space="preserve"> aprobării substanței active </w:t>
      </w:r>
      <w:proofErr w:type="spellStart"/>
      <w:r w:rsidRPr="006653F9">
        <w:rPr>
          <w:sz w:val="24"/>
          <w:lang w:val="ro-RO"/>
        </w:rPr>
        <w:t>tiacloprid</w:t>
      </w:r>
      <w:proofErr w:type="spellEnd"/>
      <w:r w:rsidRPr="006653F9">
        <w:rPr>
          <w:sz w:val="24"/>
          <w:lang w:val="ro-RO"/>
        </w:rPr>
        <w:t>, în conformitate cu Regulamentul (CE) nr. 1107/2009 al Parlamentului European și al Consiliului privind introducerea pe piață a produselor fitosanitare, și de modificare a anexei la Regulamentul de punere în aplicare (UE) nr. 540/2011 al Comisiei (JO L 8, 14.1.2020, p. 8).</w:t>
      </w:r>
    </w:p>
  </w:footnote>
  <w:footnote w:id="9">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Concluzia EFSA din 17 ianuarie 2019.</w:t>
      </w:r>
    </w:p>
  </w:footnote>
  <w:footnote w:id="10">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1">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Raport de sinteză al reuniunii Comitetului PAFF din 18-19 septembrie 2023, </w:t>
      </w:r>
      <w:r w:rsidR="00E44778">
        <w:fldChar w:fldCharType="begin"/>
      </w:r>
      <w:r w:rsidR="00E44778" w:rsidRPr="00E44778">
        <w:rPr>
          <w:lang w:val="ro-RO"/>
        </w:rPr>
        <w:instrText xml:space="preserve"> HYPERLINK "https://ec.europa.eu/transparency/comitology-register/screen/documents/092</w:instrText>
      </w:r>
      <w:r w:rsidR="00E44778" w:rsidRPr="00E44778">
        <w:rPr>
          <w:lang w:val="ro-RO"/>
        </w:rPr>
        <w:instrText xml:space="preserve">486/1/consult?lang=ro" </w:instrText>
      </w:r>
      <w:r w:rsidR="00E44778">
        <w:fldChar w:fldCharType="separate"/>
      </w:r>
      <w:r w:rsidRPr="006653F9">
        <w:rPr>
          <w:rStyle w:val="Hyperlink"/>
          <w:sz w:val="24"/>
          <w:lang w:val="ro-RO"/>
        </w:rPr>
        <w:t>https://ec.europa.eu/transparency/comitology-register/screen/documents/092486/1/consult?lang=ro</w:t>
      </w:r>
      <w:r w:rsidR="00E44778">
        <w:rPr>
          <w:rStyle w:val="Hyperlink"/>
          <w:sz w:val="24"/>
          <w:lang w:val="ro-RO"/>
        </w:rPr>
        <w:fldChar w:fldCharType="end"/>
      </w:r>
      <w:r w:rsidRPr="006653F9">
        <w:rPr>
          <w:sz w:val="24"/>
          <w:lang w:val="ro-RO"/>
        </w:rPr>
        <w:t>.</w:t>
      </w:r>
    </w:p>
  </w:footnote>
  <w:footnote w:id="12">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Ibidem.</w:t>
      </w:r>
    </w:p>
  </w:footnote>
  <w:footnote w:id="13">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Avizul motivat al EFSA din 9 februarie 2023.</w:t>
      </w:r>
    </w:p>
  </w:footnote>
  <w:footnote w:id="14">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Van </w:t>
      </w:r>
      <w:proofErr w:type="spellStart"/>
      <w:r w:rsidRPr="006653F9">
        <w:rPr>
          <w:sz w:val="24"/>
          <w:lang w:val="ro-RO"/>
        </w:rPr>
        <w:t>der</w:t>
      </w:r>
      <w:proofErr w:type="spellEnd"/>
      <w:r w:rsidRPr="006653F9">
        <w:rPr>
          <w:sz w:val="24"/>
          <w:lang w:val="ro-RO"/>
        </w:rPr>
        <w:t xml:space="preserve"> </w:t>
      </w:r>
      <w:proofErr w:type="spellStart"/>
      <w:r w:rsidRPr="006653F9">
        <w:rPr>
          <w:sz w:val="24"/>
          <w:lang w:val="ro-RO"/>
        </w:rPr>
        <w:t>Sluijs</w:t>
      </w:r>
      <w:proofErr w:type="spellEnd"/>
      <w:r w:rsidRPr="006653F9">
        <w:rPr>
          <w:sz w:val="24"/>
          <w:lang w:val="ro-RO"/>
        </w:rPr>
        <w:t xml:space="preserve">, J.P., </w:t>
      </w:r>
      <w:proofErr w:type="spellStart"/>
      <w:r w:rsidRPr="006653F9">
        <w:rPr>
          <w:sz w:val="24"/>
          <w:lang w:val="ro-RO"/>
        </w:rPr>
        <w:t>Vaage</w:t>
      </w:r>
      <w:proofErr w:type="spellEnd"/>
      <w:r w:rsidRPr="006653F9">
        <w:rPr>
          <w:sz w:val="24"/>
          <w:lang w:val="ro-RO"/>
        </w:rPr>
        <w:t>, N.S., „</w:t>
      </w:r>
      <w:proofErr w:type="spellStart"/>
      <w:r w:rsidRPr="006653F9">
        <w:rPr>
          <w:sz w:val="24"/>
          <w:lang w:val="ro-RO"/>
        </w:rPr>
        <w:t>Pollinators</w:t>
      </w:r>
      <w:proofErr w:type="spellEnd"/>
      <w:r w:rsidRPr="006653F9">
        <w:rPr>
          <w:sz w:val="24"/>
          <w:lang w:val="ro-RO"/>
        </w:rPr>
        <w:t xml:space="preserve"> and Global </w:t>
      </w:r>
      <w:proofErr w:type="spellStart"/>
      <w:r w:rsidRPr="006653F9">
        <w:rPr>
          <w:sz w:val="24"/>
          <w:lang w:val="ro-RO"/>
        </w:rPr>
        <w:t>Food</w:t>
      </w:r>
      <w:proofErr w:type="spellEnd"/>
      <w:r w:rsidRPr="006653F9">
        <w:rPr>
          <w:sz w:val="24"/>
          <w:lang w:val="ro-RO"/>
        </w:rPr>
        <w:t xml:space="preserve"> </w:t>
      </w:r>
      <w:proofErr w:type="spellStart"/>
      <w:r w:rsidRPr="006653F9">
        <w:rPr>
          <w:sz w:val="24"/>
          <w:lang w:val="ro-RO"/>
        </w:rPr>
        <w:t>Security</w:t>
      </w:r>
      <w:proofErr w:type="spellEnd"/>
      <w:r w:rsidRPr="006653F9">
        <w:rPr>
          <w:sz w:val="24"/>
          <w:lang w:val="ro-RO"/>
        </w:rPr>
        <w:t xml:space="preserve">: </w:t>
      </w:r>
      <w:proofErr w:type="spellStart"/>
      <w:r w:rsidRPr="006653F9">
        <w:rPr>
          <w:sz w:val="24"/>
          <w:lang w:val="ro-RO"/>
        </w:rPr>
        <w:t>the</w:t>
      </w:r>
      <w:proofErr w:type="spellEnd"/>
      <w:r w:rsidRPr="006653F9">
        <w:rPr>
          <w:sz w:val="24"/>
          <w:lang w:val="ro-RO"/>
        </w:rPr>
        <w:t xml:space="preserve"> </w:t>
      </w:r>
      <w:proofErr w:type="spellStart"/>
      <w:r w:rsidRPr="006653F9">
        <w:rPr>
          <w:sz w:val="24"/>
          <w:lang w:val="ro-RO"/>
        </w:rPr>
        <w:t>Need</w:t>
      </w:r>
      <w:proofErr w:type="spellEnd"/>
      <w:r w:rsidRPr="006653F9">
        <w:rPr>
          <w:sz w:val="24"/>
          <w:lang w:val="ro-RO"/>
        </w:rPr>
        <w:t xml:space="preserve"> for </w:t>
      </w:r>
      <w:proofErr w:type="spellStart"/>
      <w:r w:rsidRPr="006653F9">
        <w:rPr>
          <w:sz w:val="24"/>
          <w:lang w:val="ro-RO"/>
        </w:rPr>
        <w:t>Holistic</w:t>
      </w:r>
      <w:proofErr w:type="spellEnd"/>
      <w:r w:rsidRPr="006653F9">
        <w:rPr>
          <w:sz w:val="24"/>
          <w:lang w:val="ro-RO"/>
        </w:rPr>
        <w:t xml:space="preserve"> Global </w:t>
      </w:r>
      <w:proofErr w:type="spellStart"/>
      <w:r w:rsidRPr="006653F9">
        <w:rPr>
          <w:sz w:val="24"/>
          <w:lang w:val="ro-RO"/>
        </w:rPr>
        <w:t>Stewardship</w:t>
      </w:r>
      <w:proofErr w:type="spellEnd"/>
      <w:r w:rsidRPr="006653F9">
        <w:rPr>
          <w:sz w:val="24"/>
          <w:lang w:val="ro-RO"/>
        </w:rPr>
        <w:t xml:space="preserve">” (Polenizatorii și securitatea alimentară mondială: este nevoie de o administrare generală la nivel mondial), </w:t>
      </w:r>
      <w:proofErr w:type="spellStart"/>
      <w:r w:rsidRPr="006653F9">
        <w:rPr>
          <w:sz w:val="24"/>
          <w:lang w:val="ro-RO"/>
        </w:rPr>
        <w:t>Food</w:t>
      </w:r>
      <w:proofErr w:type="spellEnd"/>
      <w:r w:rsidRPr="006653F9">
        <w:rPr>
          <w:sz w:val="24"/>
          <w:lang w:val="ro-RO"/>
        </w:rPr>
        <w:t xml:space="preserve"> </w:t>
      </w:r>
      <w:proofErr w:type="spellStart"/>
      <w:r w:rsidRPr="006653F9">
        <w:rPr>
          <w:sz w:val="24"/>
          <w:lang w:val="ro-RO"/>
        </w:rPr>
        <w:t>Ethics</w:t>
      </w:r>
      <w:proofErr w:type="spellEnd"/>
      <w:r w:rsidRPr="006653F9">
        <w:rPr>
          <w:sz w:val="24"/>
          <w:lang w:val="ro-RO"/>
        </w:rPr>
        <w:t xml:space="preserve"> 1, 75-91 (2016), </w:t>
      </w:r>
      <w:r w:rsidR="00E44778">
        <w:fldChar w:fldCharType="begin"/>
      </w:r>
      <w:r w:rsidR="00E44778" w:rsidRPr="00E44778">
        <w:rPr>
          <w:lang w:val="ro-RO"/>
        </w:rPr>
        <w:instrText xml:space="preserve"> HYPERLINK "https://doi.org/10.1007/s41055-016-0003-z" </w:instrText>
      </w:r>
      <w:r w:rsidR="00E44778">
        <w:fldChar w:fldCharType="separate"/>
      </w:r>
      <w:r w:rsidRPr="006653F9">
        <w:rPr>
          <w:rStyle w:val="Hyperlink"/>
          <w:sz w:val="24"/>
          <w:lang w:val="ro-RO"/>
        </w:rPr>
        <w:t>https://doi.org/10.1007/s41055-016-0003-z</w:t>
      </w:r>
      <w:r w:rsidR="00E44778">
        <w:rPr>
          <w:rStyle w:val="Hyperlink"/>
          <w:sz w:val="24"/>
          <w:lang w:val="ro-RO"/>
        </w:rPr>
        <w:fldChar w:fldCharType="end"/>
      </w:r>
      <w:r w:rsidRPr="006653F9">
        <w:rPr>
          <w:sz w:val="24"/>
          <w:lang w:val="ro-RO"/>
        </w:rPr>
        <w:t>.</w:t>
      </w:r>
    </w:p>
  </w:footnote>
  <w:footnote w:id="15">
    <w:p w:rsidR="00320AE1" w:rsidRPr="006653F9" w:rsidRDefault="00320AE1" w:rsidP="006653F9">
      <w:pPr>
        <w:pStyle w:val="FootnoteText"/>
        <w:ind w:left="567" w:hanging="567"/>
        <w:rPr>
          <w:iCs/>
          <w:sz w:val="24"/>
          <w:szCs w:val="22"/>
          <w:lang w:val="ro-RO"/>
        </w:rPr>
      </w:pPr>
      <w:r w:rsidRPr="006653F9">
        <w:rPr>
          <w:iCs/>
          <w:sz w:val="24"/>
          <w:szCs w:val="22"/>
          <w:vertAlign w:val="superscript"/>
          <w:lang w:val="ro-RO"/>
        </w:rPr>
        <w:footnoteRef/>
      </w:r>
      <w:r w:rsidR="006653F9" w:rsidRPr="006653F9">
        <w:rPr>
          <w:sz w:val="24"/>
          <w:lang w:val="ro-RO"/>
        </w:rPr>
        <w:t xml:space="preserve"> </w:t>
      </w:r>
      <w:r w:rsidR="006653F9" w:rsidRPr="006653F9">
        <w:rPr>
          <w:sz w:val="24"/>
          <w:lang w:val="ro-RO"/>
        </w:rPr>
        <w:tab/>
      </w:r>
      <w:r w:rsidRPr="006653F9">
        <w:rPr>
          <w:sz w:val="24"/>
          <w:lang w:val="ro-RO"/>
        </w:rPr>
        <w:t>COM(2020)0381.</w:t>
      </w:r>
    </w:p>
  </w:footnote>
  <w:footnote w:id="16">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Regulamentul (UE) 2023/334 al Comisiei din 2 februarie 2023 de modificare a anexei II și V la Regulamentul (CE) nr. 396/2005 al Parlamentului European și al Consiliului în ceea ce privește limitele maxime de reziduuri pentru </w:t>
      </w:r>
      <w:proofErr w:type="spellStart"/>
      <w:r w:rsidRPr="006653F9">
        <w:rPr>
          <w:sz w:val="24"/>
          <w:lang w:val="ro-RO"/>
        </w:rPr>
        <w:t>clotianidin</w:t>
      </w:r>
      <w:proofErr w:type="spellEnd"/>
      <w:r w:rsidRPr="006653F9">
        <w:rPr>
          <w:sz w:val="24"/>
          <w:lang w:val="ro-RO"/>
        </w:rPr>
        <w:t xml:space="preserve"> și </w:t>
      </w:r>
      <w:proofErr w:type="spellStart"/>
      <w:r w:rsidRPr="006653F9">
        <w:rPr>
          <w:sz w:val="24"/>
          <w:lang w:val="ro-RO"/>
        </w:rPr>
        <w:t>tiametoxam</w:t>
      </w:r>
      <w:proofErr w:type="spellEnd"/>
      <w:r w:rsidRPr="006653F9">
        <w:rPr>
          <w:sz w:val="24"/>
          <w:lang w:val="ro-RO"/>
        </w:rPr>
        <w:t xml:space="preserve"> din sau de pe anumite produse (JO L 47, 15.2.2023, p. 29).</w:t>
      </w:r>
    </w:p>
  </w:footnote>
  <w:footnote w:id="17">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Ibidem.</w:t>
      </w:r>
    </w:p>
  </w:footnote>
  <w:footnote w:id="18">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Raport de sinteză al reuniunii Comitetului PAFF din 10-11 mai 2023, </w:t>
      </w:r>
      <w:r w:rsidR="00E44778">
        <w:fldChar w:fldCharType="begin"/>
      </w:r>
      <w:r w:rsidR="00E44778" w:rsidRPr="00E44778">
        <w:rPr>
          <w:lang w:val="ro-RO"/>
        </w:rPr>
        <w:instrText xml:space="preserve"> HYPERLINK "https://ec.europa.eu/transparency/comitology-register/scre</w:instrText>
      </w:r>
      <w:r w:rsidR="00E44778" w:rsidRPr="00E44778">
        <w:rPr>
          <w:lang w:val="ro-RO"/>
        </w:rPr>
        <w:instrText xml:space="preserve">en/documents/090500/1/consult?lang=ro" </w:instrText>
      </w:r>
      <w:r w:rsidR="00E44778">
        <w:fldChar w:fldCharType="separate"/>
      </w:r>
      <w:r w:rsidRPr="006653F9">
        <w:rPr>
          <w:rStyle w:val="Hyperlink"/>
          <w:sz w:val="24"/>
          <w:lang w:val="ro-RO"/>
        </w:rPr>
        <w:t>https://ec.europa.eu/transparency/comitology-register/screen/documents/090500/1/consult?lang=ro</w:t>
      </w:r>
      <w:r w:rsidR="00E44778">
        <w:rPr>
          <w:rStyle w:val="Hyperlink"/>
          <w:sz w:val="24"/>
          <w:lang w:val="ro-RO"/>
        </w:rPr>
        <w:fldChar w:fldCharType="end"/>
      </w:r>
      <w:r w:rsidRPr="006653F9">
        <w:rPr>
          <w:sz w:val="24"/>
          <w:lang w:val="ro-RO"/>
        </w:rPr>
        <w:t>.</w:t>
      </w:r>
    </w:p>
  </w:footnote>
  <w:footnote w:id="19">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proofErr w:type="spellStart"/>
      <w:r w:rsidRPr="006653F9">
        <w:rPr>
          <w:sz w:val="24"/>
          <w:lang w:val="ro-RO"/>
        </w:rPr>
        <w:t>Ellis</w:t>
      </w:r>
      <w:proofErr w:type="spellEnd"/>
      <w:r w:rsidRPr="006653F9">
        <w:rPr>
          <w:sz w:val="24"/>
          <w:lang w:val="ro-RO"/>
        </w:rPr>
        <w:t xml:space="preserve">, C., Park, K.J., </w:t>
      </w:r>
      <w:proofErr w:type="spellStart"/>
      <w:r w:rsidRPr="006653F9">
        <w:rPr>
          <w:sz w:val="24"/>
          <w:lang w:val="ro-RO"/>
        </w:rPr>
        <w:t>Whitehorn</w:t>
      </w:r>
      <w:proofErr w:type="spellEnd"/>
      <w:r w:rsidRPr="006653F9">
        <w:rPr>
          <w:sz w:val="24"/>
          <w:lang w:val="ro-RO"/>
        </w:rPr>
        <w:t xml:space="preserve">, P., David, A., </w:t>
      </w:r>
      <w:proofErr w:type="spellStart"/>
      <w:r w:rsidRPr="006653F9">
        <w:rPr>
          <w:sz w:val="24"/>
          <w:lang w:val="ro-RO"/>
        </w:rPr>
        <w:t>Goulson</w:t>
      </w:r>
      <w:proofErr w:type="spellEnd"/>
      <w:r w:rsidRPr="006653F9">
        <w:rPr>
          <w:sz w:val="24"/>
          <w:lang w:val="ro-RO"/>
        </w:rPr>
        <w:t xml:space="preserve">, D., „The </w:t>
      </w:r>
      <w:proofErr w:type="spellStart"/>
      <w:r w:rsidRPr="006653F9">
        <w:rPr>
          <w:sz w:val="24"/>
          <w:lang w:val="ro-RO"/>
        </w:rPr>
        <w:t>Neonicotinoid</w:t>
      </w:r>
      <w:proofErr w:type="spellEnd"/>
      <w:r w:rsidRPr="006653F9">
        <w:rPr>
          <w:sz w:val="24"/>
          <w:lang w:val="ro-RO"/>
        </w:rPr>
        <w:t xml:space="preserve"> Insecticide </w:t>
      </w:r>
      <w:proofErr w:type="spellStart"/>
      <w:r w:rsidRPr="006653F9">
        <w:rPr>
          <w:sz w:val="24"/>
          <w:lang w:val="ro-RO"/>
        </w:rPr>
        <w:t>Thiacloprid</w:t>
      </w:r>
      <w:proofErr w:type="spellEnd"/>
      <w:r w:rsidRPr="006653F9">
        <w:rPr>
          <w:sz w:val="24"/>
          <w:lang w:val="ro-RO"/>
        </w:rPr>
        <w:t xml:space="preserve"> </w:t>
      </w:r>
      <w:proofErr w:type="spellStart"/>
      <w:r w:rsidRPr="006653F9">
        <w:rPr>
          <w:sz w:val="24"/>
          <w:lang w:val="ro-RO"/>
        </w:rPr>
        <w:t>Impacts</w:t>
      </w:r>
      <w:proofErr w:type="spellEnd"/>
      <w:r w:rsidRPr="006653F9">
        <w:rPr>
          <w:sz w:val="24"/>
          <w:lang w:val="ro-RO"/>
        </w:rPr>
        <w:t xml:space="preserve"> on </w:t>
      </w:r>
      <w:proofErr w:type="spellStart"/>
      <w:r w:rsidRPr="006653F9">
        <w:rPr>
          <w:sz w:val="24"/>
          <w:lang w:val="ro-RO"/>
        </w:rPr>
        <w:t>Bumblebee</w:t>
      </w:r>
      <w:proofErr w:type="spellEnd"/>
      <w:r w:rsidRPr="006653F9">
        <w:rPr>
          <w:sz w:val="24"/>
          <w:lang w:val="ro-RO"/>
        </w:rPr>
        <w:t xml:space="preserve"> </w:t>
      </w:r>
      <w:proofErr w:type="spellStart"/>
      <w:r w:rsidRPr="006653F9">
        <w:rPr>
          <w:sz w:val="24"/>
          <w:lang w:val="ro-RO"/>
        </w:rPr>
        <w:t>Colony</w:t>
      </w:r>
      <w:proofErr w:type="spellEnd"/>
      <w:r w:rsidRPr="006653F9">
        <w:rPr>
          <w:sz w:val="24"/>
          <w:lang w:val="ro-RO"/>
        </w:rPr>
        <w:t xml:space="preserve"> </w:t>
      </w:r>
      <w:proofErr w:type="spellStart"/>
      <w:r w:rsidRPr="006653F9">
        <w:rPr>
          <w:sz w:val="24"/>
          <w:lang w:val="ro-RO"/>
        </w:rPr>
        <w:t>Development</w:t>
      </w:r>
      <w:proofErr w:type="spellEnd"/>
      <w:r w:rsidRPr="006653F9">
        <w:rPr>
          <w:sz w:val="24"/>
          <w:lang w:val="ro-RO"/>
        </w:rPr>
        <w:t xml:space="preserve"> </w:t>
      </w:r>
      <w:proofErr w:type="spellStart"/>
      <w:r w:rsidRPr="006653F9">
        <w:rPr>
          <w:sz w:val="24"/>
          <w:lang w:val="ro-RO"/>
        </w:rPr>
        <w:t>under</w:t>
      </w:r>
      <w:proofErr w:type="spellEnd"/>
      <w:r w:rsidRPr="006653F9">
        <w:rPr>
          <w:sz w:val="24"/>
          <w:lang w:val="ro-RO"/>
        </w:rPr>
        <w:t xml:space="preserve"> </w:t>
      </w:r>
      <w:proofErr w:type="spellStart"/>
      <w:r w:rsidRPr="006653F9">
        <w:rPr>
          <w:sz w:val="24"/>
          <w:lang w:val="ro-RO"/>
        </w:rPr>
        <w:t>Field</w:t>
      </w:r>
      <w:proofErr w:type="spellEnd"/>
      <w:r w:rsidRPr="006653F9">
        <w:rPr>
          <w:sz w:val="24"/>
          <w:lang w:val="ro-RO"/>
        </w:rPr>
        <w:t xml:space="preserve"> </w:t>
      </w:r>
      <w:proofErr w:type="spellStart"/>
      <w:r w:rsidRPr="006653F9">
        <w:rPr>
          <w:sz w:val="24"/>
          <w:lang w:val="ro-RO"/>
        </w:rPr>
        <w:t>Conditions</w:t>
      </w:r>
      <w:proofErr w:type="spellEnd"/>
      <w:r w:rsidRPr="006653F9">
        <w:rPr>
          <w:sz w:val="24"/>
          <w:lang w:val="ro-RO"/>
        </w:rPr>
        <w:t xml:space="preserve">” (Insecticidul </w:t>
      </w:r>
      <w:proofErr w:type="spellStart"/>
      <w:r w:rsidRPr="006653F9">
        <w:rPr>
          <w:sz w:val="24"/>
          <w:lang w:val="ro-RO"/>
        </w:rPr>
        <w:t>neonicotinoid</w:t>
      </w:r>
      <w:proofErr w:type="spellEnd"/>
      <w:r w:rsidRPr="006653F9">
        <w:rPr>
          <w:sz w:val="24"/>
          <w:lang w:val="ro-RO"/>
        </w:rPr>
        <w:t xml:space="preserve"> </w:t>
      </w:r>
      <w:proofErr w:type="spellStart"/>
      <w:r w:rsidRPr="006653F9">
        <w:rPr>
          <w:sz w:val="24"/>
          <w:lang w:val="ro-RO"/>
        </w:rPr>
        <w:t>tiacloprid</w:t>
      </w:r>
      <w:proofErr w:type="spellEnd"/>
      <w:r w:rsidRPr="006653F9">
        <w:rPr>
          <w:sz w:val="24"/>
          <w:lang w:val="ro-RO"/>
        </w:rPr>
        <w:t xml:space="preserve"> are impact asupra dezvoltării coloniilor de bondari în condiții de teren), </w:t>
      </w:r>
      <w:proofErr w:type="spellStart"/>
      <w:r w:rsidRPr="006653F9">
        <w:rPr>
          <w:sz w:val="24"/>
          <w:lang w:val="ro-RO"/>
        </w:rPr>
        <w:t>Environmental</w:t>
      </w:r>
      <w:proofErr w:type="spellEnd"/>
      <w:r w:rsidRPr="006653F9">
        <w:rPr>
          <w:sz w:val="24"/>
          <w:lang w:val="ro-RO"/>
        </w:rPr>
        <w:t xml:space="preserve"> </w:t>
      </w:r>
      <w:proofErr w:type="spellStart"/>
      <w:r w:rsidRPr="006653F9">
        <w:rPr>
          <w:sz w:val="24"/>
          <w:lang w:val="ro-RO"/>
        </w:rPr>
        <w:t>Science</w:t>
      </w:r>
      <w:proofErr w:type="spellEnd"/>
      <w:r w:rsidRPr="006653F9">
        <w:rPr>
          <w:sz w:val="24"/>
          <w:lang w:val="ro-RO"/>
        </w:rPr>
        <w:t xml:space="preserve"> &amp;Technology 2017, 51, 3, 1727-1732, </w:t>
      </w:r>
      <w:r w:rsidR="00E44778">
        <w:fldChar w:fldCharType="begin"/>
      </w:r>
      <w:r w:rsidR="00E44778" w:rsidRPr="00E44778">
        <w:rPr>
          <w:lang w:val="ro-RO"/>
        </w:rPr>
        <w:instrText xml:space="preserve"> HYPERLINK "https://pubs.acs.</w:instrText>
      </w:r>
      <w:r w:rsidR="00E44778" w:rsidRPr="00E44778">
        <w:rPr>
          <w:lang w:val="ro-RO"/>
        </w:rPr>
        <w:instrText xml:space="preserve">org/doi/10.1021/acs.est.6b04791" </w:instrText>
      </w:r>
      <w:r w:rsidR="00E44778">
        <w:fldChar w:fldCharType="separate"/>
      </w:r>
      <w:r w:rsidRPr="006653F9">
        <w:rPr>
          <w:rStyle w:val="Hyperlink"/>
          <w:sz w:val="24"/>
          <w:lang w:val="ro-RO"/>
        </w:rPr>
        <w:t>https://pubs.acs.org/doi/10.1021/acs.est.6b04791</w:t>
      </w:r>
      <w:r w:rsidR="00E44778">
        <w:rPr>
          <w:rStyle w:val="Hyperlink"/>
          <w:sz w:val="24"/>
          <w:lang w:val="ro-RO"/>
        </w:rPr>
        <w:fldChar w:fldCharType="end"/>
      </w:r>
      <w:r w:rsidRPr="006653F9">
        <w:rPr>
          <w:sz w:val="24"/>
          <w:lang w:val="ro-RO"/>
        </w:rPr>
        <w:t>.</w:t>
      </w:r>
    </w:p>
  </w:footnote>
  <w:footnote w:id="20">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Ibidem.</w:t>
      </w:r>
    </w:p>
  </w:footnote>
  <w:footnote w:id="21">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Brandt, A., </w:t>
      </w:r>
      <w:proofErr w:type="spellStart"/>
      <w:r w:rsidRPr="006653F9">
        <w:rPr>
          <w:sz w:val="24"/>
          <w:lang w:val="ro-RO"/>
        </w:rPr>
        <w:t>Gorenflo</w:t>
      </w:r>
      <w:proofErr w:type="spellEnd"/>
      <w:r w:rsidRPr="006653F9">
        <w:rPr>
          <w:sz w:val="24"/>
          <w:lang w:val="ro-RO"/>
        </w:rPr>
        <w:t xml:space="preserve">, A., </w:t>
      </w:r>
      <w:proofErr w:type="spellStart"/>
      <w:r w:rsidRPr="006653F9">
        <w:rPr>
          <w:sz w:val="24"/>
          <w:lang w:val="ro-RO"/>
        </w:rPr>
        <w:t>siede</w:t>
      </w:r>
      <w:proofErr w:type="spellEnd"/>
      <w:r w:rsidRPr="006653F9">
        <w:rPr>
          <w:sz w:val="24"/>
          <w:lang w:val="ro-RO"/>
        </w:rPr>
        <w:t xml:space="preserve">, R., </w:t>
      </w:r>
      <w:proofErr w:type="spellStart"/>
      <w:r w:rsidRPr="006653F9">
        <w:rPr>
          <w:sz w:val="24"/>
          <w:lang w:val="ro-RO"/>
        </w:rPr>
        <w:t>Meixner</w:t>
      </w:r>
      <w:proofErr w:type="spellEnd"/>
      <w:r w:rsidRPr="006653F9">
        <w:rPr>
          <w:sz w:val="24"/>
          <w:lang w:val="ro-RO"/>
        </w:rPr>
        <w:t xml:space="preserve">, M., </w:t>
      </w:r>
      <w:proofErr w:type="spellStart"/>
      <w:r w:rsidRPr="006653F9">
        <w:rPr>
          <w:sz w:val="24"/>
          <w:lang w:val="ro-RO"/>
        </w:rPr>
        <w:t>Büchler</w:t>
      </w:r>
      <w:proofErr w:type="spellEnd"/>
      <w:r w:rsidRPr="006653F9">
        <w:rPr>
          <w:sz w:val="24"/>
          <w:lang w:val="ro-RO"/>
        </w:rPr>
        <w:t xml:space="preserve">, R., „The </w:t>
      </w:r>
      <w:proofErr w:type="spellStart"/>
      <w:r w:rsidRPr="006653F9">
        <w:rPr>
          <w:sz w:val="24"/>
          <w:lang w:val="ro-RO"/>
        </w:rPr>
        <w:t>neonicotinoids</w:t>
      </w:r>
      <w:proofErr w:type="spellEnd"/>
      <w:r w:rsidRPr="006653F9">
        <w:rPr>
          <w:sz w:val="24"/>
          <w:lang w:val="ro-RO"/>
        </w:rPr>
        <w:t xml:space="preserve"> </w:t>
      </w:r>
      <w:proofErr w:type="spellStart"/>
      <w:r w:rsidRPr="006653F9">
        <w:rPr>
          <w:sz w:val="24"/>
          <w:lang w:val="ro-RO"/>
        </w:rPr>
        <w:t>thiacloprid</w:t>
      </w:r>
      <w:proofErr w:type="spellEnd"/>
      <w:r w:rsidRPr="006653F9">
        <w:rPr>
          <w:sz w:val="24"/>
          <w:lang w:val="ro-RO"/>
        </w:rPr>
        <w:t xml:space="preserve">, </w:t>
      </w:r>
      <w:proofErr w:type="spellStart"/>
      <w:r w:rsidRPr="006653F9">
        <w:rPr>
          <w:sz w:val="24"/>
          <w:lang w:val="ro-RO"/>
        </w:rPr>
        <w:t>imidacloprid</w:t>
      </w:r>
      <w:proofErr w:type="spellEnd"/>
      <w:r w:rsidRPr="006653F9">
        <w:rPr>
          <w:sz w:val="24"/>
          <w:lang w:val="ro-RO"/>
        </w:rPr>
        <w:t xml:space="preserve">, and </w:t>
      </w:r>
      <w:proofErr w:type="spellStart"/>
      <w:r w:rsidRPr="006653F9">
        <w:rPr>
          <w:sz w:val="24"/>
          <w:lang w:val="ro-RO"/>
        </w:rPr>
        <w:t>clothianidin</w:t>
      </w:r>
      <w:proofErr w:type="spellEnd"/>
      <w:r w:rsidRPr="006653F9">
        <w:rPr>
          <w:sz w:val="24"/>
          <w:lang w:val="ro-RO"/>
        </w:rPr>
        <w:t xml:space="preserve"> </w:t>
      </w:r>
      <w:proofErr w:type="spellStart"/>
      <w:r w:rsidRPr="006653F9">
        <w:rPr>
          <w:sz w:val="24"/>
          <w:lang w:val="ro-RO"/>
        </w:rPr>
        <w:t>imunocompetence</w:t>
      </w:r>
      <w:proofErr w:type="spellEnd"/>
      <w:r w:rsidRPr="006653F9">
        <w:rPr>
          <w:sz w:val="24"/>
          <w:lang w:val="ro-RO"/>
        </w:rPr>
        <w:t xml:space="preserve"> of melifer </w:t>
      </w:r>
      <w:proofErr w:type="spellStart"/>
      <w:r w:rsidRPr="006653F9">
        <w:rPr>
          <w:sz w:val="24"/>
          <w:lang w:val="ro-RO"/>
        </w:rPr>
        <w:t>bees</w:t>
      </w:r>
      <w:proofErr w:type="spellEnd"/>
      <w:r w:rsidRPr="006653F9">
        <w:rPr>
          <w:sz w:val="24"/>
          <w:lang w:val="ro-RO"/>
        </w:rPr>
        <w:t xml:space="preserve"> (</w:t>
      </w:r>
      <w:r w:rsidRPr="006653F9">
        <w:rPr>
          <w:i/>
          <w:sz w:val="24"/>
          <w:lang w:val="ro-RO"/>
        </w:rPr>
        <w:t xml:space="preserve">Apis </w:t>
      </w:r>
      <w:proofErr w:type="spellStart"/>
      <w:r w:rsidRPr="006653F9">
        <w:rPr>
          <w:i/>
          <w:sz w:val="24"/>
          <w:lang w:val="ro-RO"/>
        </w:rPr>
        <w:t>mellifera</w:t>
      </w:r>
      <w:proofErr w:type="spellEnd"/>
      <w:r w:rsidRPr="006653F9">
        <w:rPr>
          <w:sz w:val="24"/>
          <w:lang w:val="ro-RO"/>
        </w:rPr>
        <w:t xml:space="preserve"> L.)” (</w:t>
      </w:r>
      <w:proofErr w:type="spellStart"/>
      <w:r w:rsidRPr="006653F9">
        <w:rPr>
          <w:sz w:val="24"/>
          <w:lang w:val="ro-RO"/>
        </w:rPr>
        <w:t>Neonicotinoidele</w:t>
      </w:r>
      <w:proofErr w:type="spellEnd"/>
      <w:r w:rsidRPr="006653F9">
        <w:rPr>
          <w:sz w:val="24"/>
          <w:lang w:val="ro-RO"/>
        </w:rPr>
        <w:t xml:space="preserve"> </w:t>
      </w:r>
      <w:proofErr w:type="spellStart"/>
      <w:r w:rsidRPr="006653F9">
        <w:rPr>
          <w:sz w:val="24"/>
          <w:lang w:val="ro-RO"/>
        </w:rPr>
        <w:t>tiacloprid</w:t>
      </w:r>
      <w:proofErr w:type="spellEnd"/>
      <w:r w:rsidRPr="006653F9">
        <w:rPr>
          <w:sz w:val="24"/>
          <w:lang w:val="ro-RO"/>
        </w:rPr>
        <w:t xml:space="preserve">, </w:t>
      </w:r>
      <w:proofErr w:type="spellStart"/>
      <w:r w:rsidRPr="006653F9">
        <w:rPr>
          <w:sz w:val="24"/>
          <w:lang w:val="ro-RO"/>
        </w:rPr>
        <w:t>imidacloprid</w:t>
      </w:r>
      <w:proofErr w:type="spellEnd"/>
      <w:r w:rsidRPr="006653F9">
        <w:rPr>
          <w:sz w:val="24"/>
          <w:lang w:val="ro-RO"/>
        </w:rPr>
        <w:t xml:space="preserve"> și </w:t>
      </w:r>
      <w:proofErr w:type="spellStart"/>
      <w:r w:rsidRPr="006653F9">
        <w:rPr>
          <w:sz w:val="24"/>
          <w:lang w:val="ro-RO"/>
        </w:rPr>
        <w:t>clotianidin</w:t>
      </w:r>
      <w:proofErr w:type="spellEnd"/>
      <w:r w:rsidRPr="006653F9">
        <w:rPr>
          <w:sz w:val="24"/>
          <w:lang w:val="ro-RO"/>
        </w:rPr>
        <w:t xml:space="preserve"> afectează </w:t>
      </w:r>
      <w:proofErr w:type="spellStart"/>
      <w:r w:rsidRPr="006653F9">
        <w:rPr>
          <w:sz w:val="24"/>
          <w:lang w:val="ro-RO"/>
        </w:rPr>
        <w:t>imunocompetența</w:t>
      </w:r>
      <w:proofErr w:type="spellEnd"/>
      <w:r w:rsidRPr="006653F9">
        <w:rPr>
          <w:sz w:val="24"/>
          <w:lang w:val="ro-RO"/>
        </w:rPr>
        <w:t xml:space="preserve"> albinelor melifere), Journal of </w:t>
      </w:r>
      <w:proofErr w:type="spellStart"/>
      <w:r w:rsidRPr="006653F9">
        <w:rPr>
          <w:sz w:val="24"/>
          <w:lang w:val="ro-RO"/>
        </w:rPr>
        <w:t>Insect</w:t>
      </w:r>
      <w:proofErr w:type="spellEnd"/>
      <w:r w:rsidRPr="006653F9">
        <w:rPr>
          <w:sz w:val="24"/>
          <w:lang w:val="ro-RO"/>
        </w:rPr>
        <w:t xml:space="preserve"> </w:t>
      </w:r>
      <w:proofErr w:type="spellStart"/>
      <w:r w:rsidRPr="006653F9">
        <w:rPr>
          <w:sz w:val="24"/>
          <w:lang w:val="ro-RO"/>
        </w:rPr>
        <w:t>Physiology</w:t>
      </w:r>
      <w:proofErr w:type="spellEnd"/>
      <w:r w:rsidRPr="006653F9">
        <w:rPr>
          <w:sz w:val="24"/>
          <w:lang w:val="ro-RO"/>
        </w:rPr>
        <w:t xml:space="preserve">, volumul 86, martie 2016, paginile 40-47, </w:t>
      </w:r>
      <w:r w:rsidR="00E44778">
        <w:fldChar w:fldCharType="begin"/>
      </w:r>
      <w:r w:rsidR="00E44778" w:rsidRPr="00E44778">
        <w:rPr>
          <w:lang w:val="ro-RO"/>
        </w:rPr>
        <w:instrText xml:space="preserve"> HYPERLINK "https://www.sciencedirect.com/science/articl</w:instrText>
      </w:r>
      <w:r w:rsidR="00E44778" w:rsidRPr="00E44778">
        <w:rPr>
          <w:lang w:val="ro-RO"/>
        </w:rPr>
        <w:instrText xml:space="preserve">e/pii/S0022191016300014" </w:instrText>
      </w:r>
      <w:r w:rsidR="00E44778">
        <w:fldChar w:fldCharType="separate"/>
      </w:r>
      <w:r w:rsidRPr="006653F9">
        <w:rPr>
          <w:rStyle w:val="Hyperlink"/>
          <w:sz w:val="24"/>
          <w:lang w:val="ro-RO"/>
        </w:rPr>
        <w:t>https://www.sciencedirect.com/science/article/pii/S0022191016300014</w:t>
      </w:r>
      <w:r w:rsidR="00E44778">
        <w:rPr>
          <w:rStyle w:val="Hyperlink"/>
          <w:sz w:val="24"/>
          <w:lang w:val="ro-RO"/>
        </w:rPr>
        <w:fldChar w:fldCharType="end"/>
      </w:r>
      <w:r w:rsidRPr="006653F9">
        <w:rPr>
          <w:sz w:val="24"/>
          <w:lang w:val="ro-RO"/>
        </w:rPr>
        <w:t>.</w:t>
      </w:r>
    </w:p>
  </w:footnote>
  <w:footnote w:id="22">
    <w:p w:rsidR="00320AE1" w:rsidRPr="006653F9" w:rsidRDefault="00320AE1" w:rsidP="006653F9">
      <w:pPr>
        <w:pStyle w:val="FootnoteText"/>
        <w:keepN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proofErr w:type="spellStart"/>
      <w:r w:rsidRPr="006653F9">
        <w:rPr>
          <w:sz w:val="24"/>
          <w:lang w:val="ro-RO"/>
        </w:rPr>
        <w:t>Tison</w:t>
      </w:r>
      <w:proofErr w:type="spellEnd"/>
      <w:r w:rsidRPr="006653F9">
        <w:rPr>
          <w:sz w:val="24"/>
          <w:lang w:val="ro-RO"/>
        </w:rPr>
        <w:t xml:space="preserve">, L., Hahn, M.-L., </w:t>
      </w:r>
      <w:proofErr w:type="spellStart"/>
      <w:r w:rsidRPr="006653F9">
        <w:rPr>
          <w:sz w:val="24"/>
          <w:lang w:val="ro-RO"/>
        </w:rPr>
        <w:t>Holtz</w:t>
      </w:r>
      <w:proofErr w:type="spellEnd"/>
      <w:r w:rsidRPr="006653F9">
        <w:rPr>
          <w:sz w:val="24"/>
          <w:lang w:val="ro-RO"/>
        </w:rPr>
        <w:t xml:space="preserve">, S., </w:t>
      </w:r>
      <w:proofErr w:type="spellStart"/>
      <w:r w:rsidRPr="006653F9">
        <w:rPr>
          <w:sz w:val="24"/>
          <w:lang w:val="ro-RO"/>
        </w:rPr>
        <w:t>Rößner</w:t>
      </w:r>
      <w:proofErr w:type="spellEnd"/>
      <w:r w:rsidRPr="006653F9">
        <w:rPr>
          <w:sz w:val="24"/>
          <w:lang w:val="ro-RO"/>
        </w:rPr>
        <w:t xml:space="preserve"> A., </w:t>
      </w:r>
      <w:proofErr w:type="spellStart"/>
      <w:r w:rsidRPr="006653F9">
        <w:rPr>
          <w:sz w:val="24"/>
          <w:lang w:val="ro-RO"/>
        </w:rPr>
        <w:t>Greggers</w:t>
      </w:r>
      <w:proofErr w:type="spellEnd"/>
      <w:r w:rsidRPr="006653F9">
        <w:rPr>
          <w:sz w:val="24"/>
          <w:lang w:val="ro-RO"/>
        </w:rPr>
        <w:t>, U., Bischoff, G., și Menzel, R., „</w:t>
      </w:r>
      <w:proofErr w:type="spellStart"/>
      <w:r w:rsidRPr="006653F9">
        <w:rPr>
          <w:sz w:val="24"/>
          <w:lang w:val="ro-RO"/>
        </w:rPr>
        <w:t>Honey</w:t>
      </w:r>
      <w:proofErr w:type="spellEnd"/>
      <w:r w:rsidRPr="006653F9">
        <w:rPr>
          <w:sz w:val="24"/>
          <w:lang w:val="ro-RO"/>
        </w:rPr>
        <w:t xml:space="preserve"> </w:t>
      </w:r>
      <w:proofErr w:type="spellStart"/>
      <w:r w:rsidRPr="006653F9">
        <w:rPr>
          <w:sz w:val="24"/>
          <w:lang w:val="ro-RO"/>
        </w:rPr>
        <w:t>Bees</w:t>
      </w:r>
      <w:proofErr w:type="spellEnd"/>
      <w:r w:rsidRPr="006653F9">
        <w:rPr>
          <w:sz w:val="24"/>
          <w:lang w:val="ro-RO"/>
        </w:rPr>
        <w:t xml:space="preserve"> </w:t>
      </w:r>
      <w:proofErr w:type="spellStart"/>
      <w:r w:rsidRPr="006653F9">
        <w:rPr>
          <w:sz w:val="24"/>
          <w:lang w:val="ro-RO"/>
        </w:rPr>
        <w:t>Behavior</w:t>
      </w:r>
      <w:proofErr w:type="spellEnd"/>
      <w:r w:rsidRPr="006653F9">
        <w:rPr>
          <w:sz w:val="24"/>
          <w:lang w:val="ro-RO"/>
        </w:rPr>
        <w:t xml:space="preserve"> </w:t>
      </w:r>
      <w:proofErr w:type="spellStart"/>
      <w:r w:rsidRPr="006653F9">
        <w:rPr>
          <w:sz w:val="24"/>
          <w:lang w:val="ro-RO"/>
        </w:rPr>
        <w:t>Is</w:t>
      </w:r>
      <w:proofErr w:type="spellEnd"/>
      <w:r w:rsidRPr="006653F9">
        <w:rPr>
          <w:sz w:val="24"/>
          <w:lang w:val="ro-RO"/>
        </w:rPr>
        <w:t xml:space="preserve"> </w:t>
      </w:r>
      <w:proofErr w:type="spellStart"/>
      <w:r w:rsidRPr="006653F9">
        <w:rPr>
          <w:sz w:val="24"/>
          <w:lang w:val="ro-RO"/>
        </w:rPr>
        <w:t>Impated</w:t>
      </w:r>
      <w:proofErr w:type="spellEnd"/>
      <w:r w:rsidRPr="006653F9">
        <w:rPr>
          <w:sz w:val="24"/>
          <w:lang w:val="ro-RO"/>
        </w:rPr>
        <w:t xml:space="preserve"> </w:t>
      </w:r>
      <w:proofErr w:type="spellStart"/>
      <w:r w:rsidRPr="006653F9">
        <w:rPr>
          <w:sz w:val="24"/>
          <w:lang w:val="ro-RO"/>
        </w:rPr>
        <w:t>by</w:t>
      </w:r>
      <w:proofErr w:type="spellEnd"/>
      <w:r w:rsidRPr="006653F9">
        <w:rPr>
          <w:sz w:val="24"/>
          <w:lang w:val="ro-RO"/>
        </w:rPr>
        <w:t xml:space="preserve"> </w:t>
      </w:r>
      <w:proofErr w:type="spellStart"/>
      <w:r w:rsidRPr="006653F9">
        <w:rPr>
          <w:sz w:val="24"/>
          <w:lang w:val="ro-RO"/>
        </w:rPr>
        <w:t>Chronic</w:t>
      </w:r>
      <w:proofErr w:type="spellEnd"/>
      <w:r w:rsidRPr="006653F9">
        <w:rPr>
          <w:sz w:val="24"/>
          <w:lang w:val="ro-RO"/>
        </w:rPr>
        <w:t xml:space="preserve"> </w:t>
      </w:r>
      <w:proofErr w:type="spellStart"/>
      <w:r w:rsidRPr="006653F9">
        <w:rPr>
          <w:sz w:val="24"/>
          <w:lang w:val="ro-RO"/>
        </w:rPr>
        <w:t>Exposure</w:t>
      </w:r>
      <w:proofErr w:type="spellEnd"/>
      <w:r w:rsidRPr="006653F9">
        <w:rPr>
          <w:sz w:val="24"/>
          <w:lang w:val="ro-RO"/>
        </w:rPr>
        <w:t xml:space="preserve"> </w:t>
      </w:r>
      <w:proofErr w:type="spellStart"/>
      <w:r w:rsidRPr="006653F9">
        <w:rPr>
          <w:sz w:val="24"/>
          <w:lang w:val="ro-RO"/>
        </w:rPr>
        <w:t>to</w:t>
      </w:r>
      <w:proofErr w:type="spellEnd"/>
      <w:r w:rsidRPr="006653F9">
        <w:rPr>
          <w:sz w:val="24"/>
          <w:lang w:val="ro-RO"/>
        </w:rPr>
        <w:t xml:space="preserve"> </w:t>
      </w:r>
      <w:proofErr w:type="spellStart"/>
      <w:r w:rsidRPr="006653F9">
        <w:rPr>
          <w:sz w:val="24"/>
          <w:lang w:val="ro-RO"/>
        </w:rPr>
        <w:t>the</w:t>
      </w:r>
      <w:proofErr w:type="spellEnd"/>
      <w:r w:rsidRPr="006653F9">
        <w:rPr>
          <w:sz w:val="24"/>
          <w:lang w:val="ro-RO"/>
        </w:rPr>
        <w:t xml:space="preserve"> </w:t>
      </w:r>
      <w:proofErr w:type="spellStart"/>
      <w:r w:rsidRPr="006653F9">
        <w:rPr>
          <w:sz w:val="24"/>
          <w:lang w:val="ro-RO"/>
        </w:rPr>
        <w:t>Neonicotinoid</w:t>
      </w:r>
      <w:proofErr w:type="spellEnd"/>
      <w:r w:rsidRPr="006653F9">
        <w:rPr>
          <w:sz w:val="24"/>
          <w:lang w:val="ro-RO"/>
        </w:rPr>
        <w:t xml:space="preserve"> </w:t>
      </w:r>
      <w:proofErr w:type="spellStart"/>
      <w:r w:rsidRPr="006653F9">
        <w:rPr>
          <w:sz w:val="24"/>
          <w:lang w:val="ro-RO"/>
        </w:rPr>
        <w:t>Thiacloprid</w:t>
      </w:r>
      <w:proofErr w:type="spellEnd"/>
      <w:r w:rsidRPr="006653F9">
        <w:rPr>
          <w:sz w:val="24"/>
          <w:lang w:val="ro-RO"/>
        </w:rPr>
        <w:t xml:space="preserve"> in </w:t>
      </w:r>
      <w:proofErr w:type="spellStart"/>
      <w:r w:rsidRPr="006653F9">
        <w:rPr>
          <w:sz w:val="24"/>
          <w:lang w:val="ro-RO"/>
        </w:rPr>
        <w:t>the</w:t>
      </w:r>
      <w:proofErr w:type="spellEnd"/>
      <w:r w:rsidRPr="006653F9">
        <w:rPr>
          <w:sz w:val="24"/>
          <w:lang w:val="ro-RO"/>
        </w:rPr>
        <w:t xml:space="preserve"> </w:t>
      </w:r>
      <w:proofErr w:type="spellStart"/>
      <w:r w:rsidRPr="006653F9">
        <w:rPr>
          <w:sz w:val="24"/>
          <w:lang w:val="ro-RO"/>
        </w:rPr>
        <w:t>Field</w:t>
      </w:r>
      <w:proofErr w:type="spellEnd"/>
      <w:r w:rsidRPr="006653F9">
        <w:rPr>
          <w:sz w:val="24"/>
          <w:lang w:val="ro-RO"/>
        </w:rPr>
        <w:t xml:space="preserve">” (Comportamentul albinelor melifere este afectat negativ de expunerea cronică la </w:t>
      </w:r>
      <w:proofErr w:type="spellStart"/>
      <w:r w:rsidRPr="006653F9">
        <w:rPr>
          <w:sz w:val="24"/>
          <w:lang w:val="ro-RO"/>
        </w:rPr>
        <w:t>tiaclopridul</w:t>
      </w:r>
      <w:proofErr w:type="spellEnd"/>
      <w:r w:rsidRPr="006653F9">
        <w:rPr>
          <w:sz w:val="24"/>
          <w:lang w:val="ro-RO"/>
        </w:rPr>
        <w:t xml:space="preserve"> </w:t>
      </w:r>
      <w:proofErr w:type="spellStart"/>
      <w:r w:rsidRPr="006653F9">
        <w:rPr>
          <w:sz w:val="24"/>
          <w:lang w:val="ro-RO"/>
        </w:rPr>
        <w:t>neonicotinoid</w:t>
      </w:r>
      <w:proofErr w:type="spellEnd"/>
      <w:r w:rsidRPr="006653F9">
        <w:rPr>
          <w:sz w:val="24"/>
          <w:lang w:val="ro-RO"/>
        </w:rPr>
        <w:t xml:space="preserve"> pe câmp), </w:t>
      </w:r>
      <w:proofErr w:type="spellStart"/>
      <w:r w:rsidRPr="006653F9">
        <w:rPr>
          <w:sz w:val="24"/>
          <w:lang w:val="ro-RO"/>
        </w:rPr>
        <w:t>Environmental</w:t>
      </w:r>
      <w:proofErr w:type="spellEnd"/>
      <w:r w:rsidRPr="006653F9">
        <w:rPr>
          <w:sz w:val="24"/>
          <w:lang w:val="ro-RO"/>
        </w:rPr>
        <w:t xml:space="preserve"> </w:t>
      </w:r>
      <w:proofErr w:type="spellStart"/>
      <w:r w:rsidRPr="006653F9">
        <w:rPr>
          <w:sz w:val="24"/>
          <w:lang w:val="ro-RO"/>
        </w:rPr>
        <w:t>Science</w:t>
      </w:r>
      <w:proofErr w:type="spellEnd"/>
      <w:r w:rsidRPr="006653F9">
        <w:rPr>
          <w:sz w:val="24"/>
          <w:lang w:val="ro-RO"/>
        </w:rPr>
        <w:t xml:space="preserve"> &amp;Technology 2016, 50, 13, 7218-7227, </w:t>
      </w:r>
      <w:r w:rsidR="00E44778">
        <w:fldChar w:fldCharType="begin"/>
      </w:r>
      <w:r w:rsidR="00E44778" w:rsidRPr="00E44778">
        <w:rPr>
          <w:lang w:val="ro-RO"/>
        </w:rPr>
        <w:instrText xml:space="preserve"> HYPERLINK "https://pubs.acs.org/doi/f</w:instrText>
      </w:r>
      <w:r w:rsidR="00E44778" w:rsidRPr="00E44778">
        <w:rPr>
          <w:lang w:val="ro-RO"/>
        </w:rPr>
        <w:instrText xml:space="preserve">ull/10.1021/acs.est.6b02658" </w:instrText>
      </w:r>
      <w:r w:rsidR="00E44778">
        <w:fldChar w:fldCharType="separate"/>
      </w:r>
      <w:r w:rsidRPr="006653F9">
        <w:rPr>
          <w:rStyle w:val="Hyperlink"/>
          <w:sz w:val="24"/>
          <w:lang w:val="ro-RO"/>
        </w:rPr>
        <w:t>https://pubs.acs.org/doi/full/10.1021/acs.est.6b02658</w:t>
      </w:r>
      <w:r w:rsidR="00E44778">
        <w:rPr>
          <w:rStyle w:val="Hyperlink"/>
          <w:sz w:val="24"/>
          <w:lang w:val="ro-RO"/>
        </w:rPr>
        <w:fldChar w:fldCharType="end"/>
      </w:r>
      <w:r w:rsidRPr="006653F9">
        <w:rPr>
          <w:sz w:val="24"/>
          <w:lang w:val="ro-RO"/>
        </w:rPr>
        <w:t xml:space="preserve">. </w:t>
      </w:r>
    </w:p>
  </w:footnote>
  <w:footnote w:id="23">
    <w:p w:rsidR="00320AE1" w:rsidRPr="006653F9" w:rsidRDefault="00320AE1" w:rsidP="006653F9">
      <w:pPr>
        <w:pStyle w:val="FootnoteText"/>
        <w:ind w:left="567" w:hanging="567"/>
        <w:rPr>
          <w:iCs/>
          <w:sz w:val="24"/>
          <w:szCs w:val="22"/>
          <w:lang w:val="ro-RO"/>
        </w:rPr>
      </w:pPr>
      <w:r w:rsidRPr="006653F9">
        <w:rPr>
          <w:iCs/>
          <w:sz w:val="24"/>
          <w:szCs w:val="22"/>
          <w:vertAlign w:val="superscript"/>
          <w:lang w:val="ro-RO"/>
        </w:rPr>
        <w:footnoteRef/>
      </w:r>
      <w:r w:rsidR="006653F9" w:rsidRPr="006653F9">
        <w:rPr>
          <w:sz w:val="24"/>
          <w:lang w:val="ro-RO"/>
        </w:rPr>
        <w:t xml:space="preserve"> </w:t>
      </w:r>
      <w:r w:rsidR="006653F9" w:rsidRPr="006653F9">
        <w:rPr>
          <w:sz w:val="24"/>
          <w:lang w:val="ro-RO"/>
        </w:rPr>
        <w:tab/>
      </w:r>
      <w:r w:rsidRPr="006653F9">
        <w:rPr>
          <w:sz w:val="24"/>
          <w:lang w:val="ro-RO"/>
        </w:rPr>
        <w:t xml:space="preserve">Pisa, L., </w:t>
      </w:r>
      <w:proofErr w:type="spellStart"/>
      <w:r w:rsidRPr="006653F9">
        <w:rPr>
          <w:sz w:val="24"/>
          <w:lang w:val="ro-RO"/>
        </w:rPr>
        <w:t>Goulson</w:t>
      </w:r>
      <w:proofErr w:type="spellEnd"/>
      <w:r w:rsidRPr="006653F9">
        <w:rPr>
          <w:sz w:val="24"/>
          <w:lang w:val="ro-RO"/>
        </w:rPr>
        <w:t xml:space="preserve">, D., Yang, E.C., et al., „An update of </w:t>
      </w:r>
      <w:proofErr w:type="spellStart"/>
      <w:r w:rsidRPr="006653F9">
        <w:rPr>
          <w:sz w:val="24"/>
          <w:lang w:val="ro-RO"/>
        </w:rPr>
        <w:t>the</w:t>
      </w:r>
      <w:proofErr w:type="spellEnd"/>
      <w:r w:rsidRPr="006653F9">
        <w:rPr>
          <w:sz w:val="24"/>
          <w:lang w:val="ro-RO"/>
        </w:rPr>
        <w:t xml:space="preserve"> </w:t>
      </w:r>
      <w:proofErr w:type="spellStart"/>
      <w:r w:rsidRPr="006653F9">
        <w:rPr>
          <w:sz w:val="24"/>
          <w:lang w:val="ro-RO"/>
        </w:rPr>
        <w:t>Worldwide</w:t>
      </w:r>
      <w:proofErr w:type="spellEnd"/>
      <w:r w:rsidRPr="006653F9">
        <w:rPr>
          <w:sz w:val="24"/>
          <w:lang w:val="ro-RO"/>
        </w:rPr>
        <w:t xml:space="preserve"> </w:t>
      </w:r>
      <w:proofErr w:type="spellStart"/>
      <w:r w:rsidRPr="006653F9">
        <w:rPr>
          <w:sz w:val="24"/>
          <w:lang w:val="ro-RO"/>
        </w:rPr>
        <w:t>Integrated</w:t>
      </w:r>
      <w:proofErr w:type="spellEnd"/>
      <w:r w:rsidRPr="006653F9">
        <w:rPr>
          <w:sz w:val="24"/>
          <w:lang w:val="ro-RO"/>
        </w:rPr>
        <w:t xml:space="preserve"> </w:t>
      </w:r>
      <w:proofErr w:type="spellStart"/>
      <w:r w:rsidRPr="006653F9">
        <w:rPr>
          <w:sz w:val="24"/>
          <w:lang w:val="ro-RO"/>
        </w:rPr>
        <w:t>Assessment</w:t>
      </w:r>
      <w:proofErr w:type="spellEnd"/>
      <w:r w:rsidRPr="006653F9">
        <w:rPr>
          <w:sz w:val="24"/>
          <w:lang w:val="ro-RO"/>
        </w:rPr>
        <w:t xml:space="preserve"> (WIA) on </w:t>
      </w:r>
      <w:proofErr w:type="spellStart"/>
      <w:r w:rsidRPr="006653F9">
        <w:rPr>
          <w:sz w:val="24"/>
          <w:lang w:val="ro-RO"/>
        </w:rPr>
        <w:t>systemic</w:t>
      </w:r>
      <w:proofErr w:type="spellEnd"/>
      <w:r w:rsidRPr="006653F9">
        <w:rPr>
          <w:sz w:val="24"/>
          <w:lang w:val="ro-RO"/>
        </w:rPr>
        <w:t xml:space="preserve"> </w:t>
      </w:r>
      <w:proofErr w:type="spellStart"/>
      <w:r w:rsidRPr="006653F9">
        <w:rPr>
          <w:sz w:val="24"/>
          <w:lang w:val="ro-RO"/>
        </w:rPr>
        <w:t>insecticides</w:t>
      </w:r>
      <w:proofErr w:type="spellEnd"/>
      <w:r w:rsidRPr="006653F9">
        <w:rPr>
          <w:sz w:val="24"/>
          <w:lang w:val="ro-RO"/>
        </w:rPr>
        <w:t xml:space="preserve">. Part 2: </w:t>
      </w:r>
      <w:proofErr w:type="spellStart"/>
      <w:r w:rsidRPr="006653F9">
        <w:rPr>
          <w:sz w:val="24"/>
          <w:lang w:val="ro-RO"/>
        </w:rPr>
        <w:t>impacts</w:t>
      </w:r>
      <w:proofErr w:type="spellEnd"/>
      <w:r w:rsidRPr="006653F9">
        <w:rPr>
          <w:sz w:val="24"/>
          <w:lang w:val="ro-RO"/>
        </w:rPr>
        <w:t xml:space="preserve"> on </w:t>
      </w:r>
      <w:proofErr w:type="spellStart"/>
      <w:r w:rsidRPr="006653F9">
        <w:rPr>
          <w:sz w:val="24"/>
          <w:lang w:val="ro-RO"/>
        </w:rPr>
        <w:t>organisms</w:t>
      </w:r>
      <w:proofErr w:type="spellEnd"/>
      <w:r w:rsidRPr="006653F9">
        <w:rPr>
          <w:sz w:val="24"/>
          <w:lang w:val="ro-RO"/>
        </w:rPr>
        <w:t xml:space="preserve"> and </w:t>
      </w:r>
      <w:proofErr w:type="spellStart"/>
      <w:r w:rsidRPr="006653F9">
        <w:rPr>
          <w:sz w:val="24"/>
          <w:lang w:val="ro-RO"/>
        </w:rPr>
        <w:t>ecosystems</w:t>
      </w:r>
      <w:proofErr w:type="spellEnd"/>
      <w:r w:rsidRPr="006653F9">
        <w:rPr>
          <w:sz w:val="24"/>
          <w:lang w:val="ro-RO"/>
        </w:rPr>
        <w:t>” (O actualizare a evaluării integrate la nivel mondial privind insecticidele sistemice. Partea 2: impactul asupra organismelor și ecosistemelor), </w:t>
      </w:r>
      <w:proofErr w:type="spellStart"/>
      <w:r w:rsidRPr="006653F9">
        <w:rPr>
          <w:sz w:val="24"/>
          <w:lang w:val="ro-RO"/>
        </w:rPr>
        <w:t>Environmental</w:t>
      </w:r>
      <w:proofErr w:type="spellEnd"/>
      <w:r w:rsidRPr="006653F9">
        <w:rPr>
          <w:sz w:val="24"/>
          <w:lang w:val="ro-RO"/>
        </w:rPr>
        <w:t xml:space="preserve"> </w:t>
      </w:r>
      <w:proofErr w:type="spellStart"/>
      <w:r w:rsidRPr="006653F9">
        <w:rPr>
          <w:sz w:val="24"/>
          <w:lang w:val="ro-RO"/>
        </w:rPr>
        <w:t>Science</w:t>
      </w:r>
      <w:proofErr w:type="spellEnd"/>
      <w:r w:rsidRPr="006653F9">
        <w:rPr>
          <w:sz w:val="24"/>
          <w:lang w:val="ro-RO"/>
        </w:rPr>
        <w:t xml:space="preserve"> and </w:t>
      </w:r>
      <w:proofErr w:type="spellStart"/>
      <w:r w:rsidRPr="006653F9">
        <w:rPr>
          <w:sz w:val="24"/>
          <w:lang w:val="ro-RO"/>
        </w:rPr>
        <w:t>Pollution</w:t>
      </w:r>
      <w:proofErr w:type="spellEnd"/>
      <w:r w:rsidRPr="006653F9">
        <w:rPr>
          <w:sz w:val="24"/>
          <w:lang w:val="ro-RO"/>
        </w:rPr>
        <w:t xml:space="preserve"> </w:t>
      </w:r>
      <w:proofErr w:type="spellStart"/>
      <w:r w:rsidRPr="006653F9">
        <w:rPr>
          <w:sz w:val="24"/>
          <w:lang w:val="ro-RO"/>
        </w:rPr>
        <w:t>Research</w:t>
      </w:r>
      <w:proofErr w:type="spellEnd"/>
      <w:r w:rsidRPr="006653F9">
        <w:rPr>
          <w:sz w:val="24"/>
          <w:lang w:val="ro-RO"/>
        </w:rPr>
        <w:t xml:space="preserve"> 28, 11749–11797 (2021), </w:t>
      </w:r>
      <w:r w:rsidR="00E44778">
        <w:fldChar w:fldCharType="begin"/>
      </w:r>
      <w:r w:rsidR="00E44778" w:rsidRPr="00E44778">
        <w:rPr>
          <w:lang w:val="ro-RO"/>
        </w:rPr>
        <w:instrText xml:space="preserve"> HYPERLINK "https://doi.org/10.1007/s</w:instrText>
      </w:r>
      <w:r w:rsidR="00E44778" w:rsidRPr="00E44778">
        <w:rPr>
          <w:lang w:val="ro-RO"/>
        </w:rPr>
        <w:instrText xml:space="preserve">11356-017-0341-3" </w:instrText>
      </w:r>
      <w:r w:rsidR="00E44778">
        <w:fldChar w:fldCharType="separate"/>
      </w:r>
      <w:r w:rsidRPr="006653F9">
        <w:rPr>
          <w:rStyle w:val="Hyperlink"/>
          <w:sz w:val="24"/>
          <w:lang w:val="ro-RO"/>
        </w:rPr>
        <w:t>https://doi.org/10.1007/s11356-017-0341-3</w:t>
      </w:r>
      <w:r w:rsidR="00E44778">
        <w:rPr>
          <w:rStyle w:val="Hyperlink"/>
          <w:sz w:val="24"/>
          <w:lang w:val="ro-RO"/>
        </w:rPr>
        <w:fldChar w:fldCharType="end"/>
      </w:r>
      <w:r w:rsidRPr="006653F9">
        <w:rPr>
          <w:sz w:val="24"/>
          <w:lang w:val="ro-RO"/>
        </w:rPr>
        <w:t>.</w:t>
      </w:r>
    </w:p>
  </w:footnote>
  <w:footnote w:id="24">
    <w:p w:rsidR="00320AE1" w:rsidRPr="006653F9" w:rsidRDefault="00320AE1" w:rsidP="006653F9">
      <w:pPr>
        <w:pStyle w:val="FootnoteText"/>
        <w:ind w:left="567" w:hanging="567"/>
        <w:rPr>
          <w:sz w:val="24"/>
          <w:szCs w:val="22"/>
          <w:lang w:val="ro-RO"/>
        </w:rPr>
      </w:pPr>
      <w:r w:rsidRPr="006653F9">
        <w:rPr>
          <w:rStyle w:val="FootnoteReference"/>
          <w:sz w:val="24"/>
          <w:szCs w:val="22"/>
          <w:lang w:val="ro-RO"/>
        </w:rPr>
        <w:footnoteRef/>
      </w:r>
      <w:r w:rsidR="006653F9" w:rsidRPr="006653F9">
        <w:rPr>
          <w:sz w:val="24"/>
          <w:lang w:val="ro-RO"/>
        </w:rPr>
        <w:t xml:space="preserve"> </w:t>
      </w:r>
      <w:r w:rsidR="006653F9" w:rsidRPr="006653F9">
        <w:rPr>
          <w:sz w:val="24"/>
          <w:lang w:val="ro-RO"/>
        </w:rPr>
        <w:tab/>
      </w:r>
      <w:r w:rsidR="00E44778">
        <w:fldChar w:fldCharType="begin"/>
      </w:r>
      <w:r w:rsidR="00E44778" w:rsidRPr="00E44778">
        <w:rPr>
          <w:lang w:val="ro-RO"/>
        </w:rPr>
        <w:instrText xml:space="preserve"> HYPERLINK "https://ec.europa.eu/food/plant/pesticides/eu-pesticides-database/start/screen/active-substances/details/841" </w:instrText>
      </w:r>
      <w:r w:rsidR="00E44778">
        <w:fldChar w:fldCharType="separate"/>
      </w:r>
      <w:r w:rsidRPr="006653F9">
        <w:rPr>
          <w:rStyle w:val="Hyperlink"/>
          <w:sz w:val="24"/>
          <w:lang w:val="ro-RO"/>
        </w:rPr>
        <w:t>https://ec.europa.eu/food/plant/pesticides/eu-pesticides-database/start/screen/active-substances/details/841</w:t>
      </w:r>
      <w:r w:rsidR="00E44778">
        <w:rPr>
          <w:rStyle w:val="Hyperlink"/>
          <w:sz w:val="24"/>
          <w:lang w:val="ro-RO"/>
        </w:rPr>
        <w:fldChar w:fldCharType="end"/>
      </w:r>
      <w:r w:rsidRPr="006653F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3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RO"/>
    <w:docVar w:name="dvnumam" w:val="0"/>
    <w:docVar w:name="dvpe" w:val="757.277"/>
    <w:docVar w:name="dvtitre" w:val="Rezoluția Parlamentului European din ... 2024 referitoare la propunerea de regulament al Consiliului de modificare a anexei II la Regulamentul (CE) nr. 396/2005 al Parlamentului European și al Consiliului în ceea ce privește limitele maxime pentru reziduurile de tiacloprid din sau de pe anumite produse(COM(2023)0739 – 2023/3005(RPS))"/>
  </w:docVars>
  <w:rsids>
    <w:rsidRoot w:val="003F04BD"/>
    <w:rsid w:val="00002272"/>
    <w:rsid w:val="00064002"/>
    <w:rsid w:val="000677B9"/>
    <w:rsid w:val="000831BA"/>
    <w:rsid w:val="000A42CC"/>
    <w:rsid w:val="000E7DD9"/>
    <w:rsid w:val="0010095E"/>
    <w:rsid w:val="00125B37"/>
    <w:rsid w:val="00187494"/>
    <w:rsid w:val="001F32AE"/>
    <w:rsid w:val="002767FF"/>
    <w:rsid w:val="002B18FE"/>
    <w:rsid w:val="002B5493"/>
    <w:rsid w:val="00320AE1"/>
    <w:rsid w:val="00343214"/>
    <w:rsid w:val="00361C00"/>
    <w:rsid w:val="00395FA1"/>
    <w:rsid w:val="003E15D4"/>
    <w:rsid w:val="003F04BD"/>
    <w:rsid w:val="00411CCE"/>
    <w:rsid w:val="0041666E"/>
    <w:rsid w:val="00421060"/>
    <w:rsid w:val="00471C19"/>
    <w:rsid w:val="004867E3"/>
    <w:rsid w:val="00494A28"/>
    <w:rsid w:val="004C0004"/>
    <w:rsid w:val="004C5D52"/>
    <w:rsid w:val="0050519A"/>
    <w:rsid w:val="005072A1"/>
    <w:rsid w:val="00514517"/>
    <w:rsid w:val="00545827"/>
    <w:rsid w:val="00560270"/>
    <w:rsid w:val="0057059C"/>
    <w:rsid w:val="005C2568"/>
    <w:rsid w:val="006037C0"/>
    <w:rsid w:val="006631B6"/>
    <w:rsid w:val="006653F9"/>
    <w:rsid w:val="00680577"/>
    <w:rsid w:val="006F74FA"/>
    <w:rsid w:val="00703A2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778"/>
    <w:rsid w:val="00E820A4"/>
    <w:rsid w:val="00EB006A"/>
    <w:rsid w:val="00EB4772"/>
    <w:rsid w:val="00ED169E"/>
    <w:rsid w:val="00ED4235"/>
    <w:rsid w:val="00F04346"/>
    <w:rsid w:val="00F075DC"/>
    <w:rsid w:val="00F149E9"/>
    <w:rsid w:val="00F314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092C9"/>
  <w15:chartTrackingRefBased/>
  <w15:docId w15:val="{AB6B9B68-01F6-4814-A287-F8F10FD5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0AE1"/>
    <w:pPr>
      <w:spacing w:before="480" w:after="240"/>
    </w:pPr>
  </w:style>
  <w:style w:type="paragraph" w:customStyle="1" w:styleId="NormalHanging12a">
    <w:name w:val="NormalHanging12a"/>
    <w:basedOn w:val="Normal"/>
    <w:rsid w:val="00320AE1"/>
    <w:pPr>
      <w:spacing w:after="240"/>
      <w:ind w:left="567" w:hanging="567"/>
    </w:pPr>
  </w:style>
  <w:style w:type="character" w:styleId="Hyperlink">
    <w:name w:val="Hyperlink"/>
    <w:basedOn w:val="DefaultParagraphFont"/>
    <w:uiPriority w:val="99"/>
    <w:unhideWhenUsed/>
    <w:rsid w:val="00320A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5E3C0-689C-4287-AA4F-EA219141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2471</Words>
  <Characters>14412</Characters>
  <Application>Microsoft Office Word</Application>
  <DocSecurity>0</DocSecurity>
  <Lines>436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2024-02-26T09:44:00Z</dcterms:created>
  <dcterms:modified xsi:type="dcterms:W3CDTF">2024-02-26T09:44:00Z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B9-0057/2024</vt:lpwstr>
  </property>
  <property fmtid="{D5CDD505-2E9C-101B-9397-08002B2CF9AE}" pid="4" name="&lt;Type&gt;">
    <vt:lpwstr>RR</vt:lpwstr>
  </property>
</Properties>
</file>