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65C2" w:rsidTr="0010095E">
        <w:trPr>
          <w:trHeight w:hRule="exact" w:val="1418"/>
        </w:trPr>
        <w:tc>
          <w:tcPr>
            <w:tcW w:w="6804" w:type="dxa"/>
            <w:shd w:val="clear" w:color="auto" w:fill="auto"/>
            <w:vAlign w:val="center"/>
          </w:tcPr>
          <w:p w:rsidR="00751A4A" w:rsidRPr="00C165C2" w:rsidRDefault="00E44C80" w:rsidP="0010095E">
            <w:pPr>
              <w:pStyle w:val="EPName"/>
            </w:pPr>
            <w:r w:rsidRPr="00C165C2">
              <w:t>Európsky parlament</w:t>
            </w:r>
          </w:p>
          <w:p w:rsidR="00751A4A" w:rsidRPr="00C165C2" w:rsidRDefault="00817416" w:rsidP="00756632">
            <w:pPr>
              <w:pStyle w:val="EPTerm"/>
              <w:rPr>
                <w:rStyle w:val="HideTWBExt"/>
                <w:noProof w:val="0"/>
                <w:vanish w:val="0"/>
                <w:color w:val="auto"/>
              </w:rPr>
            </w:pPr>
            <w:r w:rsidRPr="00C165C2">
              <w:t>2019-2024</w:t>
            </w:r>
          </w:p>
        </w:tc>
        <w:tc>
          <w:tcPr>
            <w:tcW w:w="2268" w:type="dxa"/>
            <w:shd w:val="clear" w:color="auto" w:fill="auto"/>
          </w:tcPr>
          <w:p w:rsidR="00751A4A" w:rsidRPr="00C165C2" w:rsidRDefault="00187494" w:rsidP="0010095E">
            <w:pPr>
              <w:pStyle w:val="EPLogo"/>
            </w:pPr>
            <w:r w:rsidRPr="00C165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65C2" w:rsidRDefault="00D058B8" w:rsidP="004C5D52">
      <w:pPr>
        <w:pStyle w:val="LineTop"/>
      </w:pPr>
    </w:p>
    <w:p w:rsidR="00680577" w:rsidRPr="00C165C2" w:rsidRDefault="00E44C80" w:rsidP="00680577">
      <w:pPr>
        <w:pStyle w:val="EPBodyTA1"/>
      </w:pPr>
      <w:r w:rsidRPr="00C165C2">
        <w:t>PRIJATÉ TEXTY</w:t>
      </w:r>
    </w:p>
    <w:p w:rsidR="00D058B8" w:rsidRPr="00C165C2" w:rsidRDefault="00D058B8" w:rsidP="00D058B8">
      <w:pPr>
        <w:pStyle w:val="LineBottom"/>
      </w:pPr>
    </w:p>
    <w:p w:rsidR="00E44C80" w:rsidRPr="00C165C2" w:rsidRDefault="00E44C80" w:rsidP="00E44C80">
      <w:pPr>
        <w:pStyle w:val="ATHeading1"/>
      </w:pPr>
      <w:bookmarkStart w:id="0" w:name="TANumber"/>
      <w:r w:rsidRPr="00C165C2">
        <w:t>P9_TA(2024)00</w:t>
      </w:r>
      <w:r w:rsidR="00C165C2" w:rsidRPr="00C165C2">
        <w:t>16</w:t>
      </w:r>
      <w:bookmarkEnd w:id="0"/>
    </w:p>
    <w:p w:rsidR="00E44C80" w:rsidRPr="00C165C2" w:rsidRDefault="006E25C9" w:rsidP="00E44C80">
      <w:pPr>
        <w:pStyle w:val="ATHeading2"/>
      </w:pPr>
      <w:bookmarkStart w:id="1" w:name="title"/>
      <w:r w:rsidRPr="00C165C2">
        <w:t xml:space="preserve">Námietka voči vykonávaciemu aktu: maximálne hladiny rezíduí </w:t>
      </w:r>
      <w:proofErr w:type="spellStart"/>
      <w:r w:rsidRPr="00C165C2">
        <w:t>tiaklopridu</w:t>
      </w:r>
      <w:bookmarkEnd w:id="1"/>
      <w:proofErr w:type="spellEnd"/>
    </w:p>
    <w:p w:rsidR="00E44C80" w:rsidRPr="00C165C2" w:rsidRDefault="00E44C80" w:rsidP="00E44C80">
      <w:pPr>
        <w:rPr>
          <w:i/>
          <w:vanish/>
        </w:rPr>
      </w:pPr>
      <w:r w:rsidRPr="00C165C2">
        <w:rPr>
          <w:i/>
        </w:rPr>
        <w:fldChar w:fldCharType="begin"/>
      </w:r>
      <w:r w:rsidRPr="00C165C2">
        <w:rPr>
          <w:i/>
        </w:rPr>
        <w:instrText xml:space="preserve"> TC"(</w:instrText>
      </w:r>
      <w:bookmarkStart w:id="2" w:name="DocNumber"/>
      <w:r w:rsidRPr="00C165C2">
        <w:rPr>
          <w:i/>
        </w:rPr>
        <w:instrText>B9-0057/2024</w:instrText>
      </w:r>
      <w:bookmarkEnd w:id="2"/>
      <w:r w:rsidRPr="00C165C2">
        <w:rPr>
          <w:i/>
        </w:rPr>
        <w:instrText xml:space="preserve">)"\l3 \n&gt; \* MERGEFORMAT </w:instrText>
      </w:r>
      <w:r w:rsidRPr="00C165C2">
        <w:rPr>
          <w:i/>
        </w:rPr>
        <w:fldChar w:fldCharType="end"/>
      </w:r>
    </w:p>
    <w:p w:rsidR="00E44C80" w:rsidRPr="00C165C2" w:rsidRDefault="00E44C80" w:rsidP="00E44C80">
      <w:pPr>
        <w:rPr>
          <w:vanish/>
        </w:rPr>
      </w:pPr>
      <w:bookmarkStart w:id="3" w:name="PE"/>
      <w:r w:rsidRPr="00C165C2">
        <w:rPr>
          <w:vanish/>
        </w:rPr>
        <w:t>PE757.277</w:t>
      </w:r>
      <w:bookmarkEnd w:id="3"/>
    </w:p>
    <w:p w:rsidR="00E44C80" w:rsidRPr="00C165C2" w:rsidRDefault="00E44C80" w:rsidP="00E44C80">
      <w:pPr>
        <w:pStyle w:val="ATHeading3"/>
      </w:pPr>
      <w:bookmarkStart w:id="4" w:name="Sujet"/>
      <w:r w:rsidRPr="00C165C2">
        <w:t>Uznesenie Európskeho parlamentu z</w:t>
      </w:r>
      <w:r w:rsidR="00C165C2" w:rsidRPr="00C165C2">
        <w:t>o</w:t>
      </w:r>
      <w:r w:rsidRPr="00C165C2">
        <w:t xml:space="preserve"> </w:t>
      </w:r>
      <w:r w:rsidR="00C165C2" w:rsidRPr="00C165C2">
        <w:t>17</w:t>
      </w:r>
      <w:r w:rsidRPr="00C165C2">
        <w:t xml:space="preserve">. januára 2024 o návrhu nariadenia Rady, ktorým sa mení príloha II k nariadeniu Európskeho parlamentu a Rady (ES) č. 396/2005, pokiaľ ide o maximálne hladiny rezíduí </w:t>
      </w:r>
      <w:proofErr w:type="spellStart"/>
      <w:r w:rsidRPr="00C165C2">
        <w:t>tiaklopridu</w:t>
      </w:r>
      <w:proofErr w:type="spellEnd"/>
      <w:r w:rsidRPr="00C165C2">
        <w:t xml:space="preserve"> v alebo na určitých produktoch</w:t>
      </w:r>
      <w:bookmarkEnd w:id="4"/>
      <w:r w:rsidRPr="00C165C2">
        <w:t xml:space="preserve"> </w:t>
      </w:r>
      <w:bookmarkStart w:id="5" w:name="References"/>
      <w:r w:rsidRPr="00C165C2">
        <w:t>(COM(2023)0739 – 2023/3005(RPS))</w:t>
      </w:r>
      <w:bookmarkEnd w:id="5"/>
    </w:p>
    <w:p w:rsidR="00D21EA6" w:rsidRPr="00C165C2" w:rsidRDefault="00D21EA6" w:rsidP="00D21EA6">
      <w:pPr>
        <w:pStyle w:val="EPComma"/>
      </w:pPr>
      <w:bookmarkStart w:id="6" w:name="TextBodyBegin"/>
      <w:bookmarkEnd w:id="6"/>
      <w:r w:rsidRPr="00C165C2">
        <w:rPr>
          <w:i/>
        </w:rPr>
        <w:t>Európsky parlament</w:t>
      </w:r>
      <w:r w:rsidRPr="00C165C2">
        <w:t>,</w:t>
      </w:r>
    </w:p>
    <w:p w:rsidR="00D21EA6" w:rsidRPr="00C165C2" w:rsidRDefault="00D21EA6" w:rsidP="006E25C9">
      <w:pPr>
        <w:pStyle w:val="NormalHanging12a"/>
      </w:pPr>
      <w:r w:rsidRPr="00C165C2">
        <w:t>–</w:t>
      </w:r>
      <w:r w:rsidRPr="00C165C2">
        <w:tab/>
        <w:t xml:space="preserve">so zreteľom na návrh nariadenia Rady, ktorým sa mení príloha II k nariadeniu Európskeho parlamentu a Rady (ES) č. 396/2005, pokiaľ ide o maximálne hladiny rezíduí </w:t>
      </w:r>
      <w:proofErr w:type="spellStart"/>
      <w:r w:rsidRPr="00C165C2">
        <w:t>tiaklopridu</w:t>
      </w:r>
      <w:proofErr w:type="spellEnd"/>
      <w:r w:rsidRPr="00C165C2">
        <w:t xml:space="preserve"> v alebo na určitých produktoch </w:t>
      </w:r>
      <w:r w:rsidR="00CE737B" w:rsidRPr="00C165C2">
        <w:t>(</w:t>
      </w:r>
      <w:r w:rsidRPr="00C165C2">
        <w:t>COM(2023)0739</w:t>
      </w:r>
      <w:r w:rsidR="00CE737B" w:rsidRPr="00C165C2">
        <w:t>)</w:t>
      </w:r>
      <w:r w:rsidRPr="00C165C2">
        <w:t>,</w:t>
      </w:r>
    </w:p>
    <w:p w:rsidR="00D21EA6" w:rsidRPr="00C165C2" w:rsidRDefault="00D21EA6" w:rsidP="006E25C9">
      <w:pPr>
        <w:pStyle w:val="NormalHanging12a"/>
        <w:rPr>
          <w:szCs w:val="24"/>
        </w:rPr>
      </w:pPr>
      <w:r w:rsidRPr="00C165C2">
        <w:t>–</w:t>
      </w:r>
      <w:r w:rsidRPr="00C165C2">
        <w:tab/>
        <w:t>so zreteľom na nariadenie Európskeho parlamentu a Rady (ES) č. 396/2005 z 23. februára 2005 o maximálnych hladinách rezíduí pesticídov v alebo na potravinách a krmivách rastlinného a živočíšneho pôvodu a o zmene a doplnení smernice Rady 91/414/EHS</w:t>
      </w:r>
      <w:r w:rsidRPr="00C165C2">
        <w:rPr>
          <w:rStyle w:val="FootnoteReference"/>
        </w:rPr>
        <w:footnoteReference w:id="1"/>
      </w:r>
      <w:r w:rsidRPr="00C165C2">
        <w:t xml:space="preserve">, a najmä na jeho článok 14 ods. 1 písm. a) a článok 49 ods. 2, </w:t>
      </w:r>
    </w:p>
    <w:p w:rsidR="00D21EA6" w:rsidRPr="00C165C2" w:rsidRDefault="00D21EA6" w:rsidP="006E25C9">
      <w:pPr>
        <w:pStyle w:val="NormalHanging12a"/>
        <w:rPr>
          <w:szCs w:val="24"/>
        </w:rPr>
      </w:pPr>
      <w:r w:rsidRPr="00C165C2">
        <w:t>–</w:t>
      </w:r>
      <w:r w:rsidRPr="00C165C2">
        <w:tab/>
        <w:t>so zreteľom na nariadenie Európskeho parlamentu a Rady (ES) č. 1107/2009 z 21. októbra 2009 o uvádzaní prípravkov na ochranu rastlín na trh a o zrušení smerníc Rady 79/117/EHS a 91/414/EHS</w:t>
      </w:r>
      <w:r w:rsidRPr="00C165C2">
        <w:rPr>
          <w:rStyle w:val="FootnoteReference"/>
          <w:szCs w:val="24"/>
        </w:rPr>
        <w:footnoteReference w:id="2"/>
      </w:r>
      <w:r w:rsidRPr="00C165C2">
        <w:t xml:space="preserve">, a najmä na jeho článok 4 </w:t>
      </w:r>
      <w:r w:rsidR="002B63AD">
        <w:t xml:space="preserve">ods. 1 </w:t>
      </w:r>
      <w:r w:rsidRPr="00C165C2">
        <w:t xml:space="preserve">a článok 4 ods. 2 </w:t>
      </w:r>
      <w:r w:rsidR="002B63AD" w:rsidRPr="00C165C2">
        <w:t xml:space="preserve">prvý </w:t>
      </w:r>
      <w:proofErr w:type="spellStart"/>
      <w:r w:rsidR="002B63AD" w:rsidRPr="00C165C2">
        <w:t>pododsek</w:t>
      </w:r>
      <w:proofErr w:type="spellEnd"/>
      <w:r w:rsidR="002B63AD" w:rsidRPr="00C165C2">
        <w:t xml:space="preserve"> </w:t>
      </w:r>
      <w:r w:rsidRPr="00C165C2">
        <w:t>písm. a) a bod 3.6.4 prílohy II,</w:t>
      </w:r>
    </w:p>
    <w:p w:rsidR="00D21EA6" w:rsidRPr="00C165C2" w:rsidRDefault="00D21EA6" w:rsidP="006E25C9">
      <w:pPr>
        <w:pStyle w:val="NormalHanging12a"/>
        <w:rPr>
          <w:szCs w:val="24"/>
        </w:rPr>
      </w:pPr>
      <w:r w:rsidRPr="00C165C2">
        <w:t>–</w:t>
      </w:r>
      <w:r w:rsidRPr="00C165C2">
        <w:tab/>
        <w:t>so zreteľom na nariadenie Európskeho parlamentu a Rady (ES) č. 178/2002 z 28. januára 2002, ktorým sa ustanovujú všeobecné zásady a požiadavky potravinového práva, zriaďuje Európsky úrad pre bezpečnosť potravín a stanovujú postupy v záležitostiach bezpečnosti potravín</w:t>
      </w:r>
      <w:r w:rsidRPr="00C165C2">
        <w:rPr>
          <w:rStyle w:val="FootnoteReference"/>
          <w:szCs w:val="24"/>
        </w:rPr>
        <w:footnoteReference w:id="3"/>
      </w:r>
      <w:r w:rsidRPr="00C165C2">
        <w:t>, a najmä na jeho článok 5 ods. 1,</w:t>
      </w:r>
    </w:p>
    <w:p w:rsidR="00D21EA6" w:rsidRPr="00C165C2" w:rsidRDefault="00D21EA6" w:rsidP="006E25C9">
      <w:pPr>
        <w:pStyle w:val="NormalHanging12a"/>
        <w:rPr>
          <w:szCs w:val="24"/>
        </w:rPr>
      </w:pPr>
      <w:r w:rsidRPr="00C165C2">
        <w:t>–</w:t>
      </w:r>
      <w:r w:rsidRPr="00C165C2">
        <w:tab/>
        <w:t>so zreteľom na články 11, 13, 168 a 191 Zmluvy o fungovaní Európskej únie,</w:t>
      </w:r>
    </w:p>
    <w:p w:rsidR="00D21EA6" w:rsidRPr="00C165C2" w:rsidRDefault="00D21EA6" w:rsidP="006E25C9">
      <w:pPr>
        <w:pStyle w:val="NormalHanging12a"/>
      </w:pPr>
      <w:r w:rsidRPr="00C165C2">
        <w:t>–</w:t>
      </w:r>
      <w:r w:rsidRPr="00C165C2">
        <w:tab/>
        <w:t xml:space="preserve">so zreteľom na odôvodnené stanovisko prijaté Európskym úradom pre bezpečnosť </w:t>
      </w:r>
      <w:r w:rsidRPr="00C165C2">
        <w:lastRenderedPageBreak/>
        <w:t>potravín (ďalej len „EFSA“) 9. februára 2023 a uverejnené 15. marca 2023</w:t>
      </w:r>
      <w:r w:rsidRPr="00C165C2">
        <w:rPr>
          <w:rStyle w:val="FootnoteReference"/>
        </w:rPr>
        <w:footnoteReference w:id="4"/>
      </w:r>
      <w:r w:rsidRPr="00C165C2">
        <w:t>,</w:t>
      </w:r>
    </w:p>
    <w:p w:rsidR="00D21EA6" w:rsidRPr="00C165C2" w:rsidRDefault="00D21EA6" w:rsidP="006E25C9">
      <w:pPr>
        <w:pStyle w:val="NormalHanging12a"/>
        <w:rPr>
          <w:szCs w:val="24"/>
        </w:rPr>
      </w:pPr>
      <w:r w:rsidRPr="00C165C2">
        <w:t>–</w:t>
      </w:r>
      <w:r w:rsidRPr="00C165C2">
        <w:tab/>
        <w:t>so zreteľom na záver k partnerskému preskúmaniu pesticídov, ktorý schvál</w:t>
      </w:r>
      <w:r w:rsidR="002B63AD">
        <w:t>il</w:t>
      </w:r>
      <w:r w:rsidRPr="00C165C2">
        <w:t xml:space="preserve"> EFSA 17. januára 2019 a</w:t>
      </w:r>
      <w:r w:rsidR="002B63AD">
        <w:t xml:space="preserve"> bol </w:t>
      </w:r>
      <w:r w:rsidRPr="00C165C2">
        <w:t>uverejn</w:t>
      </w:r>
      <w:r w:rsidR="002B63AD">
        <w:t>ený</w:t>
      </w:r>
      <w:r w:rsidRPr="00C165C2">
        <w:t xml:space="preserve"> 14. marca 2019</w:t>
      </w:r>
      <w:r w:rsidRPr="00C165C2">
        <w:rPr>
          <w:rStyle w:val="FootnoteReference"/>
          <w:szCs w:val="24"/>
        </w:rPr>
        <w:footnoteReference w:id="5"/>
      </w:r>
      <w:r w:rsidRPr="00C165C2">
        <w:t>,</w:t>
      </w:r>
    </w:p>
    <w:p w:rsidR="00D21EA6" w:rsidRPr="00C165C2" w:rsidRDefault="00D21EA6" w:rsidP="006E25C9">
      <w:pPr>
        <w:pStyle w:val="NormalHanging12a"/>
        <w:rPr>
          <w:szCs w:val="24"/>
        </w:rPr>
      </w:pPr>
      <w:r w:rsidRPr="00C165C2">
        <w:t>–</w:t>
      </w:r>
      <w:r w:rsidRPr="00C165C2">
        <w:tab/>
        <w:t>so zreteľom na stanovisko prijaté Výborom pre hodnotenie rizík Európskej chemickej agentúry (ECHA) 12. marca 2015</w:t>
      </w:r>
      <w:r w:rsidRPr="00C165C2">
        <w:rPr>
          <w:rStyle w:val="FootnoteReference"/>
          <w:szCs w:val="24"/>
        </w:rPr>
        <w:footnoteReference w:id="6"/>
      </w:r>
      <w:r w:rsidRPr="00C165C2">
        <w:t>,</w:t>
      </w:r>
    </w:p>
    <w:p w:rsidR="00D21EA6" w:rsidRPr="00C165C2" w:rsidRDefault="00D21EA6" w:rsidP="006E25C9">
      <w:pPr>
        <w:pStyle w:val="NormalHanging12a"/>
        <w:rPr>
          <w:szCs w:val="24"/>
        </w:rPr>
      </w:pPr>
      <w:r w:rsidRPr="00C165C2">
        <w:t>–</w:t>
      </w:r>
      <w:r w:rsidRPr="00C165C2">
        <w:tab/>
        <w:t>so zreteľom na článok 5a ods. 4 písm. e) a článok 5a ods. 5 rozhodnutia Rady 1999/468/ES z 28. júna 1999, ktorým sa ustanovujú postupy pre výkon vykonávacích právomocí prenesených na Komisiu</w:t>
      </w:r>
      <w:r w:rsidRPr="00C165C2">
        <w:rPr>
          <w:rStyle w:val="FootnoteReference"/>
          <w:szCs w:val="24"/>
        </w:rPr>
        <w:footnoteReference w:id="7"/>
      </w:r>
      <w:r w:rsidRPr="00C165C2">
        <w:t>,</w:t>
      </w:r>
    </w:p>
    <w:p w:rsidR="00D21EA6" w:rsidRPr="00C165C2" w:rsidRDefault="00D21EA6" w:rsidP="006E25C9">
      <w:pPr>
        <w:pStyle w:val="NormalHanging12a"/>
      </w:pPr>
      <w:r w:rsidRPr="00C165C2">
        <w:t>–</w:t>
      </w:r>
      <w:r w:rsidRPr="00C165C2">
        <w:tab/>
        <w:t>so zreteľom na článok 112 ods. 2 a 3 a článok 112 ods. 4 písm. c) rokovacieho poriadku,</w:t>
      </w:r>
    </w:p>
    <w:p w:rsidR="00D21EA6" w:rsidRPr="00C165C2" w:rsidRDefault="00D21EA6" w:rsidP="006E25C9">
      <w:pPr>
        <w:pStyle w:val="NormalHanging12a"/>
      </w:pPr>
      <w:r w:rsidRPr="00C165C2">
        <w:t>–</w:t>
      </w:r>
      <w:r w:rsidRPr="00C165C2">
        <w:tab/>
        <w:t>so zreteľom na návrh uznesenia Výboru pre životné prostredie, verejné zdravie a bezpečnosť potravín,</w:t>
      </w:r>
    </w:p>
    <w:p w:rsidR="00D21EA6" w:rsidRPr="00C165C2" w:rsidRDefault="00D21EA6" w:rsidP="006E25C9">
      <w:pPr>
        <w:pStyle w:val="NormalHanging12a"/>
      </w:pPr>
      <w:r w:rsidRPr="00C165C2">
        <w:t>A.</w:t>
      </w:r>
      <w:r w:rsidRPr="00C165C2">
        <w:tab/>
        <w:t xml:space="preserve">keďže </w:t>
      </w:r>
      <w:proofErr w:type="spellStart"/>
      <w:r w:rsidRPr="00C165C2">
        <w:t>tiakloprid</w:t>
      </w:r>
      <w:proofErr w:type="spellEnd"/>
      <w:r w:rsidRPr="00C165C2">
        <w:t xml:space="preserve"> je účinná zložka insekticídov používaných najmä na bavlnu, jadrové ovocie, zeleninu a zemiaky;</w:t>
      </w:r>
    </w:p>
    <w:p w:rsidR="00D21EA6" w:rsidRPr="00C165C2" w:rsidRDefault="00D21EA6" w:rsidP="006E25C9">
      <w:pPr>
        <w:pStyle w:val="NormalHanging12a"/>
      </w:pPr>
      <w:r w:rsidRPr="00C165C2">
        <w:t>B.</w:t>
      </w:r>
      <w:r w:rsidRPr="00C165C2">
        <w:tab/>
        <w:t xml:space="preserve">keďže platnosť schválenia účinnej látky </w:t>
      </w:r>
      <w:proofErr w:type="spellStart"/>
      <w:r w:rsidRPr="00C165C2">
        <w:t>tiakloprid</w:t>
      </w:r>
      <w:proofErr w:type="spellEnd"/>
      <w:r w:rsidRPr="00C165C2">
        <w:t xml:space="preserve"> uplynula 3. februára 2020 a vykonávacím nariadením Komisie (EÚ) 2020/23</w:t>
      </w:r>
      <w:r w:rsidRPr="00C165C2">
        <w:rPr>
          <w:rStyle w:val="FootnoteReference"/>
        </w:rPr>
        <w:footnoteReference w:id="8"/>
      </w:r>
      <w:r w:rsidRPr="00C165C2">
        <w:t xml:space="preserve"> nebola obnovená; keďže doba odkladu v prípade prípravkov na ochranu rastlín s obsahom </w:t>
      </w:r>
      <w:proofErr w:type="spellStart"/>
      <w:r w:rsidRPr="00C165C2">
        <w:t>tiaklopridu</w:t>
      </w:r>
      <w:proofErr w:type="spellEnd"/>
      <w:r w:rsidRPr="00C165C2">
        <w:t xml:space="preserve"> uplynula 3. februára 2021;</w:t>
      </w:r>
    </w:p>
    <w:p w:rsidR="00D21EA6" w:rsidRPr="00C165C2" w:rsidRDefault="00D21EA6" w:rsidP="006E25C9">
      <w:pPr>
        <w:pStyle w:val="NormalHanging12a"/>
      </w:pPr>
      <w:r w:rsidRPr="00C165C2">
        <w:t>C.</w:t>
      </w:r>
      <w:r w:rsidRPr="00C165C2">
        <w:tab/>
        <w:t xml:space="preserve">keďže schválenie účinnej látky </w:t>
      </w:r>
      <w:proofErr w:type="spellStart"/>
      <w:r w:rsidRPr="00C165C2">
        <w:t>tiakloprid</w:t>
      </w:r>
      <w:proofErr w:type="spellEnd"/>
      <w:r w:rsidRPr="00C165C2">
        <w:t xml:space="preserve"> nebolo obnovené, pretože sa v prípade jedného alebo viacerých reprezentatívnych použití minimálne jedného prípravku na ochranu rastlín nepotvrdilo, že kritériá schválenia uvedené v článku 4 nariadenia (ES) č. 1107/2009 sú splnené; keďže EFSA identifikoval najmä dve kritické oblasti vzbudzujúce obavy; keďže prvá kritická oblasť vzbudzujúca obavy súvisela so zistením kontaminácie podzemných vôd viacerými relevantnými </w:t>
      </w:r>
      <w:proofErr w:type="spellStart"/>
      <w:r w:rsidRPr="00C165C2">
        <w:t>metabolitmi</w:t>
      </w:r>
      <w:proofErr w:type="spellEnd"/>
      <w:r w:rsidRPr="00C165C2">
        <w:t xml:space="preserve"> </w:t>
      </w:r>
      <w:proofErr w:type="spellStart"/>
      <w:r w:rsidRPr="00C165C2">
        <w:t>tiaklopridu</w:t>
      </w:r>
      <w:proofErr w:type="spellEnd"/>
      <w:r w:rsidRPr="00C165C2">
        <w:t xml:space="preserve">, ktorých karcinogénny potenciál (M30, M34 a M46) nad úrovňou parametrického limitu pre pitnú vodu 0,1 µg/l nebolo možné pri všetkých reprezentatívnych použitiach </w:t>
      </w:r>
      <w:r w:rsidRPr="00C165C2">
        <w:lastRenderedPageBreak/>
        <w:t>vylúčiť</w:t>
      </w:r>
      <w:r w:rsidRPr="00C165C2">
        <w:rPr>
          <w:rStyle w:val="FootnoteReference"/>
        </w:rPr>
        <w:footnoteReference w:id="9"/>
      </w:r>
      <w:r w:rsidRPr="00C165C2">
        <w:t xml:space="preserve">; keďže druhá kritická oblasť vzbudzujúca obavy súvisela s harmonizovanou klasifikáciou ECHA, ktorá predpokladá negatívny vplyv </w:t>
      </w:r>
      <w:proofErr w:type="spellStart"/>
      <w:r w:rsidRPr="00C165C2">
        <w:t>tiaklopridu</w:t>
      </w:r>
      <w:proofErr w:type="spellEnd"/>
      <w:r w:rsidRPr="00C165C2">
        <w:t xml:space="preserve"> na plodnosť a nenarodené dieťa (toxický pre reprodukciu kategórie 1B), v súlade s nariadením Európskeho parlamentu a Rady (ES) č. 1272/2008</w:t>
      </w:r>
      <w:r w:rsidRPr="00C165C2">
        <w:rPr>
          <w:rStyle w:val="FootnoteReference"/>
        </w:rPr>
        <w:footnoteReference w:id="10"/>
      </w:r>
      <w:r w:rsidRPr="00C165C2">
        <w:t xml:space="preserve">, a preto sa </w:t>
      </w:r>
      <w:proofErr w:type="spellStart"/>
      <w:r w:rsidRPr="00C165C2">
        <w:t>tiakloprid</w:t>
      </w:r>
      <w:proofErr w:type="spellEnd"/>
      <w:r w:rsidRPr="00C165C2">
        <w:t xml:space="preserve"> stal tzv. vyradenou látkou v súlade s článkom 4 ods. 1 nariadenia (ES) č. 1107/2009; </w:t>
      </w:r>
    </w:p>
    <w:p w:rsidR="00D21EA6" w:rsidRPr="00C165C2" w:rsidRDefault="00D21EA6" w:rsidP="006E25C9">
      <w:pPr>
        <w:pStyle w:val="NormalHanging12a"/>
      </w:pPr>
      <w:r w:rsidRPr="00C165C2">
        <w:t>D.</w:t>
      </w:r>
      <w:r w:rsidRPr="00C165C2">
        <w:tab/>
        <w:t>keďže EFSA zároveň dospel k záveru, že posúdenie rizík pre včely a necieľové suchozemské rastliny nebolo možné dokončiť;</w:t>
      </w:r>
    </w:p>
    <w:p w:rsidR="00D21EA6" w:rsidRPr="00C165C2" w:rsidRDefault="00D21EA6" w:rsidP="006E25C9">
      <w:pPr>
        <w:pStyle w:val="NormalHanging12a"/>
      </w:pPr>
      <w:r w:rsidRPr="00C165C2">
        <w:t>E.</w:t>
      </w:r>
      <w:r w:rsidRPr="00C165C2">
        <w:tab/>
        <w:t xml:space="preserve">keďže </w:t>
      </w:r>
      <w:proofErr w:type="spellStart"/>
      <w:r w:rsidRPr="00C165C2">
        <w:t>tiakloprid</w:t>
      </w:r>
      <w:proofErr w:type="spellEnd"/>
      <w:r w:rsidRPr="00C165C2">
        <w:t xml:space="preserve"> je klasifikovaný aj podľa nariadenia (ES) č. 1272/2008 ako látka, ktorá môže spôsobovať rakovinu (karcinogénna látka kategórie 2), látka veľmi toxická pre vodné organizmy (akútna vodná toxicita 1) a veľmi toxická pre vodné organizmy s dlhodobým účinkom (chronická toxicita 1);</w:t>
      </w:r>
    </w:p>
    <w:p w:rsidR="00D21EA6" w:rsidRPr="00C165C2" w:rsidRDefault="00D21EA6" w:rsidP="006E25C9">
      <w:pPr>
        <w:pStyle w:val="NormalHanging12a"/>
      </w:pPr>
      <w:r w:rsidRPr="00C165C2">
        <w:t>F.</w:t>
      </w:r>
      <w:r w:rsidRPr="00C165C2">
        <w:tab/>
        <w:t>keďže Stály výbor pre rastliny, zvieratá, potraviny a krmivá svoje stanovisko k návrhu nariadenia Rady nevydal; keďže na zasadnutí stáleho výboru, ktoré sa konalo 18. a 19. septembra 2023, návrh nariadenia nepodporilo osem členských štátov. Šesť z nich uviedlo najmä obavy týkajúce sa zachovania CXL a dovozných tolerancií pre neschválenú látku, ktorá spĺňa jedno z kritérií na vyradenie (</w:t>
      </w:r>
      <w:proofErr w:type="spellStart"/>
      <w:r w:rsidRPr="00C165C2">
        <w:rPr>
          <w:i/>
          <w:iCs/>
        </w:rPr>
        <w:t>cut-off</w:t>
      </w:r>
      <w:proofErr w:type="spellEnd"/>
      <w:r w:rsidRPr="00C165C2">
        <w:t xml:space="preserve"> – hraničné kritériá) podľa nariadenia (ES) č. 1107/2009 (toxická pre reprodukciu). Navyše jeden z členských štátov, ktoré návrh nariadenia nepodporili, vyjadril obavy, že EFSA konštatoval prekročenie akútnej referenčnej dávky za istých neštandardných okolností pri niektorých produktoch a iný členský štát upozornil na diskrimináciu poľnohospodárov EÚ, ktorí viac nesmú používať prípravky na ochranu rastlín s obsahom tejto účinnej látky, kým poľnohospodári z tretích krajín ich ešte používať môžu, čo môže viesť k nekalej hospodárskej súťaži</w:t>
      </w:r>
      <w:r w:rsidRPr="00C165C2">
        <w:rPr>
          <w:rStyle w:val="FootnoteReference"/>
        </w:rPr>
        <w:footnoteReference w:id="11"/>
      </w:r>
      <w:r w:rsidRPr="00C165C2">
        <w:t>;</w:t>
      </w:r>
    </w:p>
    <w:p w:rsidR="00D21EA6" w:rsidRPr="00C165C2" w:rsidRDefault="00D21EA6" w:rsidP="006E25C9">
      <w:pPr>
        <w:pStyle w:val="NormalHanging12a"/>
      </w:pPr>
      <w:r w:rsidRPr="00C165C2">
        <w:t>G.</w:t>
      </w:r>
      <w:r w:rsidRPr="00C165C2">
        <w:tab/>
        <w:t>keďže Nemecko požiadalo, aby sa do súhrnnej správy zo zasadnutia stáleho výboru, ktoré sa konalo 18. 19. septembra 2023, doplnilo toto vyhlásenie: „</w:t>
      </w:r>
      <w:proofErr w:type="spellStart"/>
      <w:r w:rsidRPr="00C165C2">
        <w:t>Tiakloprid</w:t>
      </w:r>
      <w:proofErr w:type="spellEnd"/>
      <w:r w:rsidRPr="00C165C2">
        <w:t xml:space="preserve"> je účinná látka, ktorá bola v zmysle nariadenia (ES) č. 1107/2009 vyradená. Počas postupu opätovného schvaľovania účinnej látky sa zistilo, že spĺňa hraničné kritériá, keďže je klasifikovaná ako látka toxická pre reprodukciu 1B. Preto táto účinná látka nebola opätovne schválená. Nemecko vo všeobecnosti nepodporuje stanovenie [maximálnych limitov rezíduí (MRL)] pre účinné látky, ktoré nie sú schválené v EÚ z dôvodu obáv o zdravie. Rozhodujúcim faktorom je, že hraničné kritériá boli stanovené v rámci postupu (opätovného) schvaľovania účinnej látky podľa nariadenia (ES) č. 1107/2009“</w:t>
      </w:r>
      <w:r w:rsidRPr="00C165C2">
        <w:rPr>
          <w:rStyle w:val="FootnoteReference"/>
        </w:rPr>
        <w:footnoteReference w:id="12"/>
      </w:r>
      <w:r w:rsidRPr="00C165C2">
        <w:t>;</w:t>
      </w:r>
    </w:p>
    <w:p w:rsidR="00D21EA6" w:rsidRPr="00C165C2" w:rsidRDefault="00D21EA6" w:rsidP="006E25C9">
      <w:pPr>
        <w:pStyle w:val="NormalHanging12a"/>
      </w:pPr>
      <w:r w:rsidRPr="00C165C2">
        <w:t>H.</w:t>
      </w:r>
      <w:r w:rsidRPr="00C165C2">
        <w:tab/>
        <w:t xml:space="preserve">keďže je preto vhodné vypustiť v súlade s článkom 17 nariadenia (ES) č. 396/2005 v spojení s jeho článkom 14 ods. 1 písm. a) existujúce MRL stanovené pre </w:t>
      </w:r>
      <w:proofErr w:type="spellStart"/>
      <w:r w:rsidRPr="00C165C2">
        <w:t>tiakloprid</w:t>
      </w:r>
      <w:proofErr w:type="spellEnd"/>
      <w:r w:rsidRPr="00C165C2">
        <w:t xml:space="preserve"> z prílohy II k uvedenému nariadeniu;</w:t>
      </w:r>
    </w:p>
    <w:p w:rsidR="00D21EA6" w:rsidRPr="00C165C2" w:rsidRDefault="00D21EA6" w:rsidP="006E25C9">
      <w:pPr>
        <w:pStyle w:val="NormalHanging12a"/>
      </w:pPr>
      <w:r w:rsidRPr="00C165C2">
        <w:lastRenderedPageBreak/>
        <w:t>I.</w:t>
      </w:r>
      <w:r w:rsidRPr="00C165C2">
        <w:tab/>
        <w:t>keďže však Komisia na základe odôvodneného stanoviska EFSA</w:t>
      </w:r>
      <w:r w:rsidRPr="00C165C2">
        <w:rPr>
          <w:rStyle w:val="FootnoteReference"/>
        </w:rPr>
        <w:footnoteReference w:id="13"/>
      </w:r>
      <w:r w:rsidRPr="00C165C2">
        <w:t xml:space="preserve"> odporúča v návrhu nariadenia Rady pri viac ako 30 produktoch zachovať MRL </w:t>
      </w:r>
      <w:proofErr w:type="spellStart"/>
      <w:r w:rsidRPr="00C165C2">
        <w:t>tiaklopridu</w:t>
      </w:r>
      <w:proofErr w:type="spellEnd"/>
      <w:r w:rsidRPr="00C165C2">
        <w:t xml:space="preserve"> nad úrovňou kvantifikačného limitu na účely dovozu;</w:t>
      </w:r>
    </w:p>
    <w:p w:rsidR="00D21EA6" w:rsidRPr="00C165C2" w:rsidRDefault="00D21EA6" w:rsidP="006E25C9">
      <w:pPr>
        <w:pStyle w:val="NormalHanging12a"/>
      </w:pPr>
      <w:r w:rsidRPr="00C165C2">
        <w:t>J.</w:t>
      </w:r>
      <w:r w:rsidRPr="00C165C2">
        <w:tab/>
        <w:t xml:space="preserve">keďže použitia, pri ktorých sa MRL </w:t>
      </w:r>
      <w:proofErr w:type="spellStart"/>
      <w:r w:rsidRPr="00C165C2">
        <w:t>tiaklopridu</w:t>
      </w:r>
      <w:proofErr w:type="spellEnd"/>
      <w:r w:rsidRPr="00C165C2">
        <w:t xml:space="preserve"> nad úrovňou kvantifikačného limitu považujú za bezpečné, zahŕňajú použitia na papájach, čaji, orechoch stromových, </w:t>
      </w:r>
      <w:proofErr w:type="spellStart"/>
      <w:r w:rsidRPr="00C165C2">
        <w:t>duliach</w:t>
      </w:r>
      <w:proofErr w:type="spellEnd"/>
      <w:r w:rsidRPr="00C165C2">
        <w:t>, mišpuliach, japonskej mišpuli/</w:t>
      </w:r>
      <w:proofErr w:type="spellStart"/>
      <w:r w:rsidRPr="00C165C2">
        <w:t>lokváte</w:t>
      </w:r>
      <w:proofErr w:type="spellEnd"/>
      <w:r w:rsidRPr="00C165C2">
        <w:t xml:space="preserve">, marhuliach, čerešniach (čerešňa vtáčia), slivkách, jahodách, ostružinách, ostružine </w:t>
      </w:r>
      <w:proofErr w:type="spellStart"/>
      <w:r w:rsidRPr="00C165C2">
        <w:t>ožinovej</w:t>
      </w:r>
      <w:proofErr w:type="spellEnd"/>
      <w:r w:rsidRPr="00C165C2">
        <w:t>, inom drobnom a bobuľovom ovocí, kivi, zemiakoch, rajčiakoch, baklažánoch, melónoch, dyni červenej, ryži, pšenici, produktoch živočíšneho pôvodu (ošípané, hovädzí dobytok, ovce, kone, hydina a iné hospodárske zvieratá) z tkanív (svalovina, pečeň, obličky a jedlé vedľajšie jatočné produkty), mlieku a vajciach, malinách, uhorkách šalátových, cuketách, semenách repky, horčicových semenách a semenách bavlníka; keďže MRL navrhované na tieto použitia sa pohybujú od dvojnásobku až po tisícnásobok kvantifikačného limitu (pri použití na čajoch);</w:t>
      </w:r>
    </w:p>
    <w:p w:rsidR="00D21EA6" w:rsidRPr="00C165C2" w:rsidRDefault="00D21EA6" w:rsidP="006E25C9">
      <w:pPr>
        <w:pStyle w:val="NormalHanging12a"/>
      </w:pPr>
      <w:r w:rsidRPr="00C165C2">
        <w:t>K.</w:t>
      </w:r>
      <w:r w:rsidRPr="00C165C2">
        <w:tab/>
        <w:t xml:space="preserve">keďže, na druhej strane bola žiadosť o dovozné tolerancie zamietnutá iba v prípade dvoch použití (na broskyniach a sladkej paprike), pri ktorých prekročenie akútnej referenčnej dávky nemožno vylúčiť, preto Komisia pri týchto použitiach navrhla znížiť MRL </w:t>
      </w:r>
      <w:proofErr w:type="spellStart"/>
      <w:r w:rsidRPr="00C165C2">
        <w:t>tiaklopridu</w:t>
      </w:r>
      <w:proofErr w:type="spellEnd"/>
      <w:r w:rsidRPr="00C165C2">
        <w:t xml:space="preserve"> na úroveň kvantifikačného limitu; </w:t>
      </w:r>
    </w:p>
    <w:p w:rsidR="00D21EA6" w:rsidRPr="00C165C2" w:rsidRDefault="00D21EA6" w:rsidP="006E25C9">
      <w:pPr>
        <w:pStyle w:val="NormalHanging12a"/>
      </w:pPr>
      <w:r w:rsidRPr="00C165C2">
        <w:t>L.</w:t>
      </w:r>
      <w:r w:rsidRPr="00C165C2">
        <w:tab/>
        <w:t xml:space="preserve">keďže v nariadení (ES) č. 396/2005 sa v odôvodnení 5 stanovuje, že prítomnosť rezíduí by nemala dosahovať úrovne predstavujúce neprijateľné riziko pre ľudí a v relevantných prípadoch aj pre zvieratá; </w:t>
      </w:r>
    </w:p>
    <w:p w:rsidR="00D21EA6" w:rsidRPr="00C165C2" w:rsidRDefault="00D21EA6" w:rsidP="006E25C9">
      <w:pPr>
        <w:pStyle w:val="NormalHanging12a"/>
      </w:pPr>
      <w:r w:rsidRPr="00C165C2">
        <w:t>M.</w:t>
      </w:r>
      <w:r w:rsidRPr="00C165C2">
        <w:tab/>
        <w:t>keďže v článku 4 ods. 2 písm. a) nariadenia (ES) č. 1107/2009 sa stanovuje, že rezíduá prípravkov na ochranu rastlín nemajú žiadny škodlivý účinok na zdravie ľudí vrátane zraniteľných skupín alebo na zdravie zvierat pri zohľadnení známych kumulatívnych a synergických účinkov; keďže v bode 3.6.4 prílohy II k uvedenému nariadeniu sa stanovuje, že účinná látka klasifikovaná v súlade s nariadením (ES) č. 1272/2008 ako reprodukčne toxická kategórie 1A alebo 1B sa neschváli s výnimkou prípadu, keď „rezíduá príslušnej účinnej látky [...] v potravinách a krmive neprekračujú štandardné hodnoty stanovené v súlade s článkom 18 ods. 1 písm. b) nariadenia (ES) č. 396/2005“; keďže v článku 18 ods. 1 písm. b) nariadenia (ES) č. 396/2005 sa stanovuje štandardná hodnota 0,01 mg/kg;</w:t>
      </w:r>
    </w:p>
    <w:p w:rsidR="00D21EA6" w:rsidRPr="00C165C2" w:rsidRDefault="00D21EA6" w:rsidP="006E25C9">
      <w:pPr>
        <w:pStyle w:val="NormalHanging12a"/>
      </w:pPr>
      <w:r w:rsidRPr="00C165C2">
        <w:t>N.</w:t>
      </w:r>
      <w:r w:rsidRPr="00C165C2">
        <w:tab/>
        <w:t xml:space="preserve">keďže v článku 3 ods. 2 písm. g) nariadenia (ES) č. 396/2005 sa uvádza, že dovozná tolerancia znamená MRL stanovenú pre dovážané výrobky, pokiaľ „nie je používanie aktívnej látky v prípravku na ochranu rastlín pre daný výrobok povolené v Spoločenstve z iných dôvodov ako dôvodov verejného zdravia v súvislosti so špecifickým výrobkom a špecifickým používaním“; keďže </w:t>
      </w:r>
      <w:proofErr w:type="spellStart"/>
      <w:r w:rsidRPr="00C165C2">
        <w:t>tiakloprid</w:t>
      </w:r>
      <w:proofErr w:type="spellEnd"/>
      <w:r w:rsidRPr="00C165C2">
        <w:t xml:space="preserve"> nespĺňa tieto kritériá, pretože bol zakázaný zo zdravotných dôvodov a je klasifikovaný ako toxický pre reprodukciu kategórie 1B;</w:t>
      </w:r>
    </w:p>
    <w:p w:rsidR="00D21EA6" w:rsidRPr="00C165C2" w:rsidRDefault="00D21EA6" w:rsidP="006E25C9">
      <w:pPr>
        <w:pStyle w:val="NormalHanging12a"/>
      </w:pPr>
      <w:r w:rsidRPr="00C165C2">
        <w:t>O.</w:t>
      </w:r>
      <w:r w:rsidRPr="00C165C2">
        <w:tab/>
        <w:t xml:space="preserve">keďže v článku 5 ods. 1 nariadenia (ES) č. 178/2002 sa stanovuje, že potravinovým právom sa má sledovať jeden alebo viacero všeobecných cieľov vysokej úrovne ochrany života a zdravia ľudí a ochrany záujmov spotrebiteľa, vrátane čestných postupov v obchode s potravinami, berúc do úvahy, ak to bude potrebné, ochranu zdravia zvierat, dobrých životných podmienok zvierat, zdravia rastlín a životného </w:t>
      </w:r>
      <w:r w:rsidRPr="00C165C2">
        <w:lastRenderedPageBreak/>
        <w:t>prostredia;</w:t>
      </w:r>
    </w:p>
    <w:p w:rsidR="00D21EA6" w:rsidRPr="00C165C2" w:rsidRDefault="00D21EA6" w:rsidP="006E25C9">
      <w:pPr>
        <w:pStyle w:val="NormalHanging12a"/>
      </w:pPr>
      <w:r w:rsidRPr="00C165C2">
        <w:t>P.</w:t>
      </w:r>
      <w:r w:rsidRPr="00C165C2">
        <w:tab/>
        <w:t>keďže súčasná kríza opeľovačov je jednou z hlavných príčin ohrozenia biodiverzity a globálnej a miestnej potravinovej bezpečnosti; keďže táto kríza môže zhoršiť problémy skrytého hladu, narušiť odolnosť ekosystémov a destabilizovať ekosystémy tvoriace systém, ktorý umožňuje náš život</w:t>
      </w:r>
      <w:r w:rsidRPr="00C165C2">
        <w:rPr>
          <w:rStyle w:val="FootnoteReference"/>
        </w:rPr>
        <w:footnoteReference w:id="14"/>
      </w:r>
      <w:r w:rsidRPr="00C165C2">
        <w:t>;</w:t>
      </w:r>
    </w:p>
    <w:p w:rsidR="00D21EA6" w:rsidRPr="00C165C2" w:rsidRDefault="00D21EA6" w:rsidP="006E25C9">
      <w:pPr>
        <w:pStyle w:val="NormalHanging12a"/>
      </w:pPr>
      <w:r w:rsidRPr="00C165C2">
        <w:t>Q.</w:t>
      </w:r>
      <w:r w:rsidRPr="00C165C2">
        <w:tab/>
        <w:t>keďže Komisia vo svojom oznámení z 20. mája 2020 s názvom stratégia Z farmy na stôl v záujme spravodlivého, zdravého potravinového systému šetrného k životnému prostrediu</w:t>
      </w:r>
      <w:r w:rsidRPr="00C165C2">
        <w:rPr>
          <w:rStyle w:val="FootnoteReference"/>
        </w:rPr>
        <w:footnoteReference w:id="15"/>
      </w:r>
      <w:r w:rsidRPr="00C165C2">
        <w:t xml:space="preserve"> oznámila, že „EÚ bude podporovať celosvetový prechod na udržateľné </w:t>
      </w:r>
      <w:proofErr w:type="spellStart"/>
      <w:r w:rsidRPr="00C165C2">
        <w:t>agropotravinové</w:t>
      </w:r>
      <w:proofErr w:type="spellEnd"/>
      <w:r w:rsidRPr="00C165C2">
        <w:t xml:space="preserve"> systémy v súlade s cieľmi tejto stratégie a cieľmi udržateľného rozvoja“ a že „EÚ môže pomocou tejto stratégie zohrávať kľúčovú úlohu pri určovaní svetových štandardov“; keďže Komisia v stratégii výslovne uviedla, že „[p]</w:t>
      </w:r>
      <w:proofErr w:type="spellStart"/>
      <w:r w:rsidRPr="00C165C2">
        <w:t>redpokladom</w:t>
      </w:r>
      <w:proofErr w:type="spellEnd"/>
      <w:r w:rsidRPr="00C165C2">
        <w:t xml:space="preserve"> udržateľnejšieho potravinového systému EÚ je, aby aj naši obchodní partneri prechádzali na čoraz väčšmi udržateľné postupy. EÚ so zámerom podporovať postupný prechod na používanie bezpečnejších prípravkov na ochranu rastlín zváži (v súlade s pravidlami WTO a na základe posúdenia rizík) preskúmanie dovozných tolerancií na látky, ktoré spĺňajú „hraničné kritériá“ a predstavujú vysoký stupeň rizika pre ľudské zdravie“;</w:t>
      </w:r>
    </w:p>
    <w:p w:rsidR="00D21EA6" w:rsidRPr="00C165C2" w:rsidRDefault="00D21EA6" w:rsidP="006E25C9">
      <w:pPr>
        <w:pStyle w:val="NormalHanging12a"/>
      </w:pPr>
      <w:r w:rsidRPr="00C165C2">
        <w:t>R.</w:t>
      </w:r>
      <w:r w:rsidRPr="00C165C2">
        <w:tab/>
        <w:t>keďže Komisia v roku 2022 znížila</w:t>
      </w:r>
      <w:r w:rsidRPr="00C165C2">
        <w:rPr>
          <w:rStyle w:val="FootnoteReference"/>
        </w:rPr>
        <w:footnoteReference w:id="16"/>
      </w:r>
      <w:r w:rsidRPr="00C165C2">
        <w:t xml:space="preserve"> MRL v prípade dvoch </w:t>
      </w:r>
      <w:proofErr w:type="spellStart"/>
      <w:r w:rsidRPr="00C165C2">
        <w:t>neonikotinoidov</w:t>
      </w:r>
      <w:proofErr w:type="spellEnd"/>
      <w:r w:rsidRPr="00C165C2">
        <w:t xml:space="preserve">, ktoré predstavujú vysoké riziko pre opeľovače, na najnižšiu úroveň, ktorú možno merať najnovšími technológiami, pričom dovážané produkty už nemôžu obsahovať rezíduá </w:t>
      </w:r>
      <w:proofErr w:type="spellStart"/>
      <w:r w:rsidRPr="00C165C2">
        <w:t>klotianidínu</w:t>
      </w:r>
      <w:proofErr w:type="spellEnd"/>
      <w:r w:rsidRPr="00C165C2">
        <w:t xml:space="preserve"> ani </w:t>
      </w:r>
      <w:proofErr w:type="spellStart"/>
      <w:r w:rsidRPr="00C165C2">
        <w:t>tiametoxámu</w:t>
      </w:r>
      <w:proofErr w:type="spellEnd"/>
      <w:r w:rsidRPr="00C165C2">
        <w:t xml:space="preserve">; </w:t>
      </w:r>
    </w:p>
    <w:p w:rsidR="00D21EA6" w:rsidRPr="00C165C2" w:rsidRDefault="00D21EA6" w:rsidP="006E25C9">
      <w:pPr>
        <w:pStyle w:val="NormalHanging12a"/>
      </w:pPr>
      <w:r w:rsidRPr="00C165C2">
        <w:t>S.</w:t>
      </w:r>
      <w:r w:rsidRPr="00C165C2">
        <w:tab/>
        <w:t>keďže v tejto súvislosti Komisia argumentuje, že „vzhľadom na všetky faktory týkajúce sa posudzovanej veci v súlade s článkom 14 ods. 2 a po zohľadnení článku 11 Zmluvy o fungovaní Európskej únie, podľa ktorého „[p]</w:t>
      </w:r>
      <w:proofErr w:type="spellStart"/>
      <w:r w:rsidRPr="00C165C2">
        <w:t>ožiadavky</w:t>
      </w:r>
      <w:proofErr w:type="spellEnd"/>
      <w:r w:rsidRPr="00C165C2">
        <w:t xml:space="preserve"> ochrany životného prostredia musia byť začlenené do vymedzenia a uskutočňovania politík Únie a činností, a to predovšetkým s ohľadom na podporu trvalo udržateľného rozvoja“, by sa preto všetky súčasné MRL </w:t>
      </w:r>
      <w:proofErr w:type="spellStart"/>
      <w:r w:rsidRPr="00C165C2">
        <w:t>klotianidínu</w:t>
      </w:r>
      <w:proofErr w:type="spellEnd"/>
      <w:r w:rsidRPr="00C165C2">
        <w:t xml:space="preserve"> a/alebo </w:t>
      </w:r>
      <w:proofErr w:type="spellStart"/>
      <w:r w:rsidRPr="00C165C2">
        <w:t>tiametoxámu</w:t>
      </w:r>
      <w:proofErr w:type="spellEnd"/>
      <w:r w:rsidRPr="00C165C2">
        <w:t xml:space="preserve"> stanovené v nariadení (ES) č. 396/2005 mali znížiť na úroveň kvantifikačných limitov“</w:t>
      </w:r>
      <w:r w:rsidRPr="00C165C2">
        <w:rPr>
          <w:rStyle w:val="FootnoteReference"/>
        </w:rPr>
        <w:footnoteReference w:id="17"/>
      </w:r>
      <w:r w:rsidRPr="00C165C2">
        <w:t>;</w:t>
      </w:r>
    </w:p>
    <w:p w:rsidR="00D21EA6" w:rsidRPr="00C165C2" w:rsidRDefault="00D21EA6" w:rsidP="006E25C9">
      <w:pPr>
        <w:pStyle w:val="NormalHanging12a"/>
      </w:pPr>
      <w:r w:rsidRPr="00C165C2">
        <w:t>T.</w:t>
      </w:r>
      <w:r w:rsidRPr="00C165C2">
        <w:tab/>
        <w:t>keďže na zasadnutí Stáleho výboru pre rastliny, zvieratá, potraviny a krmivá 10. a 11. mája 2023 „[K]</w:t>
      </w:r>
      <w:proofErr w:type="spellStart"/>
      <w:r w:rsidRPr="00C165C2">
        <w:t>omisia</w:t>
      </w:r>
      <w:proofErr w:type="spellEnd"/>
      <w:r w:rsidRPr="00C165C2">
        <w:t xml:space="preserve"> pripomenula, že </w:t>
      </w:r>
      <w:proofErr w:type="spellStart"/>
      <w:r w:rsidRPr="00C165C2">
        <w:t>tiakloprid</w:t>
      </w:r>
      <w:proofErr w:type="spellEnd"/>
      <w:r w:rsidRPr="00C165C2">
        <w:t xml:space="preserve"> patrí do skupiny účinných látok </w:t>
      </w:r>
      <w:proofErr w:type="spellStart"/>
      <w:r w:rsidRPr="00C165C2">
        <w:t>neonikotinoidy</w:t>
      </w:r>
      <w:proofErr w:type="spellEnd"/>
      <w:r w:rsidRPr="00C165C2">
        <w:t xml:space="preserve">, [ale keďže] má odlišné vlastnosti ako </w:t>
      </w:r>
      <w:proofErr w:type="spellStart"/>
      <w:r w:rsidRPr="00C165C2">
        <w:t>klotianidín</w:t>
      </w:r>
      <w:proofErr w:type="spellEnd"/>
      <w:r w:rsidRPr="00C165C2">
        <w:t xml:space="preserve"> a </w:t>
      </w:r>
      <w:proofErr w:type="spellStart"/>
      <w:r w:rsidRPr="00C165C2">
        <w:t>tiametoxám</w:t>
      </w:r>
      <w:proofErr w:type="spellEnd"/>
      <w:r w:rsidRPr="00C165C2">
        <w:t xml:space="preserve">, v súčasnosti sa nepredpokladá uplatnenie rovnakého prístupu ako v prípade </w:t>
      </w:r>
      <w:proofErr w:type="spellStart"/>
      <w:r w:rsidRPr="00C165C2">
        <w:t>klotianidínu</w:t>
      </w:r>
      <w:proofErr w:type="spellEnd"/>
      <w:r w:rsidRPr="00C165C2">
        <w:t xml:space="preserve"> a </w:t>
      </w:r>
      <w:proofErr w:type="spellStart"/>
      <w:r w:rsidRPr="00C165C2">
        <w:t>tiametoxámu</w:t>
      </w:r>
      <w:proofErr w:type="spellEnd"/>
      <w:r w:rsidRPr="00C165C2">
        <w:t xml:space="preserve"> pri vykonávaní stratégie Z farmy na stôl, t. j. zníženie všetkých MRL na </w:t>
      </w:r>
      <w:r w:rsidRPr="00C165C2">
        <w:lastRenderedPageBreak/>
        <w:t>úroveň kvantifikačného limitu“</w:t>
      </w:r>
      <w:r w:rsidRPr="00C165C2">
        <w:rPr>
          <w:rStyle w:val="FootnoteReference"/>
        </w:rPr>
        <w:footnoteReference w:id="18"/>
      </w:r>
      <w:r w:rsidRPr="00C165C2">
        <w:t>;</w:t>
      </w:r>
    </w:p>
    <w:p w:rsidR="00D21EA6" w:rsidRPr="00C165C2" w:rsidRDefault="00D21EA6" w:rsidP="006E25C9">
      <w:pPr>
        <w:pStyle w:val="NormalHanging12a"/>
      </w:pPr>
      <w:r w:rsidRPr="00C165C2">
        <w:t>U.</w:t>
      </w:r>
      <w:r w:rsidRPr="00C165C2">
        <w:tab/>
        <w:t xml:space="preserve">keďže fakt, že by mal </w:t>
      </w:r>
      <w:proofErr w:type="spellStart"/>
      <w:r w:rsidRPr="00C165C2">
        <w:t>tiakloprid</w:t>
      </w:r>
      <w:proofErr w:type="spellEnd"/>
      <w:r w:rsidRPr="00C165C2">
        <w:t xml:space="preserve"> odlišné vlastnosti ako iné </w:t>
      </w:r>
      <w:proofErr w:type="spellStart"/>
      <w:r w:rsidRPr="00C165C2">
        <w:t>neonikotinoidy</w:t>
      </w:r>
      <w:proofErr w:type="spellEnd"/>
      <w:r w:rsidRPr="00C165C2">
        <w:t xml:space="preserve">, bol vo vedeckej literatúre napadnutý a z výsledkov vyplýva, že „nastal čas spochybniť povesť </w:t>
      </w:r>
      <w:proofErr w:type="spellStart"/>
      <w:r w:rsidRPr="00C165C2">
        <w:t>tiaklopridu</w:t>
      </w:r>
      <w:proofErr w:type="spellEnd"/>
      <w:r w:rsidRPr="00C165C2">
        <w:t xml:space="preserve"> ako relatívne benígneho </w:t>
      </w:r>
      <w:proofErr w:type="spellStart"/>
      <w:r w:rsidRPr="00C165C2">
        <w:t>neonikotinoidu</w:t>
      </w:r>
      <w:proofErr w:type="spellEnd"/>
      <w:r w:rsidRPr="00C165C2">
        <w:t>“</w:t>
      </w:r>
      <w:r w:rsidRPr="00C165C2">
        <w:rPr>
          <w:rStyle w:val="FootnoteReference"/>
        </w:rPr>
        <w:footnoteReference w:id="19"/>
      </w:r>
      <w:r w:rsidRPr="00C165C2">
        <w:t>;</w:t>
      </w:r>
    </w:p>
    <w:p w:rsidR="00D21EA6" w:rsidRPr="00C165C2" w:rsidRDefault="00D21EA6" w:rsidP="006E25C9">
      <w:pPr>
        <w:pStyle w:val="NormalHanging12a"/>
      </w:pPr>
      <w:r w:rsidRPr="00C165C2">
        <w:t>V.</w:t>
      </w:r>
      <w:r w:rsidRPr="00C165C2">
        <w:tab/>
        <w:t xml:space="preserve">keďže sa zistilo, že kolónie čmeliakov vystavené účinkom </w:t>
      </w:r>
      <w:proofErr w:type="spellStart"/>
      <w:r w:rsidRPr="00C165C2">
        <w:t>tiaklopridu</w:t>
      </w:r>
      <w:proofErr w:type="spellEnd"/>
      <w:r w:rsidRPr="00C165C2">
        <w:t xml:space="preserve"> majú skôr tendenciu predčasne vymierať a tie, ktoré prežili, trpia </w:t>
      </w:r>
      <w:proofErr w:type="spellStart"/>
      <w:r w:rsidRPr="00C165C2">
        <w:t>subletálnymi</w:t>
      </w:r>
      <w:proofErr w:type="spellEnd"/>
      <w:r w:rsidRPr="00C165C2">
        <w:t xml:space="preserve"> účinkami</w:t>
      </w:r>
      <w:r w:rsidRPr="00C165C2">
        <w:rPr>
          <w:rStyle w:val="FootnoteReference"/>
        </w:rPr>
        <w:footnoteReference w:id="20"/>
      </w:r>
      <w:r w:rsidRPr="00C165C2">
        <w:t xml:space="preserve">; keďže sa tiež zistilo, že </w:t>
      </w:r>
      <w:proofErr w:type="spellStart"/>
      <w:r w:rsidRPr="00C165C2">
        <w:t>tiakloprid</w:t>
      </w:r>
      <w:proofErr w:type="spellEnd"/>
      <w:r w:rsidRPr="00C165C2">
        <w:t xml:space="preserve"> ovplyvňuje správanie a imunitný systém včiel medonosných podobne ako </w:t>
      </w:r>
      <w:proofErr w:type="spellStart"/>
      <w:r w:rsidRPr="00C165C2">
        <w:t>imidakloprid</w:t>
      </w:r>
      <w:proofErr w:type="spellEnd"/>
      <w:r w:rsidRPr="00C165C2">
        <w:t xml:space="preserve">, </w:t>
      </w:r>
      <w:proofErr w:type="spellStart"/>
      <w:r w:rsidRPr="00C165C2">
        <w:t>klotianidín</w:t>
      </w:r>
      <w:proofErr w:type="spellEnd"/>
      <w:r w:rsidRPr="00C165C2">
        <w:t xml:space="preserve"> a </w:t>
      </w:r>
      <w:proofErr w:type="spellStart"/>
      <w:r w:rsidRPr="00C165C2">
        <w:t>tiametoxám</w:t>
      </w:r>
      <w:proofErr w:type="spellEnd"/>
      <w:r w:rsidRPr="00C165C2">
        <w:rPr>
          <w:rStyle w:val="FootnoteReference"/>
        </w:rPr>
        <w:footnoteReference w:id="21"/>
      </w:r>
      <w:r w:rsidRPr="00C165C2">
        <w:rPr>
          <w:vertAlign w:val="superscript"/>
        </w:rPr>
        <w:t>,</w:t>
      </w:r>
      <w:r w:rsidRPr="00C165C2">
        <w:rPr>
          <w:rStyle w:val="FootnoteReference"/>
        </w:rPr>
        <w:footnoteReference w:id="22"/>
      </w:r>
      <w:r w:rsidRPr="00C165C2">
        <w:t>;</w:t>
      </w:r>
    </w:p>
    <w:p w:rsidR="00D21EA6" w:rsidRPr="00C165C2" w:rsidRDefault="00D21EA6" w:rsidP="006E25C9">
      <w:pPr>
        <w:pStyle w:val="NormalHanging12a"/>
      </w:pPr>
      <w:r w:rsidRPr="00C165C2">
        <w:t>W.</w:t>
      </w:r>
      <w:r w:rsidRPr="00C165C2">
        <w:tab/>
        <w:t xml:space="preserve">keďže existuje čoraz viac dôkazov o tom, že používanie </w:t>
      </w:r>
      <w:proofErr w:type="spellStart"/>
      <w:r w:rsidRPr="00C165C2">
        <w:t>tiaklopridu</w:t>
      </w:r>
      <w:proofErr w:type="spellEnd"/>
      <w:r w:rsidRPr="00C165C2">
        <w:t xml:space="preserve"> má devastačné účinky na biodiverzitu, a najmä na včely a iné opeľovače</w:t>
      </w:r>
      <w:r w:rsidRPr="00C165C2">
        <w:rPr>
          <w:rStyle w:val="FootnoteReference"/>
          <w:szCs w:val="24"/>
        </w:rPr>
        <w:footnoteReference w:id="23"/>
      </w:r>
      <w:r w:rsidRPr="00C165C2">
        <w:t>;</w:t>
      </w:r>
    </w:p>
    <w:p w:rsidR="00D21EA6" w:rsidRPr="00C165C2" w:rsidRDefault="00D21EA6" w:rsidP="006E25C9">
      <w:pPr>
        <w:pStyle w:val="NormalHanging12a"/>
      </w:pPr>
      <w:r w:rsidRPr="00C165C2">
        <w:t>X.</w:t>
      </w:r>
      <w:r w:rsidRPr="00C165C2">
        <w:tab/>
        <w:t>keďže EFSA vo svojej správe o neobnovení povolenia z 22. októbra 2019</w:t>
      </w:r>
      <w:r w:rsidRPr="00C165C2">
        <w:rPr>
          <w:rStyle w:val="FootnoteReference"/>
        </w:rPr>
        <w:footnoteReference w:id="24"/>
      </w:r>
      <w:r w:rsidRPr="00C165C2">
        <w:t xml:space="preserve"> dospel k záveru, že „dostupné informácie nepostačujú na splnenie požiadaviek stanovených v článku 4 ods. 1 až 3 nariadenia (ES) č. 1107/2009“, a najmä, že „hodnotenie rizika pre včely nebolo možné dokončiť“;</w:t>
      </w:r>
    </w:p>
    <w:p w:rsidR="00D21EA6" w:rsidRPr="00C165C2" w:rsidRDefault="00D21EA6" w:rsidP="006E25C9">
      <w:pPr>
        <w:pStyle w:val="NormalHanging12a"/>
      </w:pPr>
      <w:r w:rsidRPr="00C165C2">
        <w:t>Y.</w:t>
      </w:r>
      <w:r w:rsidRPr="00C165C2">
        <w:tab/>
        <w:t xml:space="preserve">keďže </w:t>
      </w:r>
      <w:proofErr w:type="spellStart"/>
      <w:r w:rsidRPr="00C165C2">
        <w:t>tiakloprid</w:t>
      </w:r>
      <w:proofErr w:type="spellEnd"/>
      <w:r w:rsidRPr="00C165C2">
        <w:t xml:space="preserve"> by sa preto malo vzťahovať rovnaké odôvodnenie a pravidlá, aké sa uplatňujú na </w:t>
      </w:r>
      <w:proofErr w:type="spellStart"/>
      <w:r w:rsidRPr="00C165C2">
        <w:t>klotianidín</w:t>
      </w:r>
      <w:proofErr w:type="spellEnd"/>
      <w:r w:rsidRPr="00C165C2">
        <w:t xml:space="preserve"> a </w:t>
      </w:r>
      <w:proofErr w:type="spellStart"/>
      <w:r w:rsidRPr="00C165C2">
        <w:t>tiametoxám</w:t>
      </w:r>
      <w:proofErr w:type="spellEnd"/>
      <w:r w:rsidRPr="00C165C2">
        <w:t>;</w:t>
      </w:r>
    </w:p>
    <w:p w:rsidR="00D21EA6" w:rsidRPr="00C165C2" w:rsidRDefault="00D21EA6" w:rsidP="006E25C9">
      <w:pPr>
        <w:pStyle w:val="NormalHanging12a"/>
      </w:pPr>
      <w:r w:rsidRPr="00C165C2">
        <w:t>Z.</w:t>
      </w:r>
      <w:r w:rsidRPr="00C165C2">
        <w:tab/>
        <w:t xml:space="preserve">keďže Komisia musí chrániť životné prostredie a občanov Európskej únie na základe dostupných vedeckých informácií s využitím povinností a právnych možností, ktoré </w:t>
      </w:r>
      <w:r w:rsidRPr="00C165C2">
        <w:lastRenderedPageBreak/>
        <w:t>stanovujú nariadenia (ES) č. 396/2005 a (ES) č. 178/2002, s cieľom zabezpečiť vysokú úroveň ochrany zdravia ľudí a zvierat a životného prostredia;</w:t>
      </w:r>
    </w:p>
    <w:p w:rsidR="00D21EA6" w:rsidRPr="00C165C2" w:rsidRDefault="00D21EA6" w:rsidP="006E25C9">
      <w:pPr>
        <w:pStyle w:val="NormalHanging12a"/>
      </w:pPr>
      <w:r w:rsidRPr="00C165C2">
        <w:t>AA.</w:t>
      </w:r>
      <w:r w:rsidRPr="00C165C2">
        <w:tab/>
        <w:t>keďže navrhované MRL nechránia zdravie občanov Európskej únie a nezaručujú vysokú úroveň ochrany včiel ani iných opeľovačov, a preto sú v rozpore s nariadeniami (ES) č. 396/2005 a (ES) č. 178/2002;</w:t>
      </w:r>
    </w:p>
    <w:p w:rsidR="00D21EA6" w:rsidRPr="00C165C2" w:rsidRDefault="00D21EA6" w:rsidP="006E25C9">
      <w:pPr>
        <w:pStyle w:val="NormalHanging12a"/>
      </w:pPr>
      <w:r w:rsidRPr="00C165C2">
        <w:t>AB.</w:t>
      </w:r>
      <w:r w:rsidRPr="00C165C2">
        <w:tab/>
        <w:t xml:space="preserve">keďže MRL by sa nemali stanovovať pre účinné látky, ktoré nie sú schválené v Únii z dôvodu obáv o zdravie; keďže by sa preto nemali stanoviť ani dovozné tolerancie pre </w:t>
      </w:r>
      <w:proofErr w:type="spellStart"/>
      <w:r w:rsidRPr="00C165C2">
        <w:t>tiakloprid</w:t>
      </w:r>
      <w:proofErr w:type="spellEnd"/>
      <w:r w:rsidRPr="00C165C2">
        <w:t xml:space="preserve">, pretože je klasifikovaný ako reprodukčne toxická látka kategórie 1B; keďže klasifikácia </w:t>
      </w:r>
      <w:proofErr w:type="spellStart"/>
      <w:r w:rsidRPr="00C165C2">
        <w:t>tiaklopridu</w:t>
      </w:r>
      <w:proofErr w:type="spellEnd"/>
      <w:r w:rsidRPr="00C165C2">
        <w:t xml:space="preserve"> ako reprodukčne toxickej látky kategórie 1B by mala byť dostatočným dôvodom na to, aby Komisia zamietla žiadosti o dovozné tolerancie vzhľadom na možné ohrozenie zdravia občanov v tretích krajinách; </w:t>
      </w:r>
    </w:p>
    <w:p w:rsidR="00D21EA6" w:rsidRPr="00C165C2" w:rsidRDefault="00D21EA6" w:rsidP="006E25C9">
      <w:pPr>
        <w:pStyle w:val="NormalHanging12a"/>
      </w:pPr>
      <w:r w:rsidRPr="00C165C2">
        <w:t>1.</w:t>
      </w:r>
      <w:r w:rsidRPr="00C165C2">
        <w:tab/>
        <w:t>nesúhlasí s prijatím návrhu nariadenia Rady;</w:t>
      </w:r>
    </w:p>
    <w:p w:rsidR="00D21EA6" w:rsidRPr="00C165C2" w:rsidRDefault="00D21EA6" w:rsidP="006E25C9">
      <w:pPr>
        <w:pStyle w:val="NormalHanging12a"/>
      </w:pPr>
      <w:r w:rsidRPr="00C165C2">
        <w:t>2.</w:t>
      </w:r>
      <w:r w:rsidRPr="00C165C2">
        <w:tab/>
        <w:t>domnieva sa, že návrh nariadenia Rady nie je v súlade s cieľom a obsahom nariadení (ES) č. 396/2005 a (ES) č. 178/2002, ani nariadenia (ES) č.</w:t>
      </w:r>
      <w:r w:rsidR="00466E87">
        <w:t xml:space="preserve"> </w:t>
      </w:r>
      <w:bookmarkStart w:id="7" w:name="_GoBack"/>
      <w:bookmarkEnd w:id="7"/>
      <w:r w:rsidRPr="00C165C2">
        <w:t>1107/2009 vrátane bodu 3.6.4 jeho prílohy II;</w:t>
      </w:r>
    </w:p>
    <w:p w:rsidR="00D21EA6" w:rsidRPr="00C165C2" w:rsidRDefault="00D21EA6" w:rsidP="006E25C9">
      <w:pPr>
        <w:pStyle w:val="NormalHanging12a"/>
      </w:pPr>
      <w:r w:rsidRPr="00C165C2">
        <w:t>3.</w:t>
      </w:r>
      <w:r w:rsidRPr="00C165C2">
        <w:tab/>
        <w:t>žiada Komisiu, aby návrh nariadenia stiahla;</w:t>
      </w:r>
    </w:p>
    <w:p w:rsidR="00D21EA6" w:rsidRPr="00C165C2" w:rsidRDefault="00D21EA6" w:rsidP="006E25C9">
      <w:pPr>
        <w:pStyle w:val="NormalHanging12a"/>
      </w:pPr>
      <w:r w:rsidRPr="00C165C2">
        <w:t>4.</w:t>
      </w:r>
      <w:r w:rsidRPr="00C165C2">
        <w:tab/>
        <w:t xml:space="preserve">vyzýva Komisiu, aby výboru predložila nový návrh na zníženie všetkých MRL </w:t>
      </w:r>
      <w:proofErr w:type="spellStart"/>
      <w:r w:rsidRPr="00C165C2">
        <w:t>tiaklopridu</w:t>
      </w:r>
      <w:proofErr w:type="spellEnd"/>
      <w:r w:rsidRPr="00C165C2">
        <w:t xml:space="preserve"> na úrovne kvantifikačného limitu pri všetkých použitiach a aby všetky žiadosti o dovozné tolerancie zamietla;</w:t>
      </w:r>
    </w:p>
    <w:p w:rsidR="00D21EA6" w:rsidRPr="00C165C2" w:rsidRDefault="00D21EA6" w:rsidP="006E25C9">
      <w:pPr>
        <w:pStyle w:val="NormalHanging12a"/>
      </w:pPr>
      <w:r w:rsidRPr="00C165C2">
        <w:t>5.</w:t>
      </w:r>
      <w:r w:rsidRPr="00C165C2">
        <w:tab/>
        <w:t>poveruje svoju predsedníčku, aby postúpila toto uznesenie Rade, Komisii a vládam a parlamentom členských štátov.</w:t>
      </w:r>
    </w:p>
    <w:sectPr w:rsidR="00D21EA6" w:rsidRPr="00C165C2" w:rsidSect="008D54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C80" w:rsidRPr="008D542E" w:rsidRDefault="00E44C80">
      <w:r w:rsidRPr="008D542E">
        <w:separator/>
      </w:r>
    </w:p>
  </w:endnote>
  <w:endnote w:type="continuationSeparator" w:id="0">
    <w:p w:rsidR="00E44C80" w:rsidRPr="008D542E" w:rsidRDefault="00E44C80">
      <w:r w:rsidRPr="008D54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4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4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4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C80" w:rsidRPr="008D542E" w:rsidRDefault="00E44C80">
      <w:r w:rsidRPr="008D542E">
        <w:separator/>
      </w:r>
    </w:p>
  </w:footnote>
  <w:footnote w:type="continuationSeparator" w:id="0">
    <w:p w:rsidR="00E44C80" w:rsidRPr="008D542E" w:rsidRDefault="00E44C80">
      <w:r w:rsidRPr="008D542E">
        <w:continuationSeparator/>
      </w:r>
    </w:p>
  </w:footnote>
  <w:footnote w:id="1">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Ú. v. EÚ L 70, 16.3.2005, s. 1.</w:t>
      </w:r>
    </w:p>
  </w:footnote>
  <w:footnote w:id="2">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Ú. v. EÚ L 309, 24.11.2009, s. 1.</w:t>
      </w:r>
    </w:p>
  </w:footnote>
  <w:footnote w:id="3">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Ú. v. ES L 31, 1.2.2002, s. 1.</w:t>
      </w:r>
    </w:p>
  </w:footnote>
  <w:footnote w:id="4">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Stanovisko Európskeho úradu pre bezpečnosť potravín k posúdeniu rizika krátkodobej (akútnej) potravinovej toxicity a k vyhodnoteniu potvrdzujúcich údajov pre určité maximálne hladiny rezíduí (MRL) </w:t>
      </w:r>
      <w:proofErr w:type="spellStart"/>
      <w:r w:rsidRPr="008D542E">
        <w:rPr>
          <w:sz w:val="24"/>
          <w:lang w:val="sk-SK"/>
        </w:rPr>
        <w:t>tiaklopridu</w:t>
      </w:r>
      <w:proofErr w:type="spellEnd"/>
      <w:r w:rsidRPr="008D542E">
        <w:rPr>
          <w:sz w:val="24"/>
          <w:lang w:val="sk-SK"/>
        </w:rPr>
        <w:t>, Vestník EFSA (</w:t>
      </w:r>
      <w:r w:rsidRPr="008D542E">
        <w:rPr>
          <w:i/>
          <w:iCs/>
          <w:sz w:val="24"/>
          <w:lang w:val="sk-SK"/>
        </w:rPr>
        <w:t xml:space="preserve">EFSA </w:t>
      </w:r>
      <w:proofErr w:type="spellStart"/>
      <w:r w:rsidRPr="008D542E">
        <w:rPr>
          <w:i/>
          <w:iCs/>
          <w:sz w:val="24"/>
          <w:lang w:val="sk-SK"/>
        </w:rPr>
        <w:t>Journal</w:t>
      </w:r>
      <w:proofErr w:type="spellEnd"/>
      <w:r w:rsidRPr="008D542E">
        <w:rPr>
          <w:sz w:val="24"/>
          <w:lang w:val="sk-SK"/>
        </w:rPr>
        <w:t xml:space="preserve">) (2023) 21(3):7888, </w:t>
      </w:r>
      <w:hyperlink r:id="rId1" w:history="1">
        <w:r w:rsidRPr="008D542E">
          <w:rPr>
            <w:rStyle w:val="Hyperlink"/>
            <w:sz w:val="24"/>
            <w:lang w:val="sk-SK"/>
          </w:rPr>
          <w:t>https://doi.org/10.2903/j.efsa.2023.7888</w:t>
        </w:r>
      </w:hyperlink>
      <w:r w:rsidRPr="008D542E">
        <w:rPr>
          <w:sz w:val="24"/>
          <w:lang w:val="sk-SK"/>
        </w:rPr>
        <w:t>.</w:t>
      </w:r>
    </w:p>
  </w:footnote>
  <w:footnote w:id="5">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Záver EFSA z partnerského preskúmania účinnej látky </w:t>
      </w:r>
      <w:proofErr w:type="spellStart"/>
      <w:r w:rsidRPr="008D542E">
        <w:rPr>
          <w:sz w:val="24"/>
          <w:lang w:val="sk-SK"/>
        </w:rPr>
        <w:t>tiakloprid</w:t>
      </w:r>
      <w:proofErr w:type="spellEnd"/>
      <w:r w:rsidRPr="008D542E">
        <w:rPr>
          <w:sz w:val="24"/>
          <w:lang w:val="sk-SK"/>
        </w:rPr>
        <w:t xml:space="preserve"> z hľadiska hodnotenia rizík pesticídov, Vestník EFSA (</w:t>
      </w:r>
      <w:r w:rsidRPr="008D542E">
        <w:rPr>
          <w:i/>
          <w:iCs/>
          <w:sz w:val="24"/>
          <w:lang w:val="sk-SK"/>
        </w:rPr>
        <w:t xml:space="preserve">EFSA </w:t>
      </w:r>
      <w:proofErr w:type="spellStart"/>
      <w:r w:rsidRPr="008D542E">
        <w:rPr>
          <w:i/>
          <w:iCs/>
          <w:sz w:val="24"/>
          <w:lang w:val="sk-SK"/>
        </w:rPr>
        <w:t>Journal</w:t>
      </w:r>
      <w:proofErr w:type="spellEnd"/>
      <w:r w:rsidRPr="008D542E">
        <w:rPr>
          <w:sz w:val="24"/>
          <w:lang w:val="sk-SK"/>
        </w:rPr>
        <w:t xml:space="preserve">) (2019) 17(3):5595, </w:t>
      </w:r>
      <w:hyperlink r:id="rId2" w:history="1">
        <w:r w:rsidRPr="008D542E">
          <w:rPr>
            <w:rStyle w:val="Hyperlink"/>
            <w:sz w:val="24"/>
            <w:lang w:val="sk-SK"/>
          </w:rPr>
          <w:t>https://doi.org/10.2903/j.efsa.2019.5595</w:t>
        </w:r>
      </w:hyperlink>
      <w:r w:rsidRPr="008D542E">
        <w:rPr>
          <w:sz w:val="24"/>
          <w:lang w:val="sk-SK"/>
        </w:rPr>
        <w:t>.</w:t>
      </w:r>
    </w:p>
  </w:footnote>
  <w:footnote w:id="6">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Stanovisko Výboru pre hodnotenie rizík s návrhom na harmonizovanú klasifikáciu a označovanie </w:t>
      </w:r>
      <w:proofErr w:type="spellStart"/>
      <w:r w:rsidRPr="008D542E">
        <w:rPr>
          <w:sz w:val="24"/>
          <w:lang w:val="sk-SK"/>
        </w:rPr>
        <w:t>tiaklopridu</w:t>
      </w:r>
      <w:proofErr w:type="spellEnd"/>
      <w:r w:rsidRPr="008D542E">
        <w:rPr>
          <w:sz w:val="24"/>
          <w:lang w:val="sk-SK"/>
        </w:rPr>
        <w:t xml:space="preserve"> (ISO) na úrovni EÚ; (2</w:t>
      </w:r>
      <w:r w:rsidRPr="008D542E">
        <w:rPr>
          <w:i/>
          <w:iCs/>
          <w:sz w:val="24"/>
          <w:lang w:val="sk-SK"/>
        </w:rPr>
        <w:t>Z</w:t>
      </w:r>
      <w:r w:rsidRPr="008D542E">
        <w:rPr>
          <w:sz w:val="24"/>
          <w:lang w:val="sk-SK"/>
        </w:rPr>
        <w:t xml:space="preserve">)-3-[(6-chlórpyridín-3-yl)metyl]-1,3-tiazolidín-2-ylidén-kyánamid, </w:t>
      </w:r>
      <w:hyperlink r:id="rId3" w:history="1">
        <w:r w:rsidRPr="008D542E">
          <w:rPr>
            <w:rStyle w:val="Hyperlink"/>
            <w:sz w:val="24"/>
            <w:lang w:val="sk-SK"/>
          </w:rPr>
          <w:t>https://echa.europa.eu/registry-of-clh-intentions-until-outcome/-/dislist/details/0b0236e180638ff8</w:t>
        </w:r>
      </w:hyperlink>
      <w:r w:rsidRPr="008D542E">
        <w:rPr>
          <w:sz w:val="24"/>
          <w:lang w:val="sk-SK"/>
        </w:rPr>
        <w:t>.</w:t>
      </w:r>
    </w:p>
  </w:footnote>
  <w:footnote w:id="7">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Ú. v. ES L 184, 17.7.1999, s. 23.</w:t>
      </w:r>
    </w:p>
  </w:footnote>
  <w:footnote w:id="8">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Vykonávacie nariadenie Komisie (EÚ) 2020/23 z 13. januára 2020 o neobnovení schválenia účinnej látky </w:t>
      </w:r>
      <w:proofErr w:type="spellStart"/>
      <w:r w:rsidRPr="008D542E">
        <w:rPr>
          <w:sz w:val="24"/>
          <w:lang w:val="sk-SK"/>
        </w:rPr>
        <w:t>tiakloprid</w:t>
      </w:r>
      <w:proofErr w:type="spellEnd"/>
      <w:r w:rsidRPr="008D542E">
        <w:rPr>
          <w:sz w:val="24"/>
          <w:lang w:val="sk-SK"/>
        </w:rPr>
        <w:t xml:space="preserve"> v súlade s nariadením Európskeho parlamentu a Rady (ES) č. 1107/2009 o uvádzaní prípravkov na ochranu rastlín na trh a o zmene prílohy k vykonávaciemu nariadeniu Komisie (EÚ) č. 540/2011 (Ú. v. EÚ L 8, 14.1.2020, s. 8).</w:t>
      </w:r>
    </w:p>
  </w:footnote>
  <w:footnote w:id="9">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Záver EFSA zo 17. januára 2019.</w:t>
      </w:r>
    </w:p>
  </w:footnote>
  <w:footnote w:id="10">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Nariadenie Európskeho parlamentu a Rady (ES) č. 1272/2008 zo 16. decembra 2008 o klasifikácii, označovaní a balení látok a zmesí, o zmene, doplnení a zrušení smerníc 67/548/EHS a 1999/45/ES a o zmene a doplnení nariadenia (ES) č. 1907/2006 (Ú. v. EÚ L 353, 31.12.2008, s. 1).</w:t>
      </w:r>
    </w:p>
  </w:footnote>
  <w:footnote w:id="11">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Súhrnná správa zo zasadnutia Stáleho výboru pre rastliny, zvieratá, potraviny a krmivá, ktoré sa konalo 18. a 19. </w:t>
      </w:r>
      <w:r w:rsidRPr="008D542E">
        <w:rPr>
          <w:sz w:val="24"/>
          <w:lang w:val="sk-SK"/>
        </w:rPr>
        <w:t xml:space="preserve">septembra 2023, </w:t>
      </w:r>
      <w:hyperlink r:id="rId4" w:history="1">
        <w:r w:rsidRPr="008D542E">
          <w:rPr>
            <w:rStyle w:val="Hyperlink"/>
            <w:sz w:val="24"/>
            <w:lang w:val="sk-SK"/>
          </w:rPr>
          <w:t>https://ec.europa.eu/transparency/comitology-register/screen/documents/092486/1/consult?lang=en</w:t>
        </w:r>
      </w:hyperlink>
      <w:r w:rsidRPr="008D542E">
        <w:rPr>
          <w:sz w:val="24"/>
          <w:lang w:val="sk-SK"/>
        </w:rPr>
        <w:t>.</w:t>
      </w:r>
    </w:p>
  </w:footnote>
  <w:footnote w:id="12">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Tamže.</w:t>
      </w:r>
    </w:p>
  </w:footnote>
  <w:footnote w:id="13">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Odôvodnené stanovisko EFSA z 9. februára 2023.</w:t>
      </w:r>
    </w:p>
  </w:footnote>
  <w:footnote w:id="14">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van der </w:t>
      </w:r>
      <w:proofErr w:type="spellStart"/>
      <w:r w:rsidRPr="008D542E">
        <w:rPr>
          <w:sz w:val="24"/>
          <w:lang w:val="sk-SK"/>
        </w:rPr>
        <w:t>Sluijs</w:t>
      </w:r>
      <w:proofErr w:type="spellEnd"/>
      <w:r w:rsidRPr="008D542E">
        <w:rPr>
          <w:sz w:val="24"/>
          <w:lang w:val="sk-SK"/>
        </w:rPr>
        <w:t xml:space="preserve">, J.P., </w:t>
      </w:r>
      <w:proofErr w:type="spellStart"/>
      <w:r w:rsidRPr="008D542E">
        <w:rPr>
          <w:sz w:val="24"/>
          <w:lang w:val="sk-SK"/>
        </w:rPr>
        <w:t>Vaage</w:t>
      </w:r>
      <w:proofErr w:type="spellEnd"/>
      <w:r w:rsidRPr="008D542E">
        <w:rPr>
          <w:sz w:val="24"/>
          <w:lang w:val="sk-SK"/>
        </w:rPr>
        <w:t xml:space="preserve">, N.S., </w:t>
      </w:r>
      <w:proofErr w:type="spellStart"/>
      <w:r w:rsidRPr="008D542E">
        <w:rPr>
          <w:i/>
          <w:iCs/>
          <w:sz w:val="24"/>
          <w:lang w:val="sk-SK"/>
        </w:rPr>
        <w:t>Pollinators</w:t>
      </w:r>
      <w:proofErr w:type="spellEnd"/>
      <w:r w:rsidRPr="008D542E">
        <w:rPr>
          <w:i/>
          <w:iCs/>
          <w:sz w:val="24"/>
          <w:lang w:val="sk-SK"/>
        </w:rPr>
        <w:t xml:space="preserve"> and </w:t>
      </w:r>
      <w:proofErr w:type="spellStart"/>
      <w:r w:rsidRPr="008D542E">
        <w:rPr>
          <w:i/>
          <w:iCs/>
          <w:sz w:val="24"/>
          <w:lang w:val="sk-SK"/>
        </w:rPr>
        <w:t>Global</w:t>
      </w:r>
      <w:proofErr w:type="spellEnd"/>
      <w:r w:rsidRPr="008D542E">
        <w:rPr>
          <w:i/>
          <w:iCs/>
          <w:sz w:val="24"/>
          <w:lang w:val="sk-SK"/>
        </w:rPr>
        <w:t xml:space="preserve"> </w:t>
      </w:r>
      <w:proofErr w:type="spellStart"/>
      <w:r w:rsidRPr="008D542E">
        <w:rPr>
          <w:i/>
          <w:iCs/>
          <w:sz w:val="24"/>
          <w:lang w:val="sk-SK"/>
        </w:rPr>
        <w:t>Food</w:t>
      </w:r>
      <w:proofErr w:type="spellEnd"/>
      <w:r w:rsidRPr="008D542E">
        <w:rPr>
          <w:i/>
          <w:iCs/>
          <w:sz w:val="24"/>
          <w:lang w:val="sk-SK"/>
        </w:rPr>
        <w:t xml:space="preserve"> </w:t>
      </w:r>
      <w:proofErr w:type="spellStart"/>
      <w:r w:rsidRPr="008D542E">
        <w:rPr>
          <w:i/>
          <w:iCs/>
          <w:sz w:val="24"/>
          <w:lang w:val="sk-SK"/>
        </w:rPr>
        <w:t>Security</w:t>
      </w:r>
      <w:proofErr w:type="spellEnd"/>
      <w:r w:rsidRPr="008D542E">
        <w:rPr>
          <w:i/>
          <w:iCs/>
          <w:sz w:val="24"/>
          <w:lang w:val="sk-SK"/>
        </w:rPr>
        <w:t>:</w:t>
      </w:r>
      <w:r w:rsidRPr="008D542E">
        <w:rPr>
          <w:sz w:val="24"/>
          <w:lang w:val="sk-SK"/>
        </w:rPr>
        <w:t xml:space="preserve">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Need</w:t>
      </w:r>
      <w:proofErr w:type="spellEnd"/>
      <w:r w:rsidRPr="008D542E">
        <w:rPr>
          <w:i/>
          <w:iCs/>
          <w:sz w:val="24"/>
          <w:lang w:val="sk-SK"/>
        </w:rPr>
        <w:t xml:space="preserve"> </w:t>
      </w:r>
      <w:proofErr w:type="spellStart"/>
      <w:r w:rsidRPr="008D542E">
        <w:rPr>
          <w:i/>
          <w:iCs/>
          <w:sz w:val="24"/>
          <w:lang w:val="sk-SK"/>
        </w:rPr>
        <w:t>for</w:t>
      </w:r>
      <w:proofErr w:type="spellEnd"/>
      <w:r w:rsidRPr="008D542E">
        <w:rPr>
          <w:i/>
          <w:iCs/>
          <w:sz w:val="24"/>
          <w:lang w:val="sk-SK"/>
        </w:rPr>
        <w:t xml:space="preserve"> </w:t>
      </w:r>
      <w:proofErr w:type="spellStart"/>
      <w:r w:rsidRPr="008D542E">
        <w:rPr>
          <w:i/>
          <w:iCs/>
          <w:sz w:val="24"/>
          <w:lang w:val="sk-SK"/>
        </w:rPr>
        <w:t>Holistic</w:t>
      </w:r>
      <w:proofErr w:type="spellEnd"/>
      <w:r w:rsidRPr="008D542E">
        <w:rPr>
          <w:i/>
          <w:iCs/>
          <w:sz w:val="24"/>
          <w:lang w:val="sk-SK"/>
        </w:rPr>
        <w:t xml:space="preserve"> </w:t>
      </w:r>
      <w:proofErr w:type="spellStart"/>
      <w:r w:rsidRPr="008D542E">
        <w:rPr>
          <w:i/>
          <w:iCs/>
          <w:sz w:val="24"/>
          <w:lang w:val="sk-SK"/>
        </w:rPr>
        <w:t>Global</w:t>
      </w:r>
      <w:proofErr w:type="spellEnd"/>
      <w:r w:rsidRPr="008D542E">
        <w:rPr>
          <w:i/>
          <w:iCs/>
          <w:sz w:val="24"/>
          <w:lang w:val="sk-SK"/>
        </w:rPr>
        <w:t xml:space="preserve"> </w:t>
      </w:r>
      <w:proofErr w:type="spellStart"/>
      <w:r w:rsidRPr="008D542E">
        <w:rPr>
          <w:i/>
          <w:iCs/>
          <w:sz w:val="24"/>
          <w:lang w:val="sk-SK"/>
        </w:rPr>
        <w:t>Stewardship</w:t>
      </w:r>
      <w:proofErr w:type="spellEnd"/>
      <w:r w:rsidRPr="008D542E">
        <w:rPr>
          <w:sz w:val="24"/>
          <w:lang w:val="sk-SK"/>
        </w:rPr>
        <w:t xml:space="preserve"> (Opeľovače a globálna potravinová bezpečnosť: potreba holistického globálneho dozoru), </w:t>
      </w:r>
      <w:proofErr w:type="spellStart"/>
      <w:r w:rsidRPr="008D542E">
        <w:rPr>
          <w:sz w:val="24"/>
          <w:lang w:val="sk-SK"/>
        </w:rPr>
        <w:t>Food</w:t>
      </w:r>
      <w:proofErr w:type="spellEnd"/>
      <w:r w:rsidRPr="008D542E">
        <w:rPr>
          <w:sz w:val="24"/>
          <w:lang w:val="sk-SK"/>
        </w:rPr>
        <w:t xml:space="preserve"> </w:t>
      </w:r>
      <w:proofErr w:type="spellStart"/>
      <w:r w:rsidRPr="008D542E">
        <w:rPr>
          <w:sz w:val="24"/>
          <w:lang w:val="sk-SK"/>
        </w:rPr>
        <w:t>ethics</w:t>
      </w:r>
      <w:proofErr w:type="spellEnd"/>
      <w:r w:rsidRPr="008D542E">
        <w:rPr>
          <w:sz w:val="24"/>
          <w:lang w:val="sk-SK"/>
        </w:rPr>
        <w:t xml:space="preserve"> 1, str. </w:t>
      </w:r>
      <w:r w:rsidRPr="008D542E">
        <w:rPr>
          <w:sz w:val="24"/>
          <w:lang w:val="sk-SK"/>
        </w:rPr>
        <w:t xml:space="preserve">75 – 91 (2016), </w:t>
      </w:r>
      <w:hyperlink r:id="rId5" w:history="1">
        <w:r w:rsidRPr="008D542E">
          <w:rPr>
            <w:rStyle w:val="Hyperlink"/>
            <w:sz w:val="24"/>
            <w:lang w:val="sk-SK"/>
          </w:rPr>
          <w:t>https://doi.org/10.1007/s41055-016-0003-z</w:t>
        </w:r>
      </w:hyperlink>
      <w:r w:rsidRPr="008D542E">
        <w:rPr>
          <w:sz w:val="24"/>
          <w:lang w:val="sk-SK"/>
        </w:rPr>
        <w:t>.</w:t>
      </w:r>
    </w:p>
  </w:footnote>
  <w:footnote w:id="15">
    <w:p w:rsidR="00D21EA6" w:rsidRPr="008D542E" w:rsidRDefault="00D21EA6" w:rsidP="008D542E">
      <w:pPr>
        <w:pStyle w:val="FootnoteText"/>
        <w:ind w:left="567" w:hanging="567"/>
        <w:rPr>
          <w:iCs/>
          <w:sz w:val="24"/>
          <w:szCs w:val="22"/>
          <w:lang w:val="sk-SK"/>
        </w:rPr>
      </w:pPr>
      <w:r w:rsidRPr="008D542E">
        <w:rPr>
          <w:iCs/>
          <w:sz w:val="24"/>
          <w:szCs w:val="22"/>
          <w:vertAlign w:val="superscript"/>
          <w:lang w:val="sk-SK"/>
        </w:rPr>
        <w:footnoteRef/>
      </w:r>
      <w:r w:rsidR="008D542E" w:rsidRPr="008D542E">
        <w:rPr>
          <w:sz w:val="24"/>
          <w:lang w:val="sk-SK"/>
        </w:rPr>
        <w:t xml:space="preserve"> </w:t>
      </w:r>
      <w:r w:rsidR="008D542E" w:rsidRPr="008D542E">
        <w:rPr>
          <w:sz w:val="24"/>
          <w:lang w:val="sk-SK"/>
        </w:rPr>
        <w:tab/>
      </w:r>
      <w:r w:rsidRPr="008D542E">
        <w:rPr>
          <w:sz w:val="24"/>
          <w:lang w:val="sk-SK"/>
        </w:rPr>
        <w:t>COM(2020)0381.</w:t>
      </w:r>
    </w:p>
  </w:footnote>
  <w:footnote w:id="16">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Nariadenie Komisie (EÚ) 2023/334 z 2. februára 2023, ktorým sa menia prílohy II a V k nariadeniu Európskeho parlamentu a Rady (ES) č. 396/2005, pokiaľ ide o maximálne hladiny rezíduí </w:t>
      </w:r>
      <w:proofErr w:type="spellStart"/>
      <w:r w:rsidRPr="008D542E">
        <w:rPr>
          <w:sz w:val="24"/>
          <w:lang w:val="sk-SK"/>
        </w:rPr>
        <w:t>klotianidínu</w:t>
      </w:r>
      <w:proofErr w:type="spellEnd"/>
      <w:r w:rsidRPr="008D542E">
        <w:rPr>
          <w:sz w:val="24"/>
          <w:lang w:val="sk-SK"/>
        </w:rPr>
        <w:t xml:space="preserve"> a </w:t>
      </w:r>
      <w:proofErr w:type="spellStart"/>
      <w:r w:rsidRPr="008D542E">
        <w:rPr>
          <w:sz w:val="24"/>
          <w:lang w:val="sk-SK"/>
        </w:rPr>
        <w:t>tiametoxámu</w:t>
      </w:r>
      <w:proofErr w:type="spellEnd"/>
      <w:r w:rsidRPr="008D542E">
        <w:rPr>
          <w:sz w:val="24"/>
          <w:lang w:val="sk-SK"/>
        </w:rPr>
        <w:t xml:space="preserve"> v určitých produktoch alebo na nich (Ú. v. EÚ L 47, 15.2.2023, s. 29).</w:t>
      </w:r>
    </w:p>
  </w:footnote>
  <w:footnote w:id="17">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Tamže.</w:t>
      </w:r>
    </w:p>
  </w:footnote>
  <w:footnote w:id="18">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 xml:space="preserve">Súhrnná správa zo zasadnutia Stáleho výboru pre rastliny, zvieratá, potraviny a krmivá, ktoré sa konalo 10. a 11. </w:t>
      </w:r>
      <w:r w:rsidRPr="008D542E">
        <w:rPr>
          <w:sz w:val="24"/>
          <w:lang w:val="sk-SK"/>
        </w:rPr>
        <w:t xml:space="preserve">mája 2023, </w:t>
      </w:r>
      <w:hyperlink r:id="rId6" w:history="1">
        <w:r w:rsidRPr="008D542E">
          <w:rPr>
            <w:rStyle w:val="Hyperlink"/>
            <w:sz w:val="24"/>
            <w:lang w:val="sk-SK"/>
          </w:rPr>
          <w:t>https://ec.europa.eu/transparency/comitology-register/screen/documents/090500/1/consult?lang=en</w:t>
        </w:r>
      </w:hyperlink>
      <w:r w:rsidRPr="008D542E">
        <w:rPr>
          <w:sz w:val="24"/>
          <w:lang w:val="sk-SK"/>
        </w:rPr>
        <w:t>.</w:t>
      </w:r>
    </w:p>
  </w:footnote>
  <w:footnote w:id="19">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proofErr w:type="spellStart"/>
      <w:r w:rsidRPr="008D542E">
        <w:rPr>
          <w:sz w:val="24"/>
          <w:lang w:val="sk-SK"/>
        </w:rPr>
        <w:t>Ellis</w:t>
      </w:r>
      <w:proofErr w:type="spellEnd"/>
      <w:r w:rsidRPr="008D542E">
        <w:rPr>
          <w:sz w:val="24"/>
          <w:lang w:val="sk-SK"/>
        </w:rPr>
        <w:t xml:space="preserve">, C., Park, K.J., </w:t>
      </w:r>
      <w:proofErr w:type="spellStart"/>
      <w:r w:rsidRPr="008D542E">
        <w:rPr>
          <w:sz w:val="24"/>
          <w:lang w:val="sk-SK"/>
        </w:rPr>
        <w:t>Whitehorn</w:t>
      </w:r>
      <w:proofErr w:type="spellEnd"/>
      <w:r w:rsidRPr="008D542E">
        <w:rPr>
          <w:sz w:val="24"/>
          <w:lang w:val="sk-SK"/>
        </w:rPr>
        <w:t xml:space="preserve">, P., David, A., </w:t>
      </w:r>
      <w:proofErr w:type="spellStart"/>
      <w:r w:rsidRPr="008D542E">
        <w:rPr>
          <w:sz w:val="24"/>
          <w:lang w:val="sk-SK"/>
        </w:rPr>
        <w:t>Goulson</w:t>
      </w:r>
      <w:proofErr w:type="spellEnd"/>
      <w:r w:rsidRPr="008D542E">
        <w:rPr>
          <w:sz w:val="24"/>
          <w:lang w:val="sk-SK"/>
        </w:rPr>
        <w:t xml:space="preserve">, D.,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Neonicotinoid</w:t>
      </w:r>
      <w:proofErr w:type="spellEnd"/>
      <w:r w:rsidRPr="008D542E">
        <w:rPr>
          <w:i/>
          <w:iCs/>
          <w:sz w:val="24"/>
          <w:lang w:val="sk-SK"/>
        </w:rPr>
        <w:t xml:space="preserve"> </w:t>
      </w:r>
      <w:proofErr w:type="spellStart"/>
      <w:r w:rsidRPr="008D542E">
        <w:rPr>
          <w:i/>
          <w:iCs/>
          <w:sz w:val="24"/>
          <w:lang w:val="sk-SK"/>
        </w:rPr>
        <w:t>Insecticide</w:t>
      </w:r>
      <w:proofErr w:type="spellEnd"/>
      <w:r w:rsidRPr="008D542E">
        <w:rPr>
          <w:i/>
          <w:iCs/>
          <w:sz w:val="24"/>
          <w:lang w:val="sk-SK"/>
        </w:rPr>
        <w:t xml:space="preserve"> </w:t>
      </w:r>
      <w:proofErr w:type="spellStart"/>
      <w:r w:rsidRPr="008D542E">
        <w:rPr>
          <w:i/>
          <w:iCs/>
          <w:sz w:val="24"/>
          <w:lang w:val="sk-SK"/>
        </w:rPr>
        <w:t>Thiacloprid</w:t>
      </w:r>
      <w:proofErr w:type="spellEnd"/>
      <w:r w:rsidRPr="008D542E">
        <w:rPr>
          <w:i/>
          <w:iCs/>
          <w:sz w:val="24"/>
          <w:lang w:val="sk-SK"/>
        </w:rPr>
        <w:t xml:space="preserve"> </w:t>
      </w:r>
      <w:proofErr w:type="spellStart"/>
      <w:r w:rsidRPr="008D542E">
        <w:rPr>
          <w:i/>
          <w:iCs/>
          <w:sz w:val="24"/>
          <w:lang w:val="sk-SK"/>
        </w:rPr>
        <w:t>Impacts</w:t>
      </w:r>
      <w:proofErr w:type="spellEnd"/>
      <w:r w:rsidRPr="008D542E">
        <w:rPr>
          <w:i/>
          <w:iCs/>
          <w:sz w:val="24"/>
          <w:lang w:val="sk-SK"/>
        </w:rPr>
        <w:t xml:space="preserve"> </w:t>
      </w:r>
      <w:proofErr w:type="spellStart"/>
      <w:r w:rsidRPr="008D542E">
        <w:rPr>
          <w:i/>
          <w:iCs/>
          <w:sz w:val="24"/>
          <w:lang w:val="sk-SK"/>
        </w:rPr>
        <w:t>upon</w:t>
      </w:r>
      <w:proofErr w:type="spellEnd"/>
      <w:r w:rsidRPr="008D542E">
        <w:rPr>
          <w:i/>
          <w:iCs/>
          <w:sz w:val="24"/>
          <w:lang w:val="sk-SK"/>
        </w:rPr>
        <w:t xml:space="preserve"> </w:t>
      </w:r>
      <w:proofErr w:type="spellStart"/>
      <w:r w:rsidRPr="008D542E">
        <w:rPr>
          <w:i/>
          <w:iCs/>
          <w:sz w:val="24"/>
          <w:lang w:val="sk-SK"/>
        </w:rPr>
        <w:t>Bumblebee</w:t>
      </w:r>
      <w:proofErr w:type="spellEnd"/>
      <w:r w:rsidRPr="008D542E">
        <w:rPr>
          <w:i/>
          <w:iCs/>
          <w:sz w:val="24"/>
          <w:lang w:val="sk-SK"/>
        </w:rPr>
        <w:t xml:space="preserve"> </w:t>
      </w:r>
      <w:proofErr w:type="spellStart"/>
      <w:r w:rsidRPr="008D542E">
        <w:rPr>
          <w:i/>
          <w:iCs/>
          <w:sz w:val="24"/>
          <w:lang w:val="sk-SK"/>
        </w:rPr>
        <w:t>Colony</w:t>
      </w:r>
      <w:proofErr w:type="spellEnd"/>
      <w:r w:rsidRPr="008D542E">
        <w:rPr>
          <w:i/>
          <w:iCs/>
          <w:sz w:val="24"/>
          <w:lang w:val="sk-SK"/>
        </w:rPr>
        <w:t xml:space="preserve"> </w:t>
      </w:r>
      <w:proofErr w:type="spellStart"/>
      <w:r w:rsidRPr="008D542E">
        <w:rPr>
          <w:i/>
          <w:iCs/>
          <w:sz w:val="24"/>
          <w:lang w:val="sk-SK"/>
        </w:rPr>
        <w:t>Development</w:t>
      </w:r>
      <w:proofErr w:type="spellEnd"/>
      <w:r w:rsidRPr="008D542E">
        <w:rPr>
          <w:i/>
          <w:iCs/>
          <w:sz w:val="24"/>
          <w:lang w:val="sk-SK"/>
        </w:rPr>
        <w:t xml:space="preserve"> </w:t>
      </w:r>
      <w:proofErr w:type="spellStart"/>
      <w:r w:rsidRPr="008D542E">
        <w:rPr>
          <w:i/>
          <w:iCs/>
          <w:sz w:val="24"/>
          <w:lang w:val="sk-SK"/>
        </w:rPr>
        <w:t>under</w:t>
      </w:r>
      <w:proofErr w:type="spellEnd"/>
      <w:r w:rsidRPr="008D542E">
        <w:rPr>
          <w:i/>
          <w:iCs/>
          <w:sz w:val="24"/>
          <w:lang w:val="sk-SK"/>
        </w:rPr>
        <w:t xml:space="preserve"> </w:t>
      </w:r>
      <w:proofErr w:type="spellStart"/>
      <w:r w:rsidRPr="008D542E">
        <w:rPr>
          <w:i/>
          <w:iCs/>
          <w:sz w:val="24"/>
          <w:lang w:val="sk-SK"/>
        </w:rPr>
        <w:t>Field</w:t>
      </w:r>
      <w:proofErr w:type="spellEnd"/>
      <w:r w:rsidRPr="008D542E">
        <w:rPr>
          <w:i/>
          <w:iCs/>
          <w:sz w:val="24"/>
          <w:lang w:val="sk-SK"/>
        </w:rPr>
        <w:t xml:space="preserve"> </w:t>
      </w:r>
      <w:proofErr w:type="spellStart"/>
      <w:r w:rsidRPr="008D542E">
        <w:rPr>
          <w:i/>
          <w:iCs/>
          <w:sz w:val="24"/>
          <w:lang w:val="sk-SK"/>
        </w:rPr>
        <w:t>Conditions</w:t>
      </w:r>
      <w:proofErr w:type="spellEnd"/>
      <w:r w:rsidRPr="008D542E">
        <w:rPr>
          <w:sz w:val="24"/>
          <w:lang w:val="sk-SK"/>
        </w:rPr>
        <w:t xml:space="preserve"> (Vplyvy </w:t>
      </w:r>
      <w:proofErr w:type="spellStart"/>
      <w:r w:rsidRPr="008D542E">
        <w:rPr>
          <w:sz w:val="24"/>
          <w:lang w:val="sk-SK"/>
        </w:rPr>
        <w:t>neonikotinoidového</w:t>
      </w:r>
      <w:proofErr w:type="spellEnd"/>
      <w:r w:rsidRPr="008D542E">
        <w:rPr>
          <w:sz w:val="24"/>
          <w:lang w:val="sk-SK"/>
        </w:rPr>
        <w:t xml:space="preserve"> insekticídu </w:t>
      </w:r>
      <w:proofErr w:type="spellStart"/>
      <w:r w:rsidRPr="008D542E">
        <w:rPr>
          <w:sz w:val="24"/>
          <w:lang w:val="sk-SK"/>
        </w:rPr>
        <w:t>tiakloprid</w:t>
      </w:r>
      <w:proofErr w:type="spellEnd"/>
      <w:r w:rsidRPr="008D542E">
        <w:rPr>
          <w:sz w:val="24"/>
          <w:lang w:val="sk-SK"/>
        </w:rPr>
        <w:t xml:space="preserve"> na život kolónii čmeliakov v prírodných podmienkach), </w:t>
      </w:r>
      <w:proofErr w:type="spellStart"/>
      <w:r w:rsidRPr="008D542E">
        <w:rPr>
          <w:sz w:val="24"/>
          <w:lang w:val="sk-SK"/>
        </w:rPr>
        <w:t>Environmental</w:t>
      </w:r>
      <w:proofErr w:type="spellEnd"/>
      <w:r w:rsidRPr="008D542E">
        <w:rPr>
          <w:sz w:val="24"/>
          <w:lang w:val="sk-SK"/>
        </w:rPr>
        <w:t xml:space="preserve"> </w:t>
      </w:r>
      <w:proofErr w:type="spellStart"/>
      <w:r w:rsidRPr="008D542E">
        <w:rPr>
          <w:sz w:val="24"/>
          <w:lang w:val="sk-SK"/>
        </w:rPr>
        <w:t>Science</w:t>
      </w:r>
      <w:proofErr w:type="spellEnd"/>
      <w:r w:rsidRPr="008D542E">
        <w:rPr>
          <w:sz w:val="24"/>
          <w:lang w:val="sk-SK"/>
        </w:rPr>
        <w:t xml:space="preserve"> &amp; </w:t>
      </w:r>
      <w:proofErr w:type="spellStart"/>
      <w:r w:rsidRPr="008D542E">
        <w:rPr>
          <w:sz w:val="24"/>
          <w:lang w:val="sk-SK"/>
        </w:rPr>
        <w:t>Technology</w:t>
      </w:r>
      <w:proofErr w:type="spellEnd"/>
      <w:r w:rsidRPr="008D542E">
        <w:rPr>
          <w:sz w:val="24"/>
          <w:lang w:val="sk-SK"/>
        </w:rPr>
        <w:t xml:space="preserve"> 2017, 51, 3, str. </w:t>
      </w:r>
      <w:r w:rsidRPr="008D542E">
        <w:rPr>
          <w:sz w:val="24"/>
          <w:lang w:val="sk-SK"/>
        </w:rPr>
        <w:t xml:space="preserve">1727–1732, </w:t>
      </w:r>
      <w:hyperlink r:id="rId7" w:history="1">
        <w:r w:rsidRPr="008D542E">
          <w:rPr>
            <w:rStyle w:val="Hyperlink"/>
            <w:sz w:val="24"/>
            <w:lang w:val="sk-SK"/>
          </w:rPr>
          <w:t>https://pubs.acs.org/doi/10.1021/acs.est.6b04791</w:t>
        </w:r>
      </w:hyperlink>
      <w:r w:rsidRPr="008D542E">
        <w:rPr>
          <w:sz w:val="24"/>
          <w:lang w:val="sk-SK"/>
        </w:rPr>
        <w:t>.</w:t>
      </w:r>
    </w:p>
  </w:footnote>
  <w:footnote w:id="20">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r w:rsidRPr="008D542E">
        <w:rPr>
          <w:sz w:val="24"/>
          <w:lang w:val="sk-SK"/>
        </w:rPr>
        <w:t>Tamže.</w:t>
      </w:r>
    </w:p>
  </w:footnote>
  <w:footnote w:id="21">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proofErr w:type="spellStart"/>
      <w:r w:rsidRPr="008D542E">
        <w:rPr>
          <w:sz w:val="24"/>
          <w:lang w:val="sk-SK"/>
        </w:rPr>
        <w:t>Brandt</w:t>
      </w:r>
      <w:proofErr w:type="spellEnd"/>
      <w:r w:rsidRPr="008D542E">
        <w:rPr>
          <w:sz w:val="24"/>
          <w:lang w:val="sk-SK"/>
        </w:rPr>
        <w:t xml:space="preserve">, A., </w:t>
      </w:r>
      <w:proofErr w:type="spellStart"/>
      <w:r w:rsidRPr="008D542E">
        <w:rPr>
          <w:sz w:val="24"/>
          <w:lang w:val="sk-SK"/>
        </w:rPr>
        <w:t>Gorenflo</w:t>
      </w:r>
      <w:proofErr w:type="spellEnd"/>
      <w:r w:rsidRPr="008D542E">
        <w:rPr>
          <w:sz w:val="24"/>
          <w:lang w:val="sk-SK"/>
        </w:rPr>
        <w:t xml:space="preserve">, A., </w:t>
      </w:r>
      <w:proofErr w:type="spellStart"/>
      <w:r w:rsidRPr="008D542E">
        <w:rPr>
          <w:sz w:val="24"/>
          <w:lang w:val="sk-SK"/>
        </w:rPr>
        <w:t>Siede</w:t>
      </w:r>
      <w:proofErr w:type="spellEnd"/>
      <w:r w:rsidRPr="008D542E">
        <w:rPr>
          <w:sz w:val="24"/>
          <w:lang w:val="sk-SK"/>
        </w:rPr>
        <w:t xml:space="preserve">, R., </w:t>
      </w:r>
      <w:proofErr w:type="spellStart"/>
      <w:r w:rsidRPr="008D542E">
        <w:rPr>
          <w:sz w:val="24"/>
          <w:lang w:val="sk-SK"/>
        </w:rPr>
        <w:t>Meixner</w:t>
      </w:r>
      <w:proofErr w:type="spellEnd"/>
      <w:r w:rsidRPr="008D542E">
        <w:rPr>
          <w:sz w:val="24"/>
          <w:lang w:val="sk-SK"/>
        </w:rPr>
        <w:t xml:space="preserve">, M., </w:t>
      </w:r>
      <w:proofErr w:type="spellStart"/>
      <w:r w:rsidRPr="008D542E">
        <w:rPr>
          <w:sz w:val="24"/>
          <w:lang w:val="sk-SK"/>
        </w:rPr>
        <w:t>Büchler</w:t>
      </w:r>
      <w:proofErr w:type="spellEnd"/>
      <w:r w:rsidRPr="008D542E">
        <w:rPr>
          <w:sz w:val="24"/>
          <w:lang w:val="sk-SK"/>
        </w:rPr>
        <w:t xml:space="preserve">, R.,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neonicotinoids</w:t>
      </w:r>
      <w:proofErr w:type="spellEnd"/>
      <w:r w:rsidRPr="008D542E">
        <w:rPr>
          <w:i/>
          <w:iCs/>
          <w:sz w:val="24"/>
          <w:lang w:val="sk-SK"/>
        </w:rPr>
        <w:t xml:space="preserve"> </w:t>
      </w:r>
      <w:proofErr w:type="spellStart"/>
      <w:r w:rsidRPr="008D542E">
        <w:rPr>
          <w:i/>
          <w:iCs/>
          <w:sz w:val="24"/>
          <w:lang w:val="sk-SK"/>
        </w:rPr>
        <w:t>thiacloprid</w:t>
      </w:r>
      <w:proofErr w:type="spellEnd"/>
      <w:r w:rsidRPr="008D542E">
        <w:rPr>
          <w:i/>
          <w:iCs/>
          <w:sz w:val="24"/>
          <w:lang w:val="sk-SK"/>
        </w:rPr>
        <w:t xml:space="preserve">, </w:t>
      </w:r>
      <w:proofErr w:type="spellStart"/>
      <w:r w:rsidRPr="008D542E">
        <w:rPr>
          <w:i/>
          <w:iCs/>
          <w:sz w:val="24"/>
          <w:lang w:val="sk-SK"/>
        </w:rPr>
        <w:t>imidacloprid</w:t>
      </w:r>
      <w:proofErr w:type="spellEnd"/>
      <w:r w:rsidRPr="008D542E">
        <w:rPr>
          <w:i/>
          <w:iCs/>
          <w:sz w:val="24"/>
          <w:lang w:val="sk-SK"/>
        </w:rPr>
        <w:t xml:space="preserve">, and </w:t>
      </w:r>
      <w:proofErr w:type="spellStart"/>
      <w:r w:rsidRPr="008D542E">
        <w:rPr>
          <w:i/>
          <w:iCs/>
          <w:sz w:val="24"/>
          <w:lang w:val="sk-SK"/>
        </w:rPr>
        <w:t>clothianidin</w:t>
      </w:r>
      <w:proofErr w:type="spellEnd"/>
      <w:r w:rsidRPr="008D542E">
        <w:rPr>
          <w:i/>
          <w:iCs/>
          <w:sz w:val="24"/>
          <w:lang w:val="sk-SK"/>
        </w:rPr>
        <w:t xml:space="preserve"> </w:t>
      </w:r>
      <w:proofErr w:type="spellStart"/>
      <w:r w:rsidRPr="008D542E">
        <w:rPr>
          <w:i/>
          <w:iCs/>
          <w:sz w:val="24"/>
          <w:lang w:val="sk-SK"/>
        </w:rPr>
        <w:t>affect</w:t>
      </w:r>
      <w:proofErr w:type="spellEnd"/>
      <w:r w:rsidRPr="008D542E">
        <w:rPr>
          <w:i/>
          <w:iCs/>
          <w:sz w:val="24"/>
          <w:lang w:val="sk-SK"/>
        </w:rPr>
        <w:t xml:space="preserve">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immunocompetence</w:t>
      </w:r>
      <w:proofErr w:type="spellEnd"/>
      <w:r w:rsidRPr="008D542E">
        <w:rPr>
          <w:i/>
          <w:iCs/>
          <w:sz w:val="24"/>
          <w:lang w:val="sk-SK"/>
        </w:rPr>
        <w:t xml:space="preserve"> of </w:t>
      </w:r>
      <w:proofErr w:type="spellStart"/>
      <w:r w:rsidRPr="008D542E">
        <w:rPr>
          <w:i/>
          <w:iCs/>
          <w:sz w:val="24"/>
          <w:lang w:val="sk-SK"/>
        </w:rPr>
        <w:t>honey</w:t>
      </w:r>
      <w:proofErr w:type="spellEnd"/>
      <w:r w:rsidRPr="008D542E">
        <w:rPr>
          <w:i/>
          <w:iCs/>
          <w:sz w:val="24"/>
          <w:lang w:val="sk-SK"/>
        </w:rPr>
        <w:t xml:space="preserve"> </w:t>
      </w:r>
      <w:proofErr w:type="spellStart"/>
      <w:r w:rsidRPr="008D542E">
        <w:rPr>
          <w:i/>
          <w:iCs/>
          <w:sz w:val="24"/>
          <w:lang w:val="sk-SK"/>
        </w:rPr>
        <w:t>bees</w:t>
      </w:r>
      <w:proofErr w:type="spellEnd"/>
      <w:r w:rsidRPr="008D542E">
        <w:rPr>
          <w:i/>
          <w:iCs/>
          <w:sz w:val="24"/>
          <w:lang w:val="sk-SK"/>
        </w:rPr>
        <w:t xml:space="preserve"> (</w:t>
      </w:r>
      <w:proofErr w:type="spellStart"/>
      <w:r w:rsidRPr="008D542E">
        <w:rPr>
          <w:i/>
          <w:iCs/>
          <w:sz w:val="24"/>
          <w:lang w:val="sk-SK"/>
        </w:rPr>
        <w:t>Apis</w:t>
      </w:r>
      <w:proofErr w:type="spellEnd"/>
      <w:r w:rsidRPr="008D542E">
        <w:rPr>
          <w:i/>
          <w:iCs/>
          <w:sz w:val="24"/>
          <w:lang w:val="sk-SK"/>
        </w:rPr>
        <w:t xml:space="preserve"> </w:t>
      </w:r>
      <w:proofErr w:type="spellStart"/>
      <w:r w:rsidRPr="008D542E">
        <w:rPr>
          <w:i/>
          <w:iCs/>
          <w:sz w:val="24"/>
          <w:lang w:val="sk-SK"/>
        </w:rPr>
        <w:t>mellifera</w:t>
      </w:r>
      <w:proofErr w:type="spellEnd"/>
      <w:r w:rsidRPr="008D542E">
        <w:rPr>
          <w:i/>
          <w:iCs/>
          <w:sz w:val="24"/>
          <w:lang w:val="sk-SK"/>
        </w:rPr>
        <w:t xml:space="preserve"> L.)</w:t>
      </w:r>
      <w:r w:rsidRPr="008D542E">
        <w:rPr>
          <w:sz w:val="24"/>
          <w:lang w:val="sk-SK"/>
        </w:rPr>
        <w:t xml:space="preserve"> (</w:t>
      </w:r>
      <w:proofErr w:type="spellStart"/>
      <w:r w:rsidRPr="008D542E">
        <w:rPr>
          <w:sz w:val="24"/>
          <w:lang w:val="sk-SK"/>
        </w:rPr>
        <w:t>Neonikotinoidy</w:t>
      </w:r>
      <w:proofErr w:type="spellEnd"/>
      <w:r w:rsidRPr="008D542E">
        <w:rPr>
          <w:sz w:val="24"/>
          <w:lang w:val="sk-SK"/>
        </w:rPr>
        <w:t xml:space="preserve"> </w:t>
      </w:r>
      <w:proofErr w:type="spellStart"/>
      <w:r w:rsidRPr="008D542E">
        <w:rPr>
          <w:sz w:val="24"/>
          <w:lang w:val="sk-SK"/>
        </w:rPr>
        <w:t>tiakloprid</w:t>
      </w:r>
      <w:proofErr w:type="spellEnd"/>
      <w:r w:rsidRPr="008D542E">
        <w:rPr>
          <w:sz w:val="24"/>
          <w:lang w:val="sk-SK"/>
        </w:rPr>
        <w:t xml:space="preserve">, </w:t>
      </w:r>
      <w:proofErr w:type="spellStart"/>
      <w:r w:rsidRPr="008D542E">
        <w:rPr>
          <w:sz w:val="24"/>
          <w:lang w:val="sk-SK"/>
        </w:rPr>
        <w:t>imidakloprid</w:t>
      </w:r>
      <w:proofErr w:type="spellEnd"/>
      <w:r w:rsidRPr="008D542E">
        <w:rPr>
          <w:sz w:val="24"/>
          <w:lang w:val="sk-SK"/>
        </w:rPr>
        <w:t xml:space="preserve"> a </w:t>
      </w:r>
      <w:proofErr w:type="spellStart"/>
      <w:r w:rsidRPr="008D542E">
        <w:rPr>
          <w:sz w:val="24"/>
          <w:lang w:val="sk-SK"/>
        </w:rPr>
        <w:t>klotianidín</w:t>
      </w:r>
      <w:proofErr w:type="spellEnd"/>
      <w:r w:rsidRPr="008D542E">
        <w:rPr>
          <w:sz w:val="24"/>
          <w:lang w:val="sk-SK"/>
        </w:rPr>
        <w:t xml:space="preserve"> a ich účinky na fungovanie imunitného systému včiel medonosných), </w:t>
      </w:r>
      <w:proofErr w:type="spellStart"/>
      <w:r w:rsidRPr="008D542E">
        <w:rPr>
          <w:sz w:val="24"/>
          <w:lang w:val="sk-SK"/>
        </w:rPr>
        <w:t>Journal</w:t>
      </w:r>
      <w:proofErr w:type="spellEnd"/>
      <w:r w:rsidRPr="008D542E">
        <w:rPr>
          <w:sz w:val="24"/>
          <w:lang w:val="sk-SK"/>
        </w:rPr>
        <w:t xml:space="preserve"> of </w:t>
      </w:r>
      <w:proofErr w:type="spellStart"/>
      <w:r w:rsidRPr="008D542E">
        <w:rPr>
          <w:sz w:val="24"/>
          <w:lang w:val="sk-SK"/>
        </w:rPr>
        <w:t>Insect</w:t>
      </w:r>
      <w:proofErr w:type="spellEnd"/>
      <w:r w:rsidRPr="008D542E">
        <w:rPr>
          <w:sz w:val="24"/>
          <w:lang w:val="sk-SK"/>
        </w:rPr>
        <w:t xml:space="preserve"> </w:t>
      </w:r>
      <w:proofErr w:type="spellStart"/>
      <w:r w:rsidRPr="008D542E">
        <w:rPr>
          <w:sz w:val="24"/>
          <w:lang w:val="sk-SK"/>
        </w:rPr>
        <w:t>Physiology</w:t>
      </w:r>
      <w:proofErr w:type="spellEnd"/>
      <w:r w:rsidRPr="008D542E">
        <w:rPr>
          <w:sz w:val="24"/>
          <w:lang w:val="sk-SK"/>
        </w:rPr>
        <w:t xml:space="preserve">, </w:t>
      </w:r>
      <w:proofErr w:type="spellStart"/>
      <w:r w:rsidRPr="008D542E">
        <w:rPr>
          <w:sz w:val="24"/>
          <w:lang w:val="sk-SK"/>
        </w:rPr>
        <w:t>Vol</w:t>
      </w:r>
      <w:proofErr w:type="spellEnd"/>
      <w:r w:rsidRPr="008D542E">
        <w:rPr>
          <w:sz w:val="24"/>
          <w:lang w:val="sk-SK"/>
        </w:rPr>
        <w:t xml:space="preserve">. 86, marec 2016, s. </w:t>
      </w:r>
      <w:r w:rsidRPr="008D542E">
        <w:rPr>
          <w:sz w:val="24"/>
          <w:lang w:val="sk-SK"/>
        </w:rPr>
        <w:t xml:space="preserve">40 – 47, </w:t>
      </w:r>
      <w:hyperlink r:id="rId8" w:history="1">
        <w:r w:rsidRPr="008D542E">
          <w:rPr>
            <w:rStyle w:val="Hyperlink"/>
            <w:sz w:val="24"/>
            <w:lang w:val="sk-SK"/>
          </w:rPr>
          <w:t>https://www.sciencedirect.com/science/article/pii/S0022191016300014</w:t>
        </w:r>
      </w:hyperlink>
      <w:r w:rsidRPr="008D542E">
        <w:rPr>
          <w:sz w:val="24"/>
          <w:lang w:val="sk-SK"/>
        </w:rPr>
        <w:t>.</w:t>
      </w:r>
    </w:p>
  </w:footnote>
  <w:footnote w:id="22">
    <w:p w:rsidR="00D21EA6" w:rsidRPr="008D542E" w:rsidRDefault="00D21EA6" w:rsidP="008D542E">
      <w:pPr>
        <w:pStyle w:val="FootnoteText"/>
        <w:keepN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proofErr w:type="spellStart"/>
      <w:r w:rsidRPr="008D542E">
        <w:rPr>
          <w:sz w:val="24"/>
          <w:lang w:val="sk-SK"/>
        </w:rPr>
        <w:t>Tison</w:t>
      </w:r>
      <w:proofErr w:type="spellEnd"/>
      <w:r w:rsidRPr="008D542E">
        <w:rPr>
          <w:sz w:val="24"/>
          <w:lang w:val="sk-SK"/>
        </w:rPr>
        <w:t xml:space="preserve">, L., </w:t>
      </w:r>
      <w:proofErr w:type="spellStart"/>
      <w:r w:rsidRPr="008D542E">
        <w:rPr>
          <w:sz w:val="24"/>
          <w:lang w:val="sk-SK"/>
        </w:rPr>
        <w:t>Hahn</w:t>
      </w:r>
      <w:proofErr w:type="spellEnd"/>
      <w:r w:rsidRPr="008D542E">
        <w:rPr>
          <w:sz w:val="24"/>
          <w:lang w:val="sk-SK"/>
        </w:rPr>
        <w:t xml:space="preserve">, M.-L., </w:t>
      </w:r>
      <w:proofErr w:type="spellStart"/>
      <w:r w:rsidRPr="008D542E">
        <w:rPr>
          <w:sz w:val="24"/>
          <w:lang w:val="sk-SK"/>
        </w:rPr>
        <w:t>Holtz</w:t>
      </w:r>
      <w:proofErr w:type="spellEnd"/>
      <w:r w:rsidRPr="008D542E">
        <w:rPr>
          <w:sz w:val="24"/>
          <w:lang w:val="sk-SK"/>
        </w:rPr>
        <w:t xml:space="preserve">, S., </w:t>
      </w:r>
      <w:proofErr w:type="spellStart"/>
      <w:r w:rsidRPr="008D542E">
        <w:rPr>
          <w:sz w:val="24"/>
          <w:lang w:val="sk-SK"/>
        </w:rPr>
        <w:t>Rößner</w:t>
      </w:r>
      <w:proofErr w:type="spellEnd"/>
      <w:r w:rsidRPr="008D542E">
        <w:rPr>
          <w:sz w:val="24"/>
          <w:lang w:val="sk-SK"/>
        </w:rPr>
        <w:t xml:space="preserve"> A., </w:t>
      </w:r>
      <w:proofErr w:type="spellStart"/>
      <w:r w:rsidRPr="008D542E">
        <w:rPr>
          <w:sz w:val="24"/>
          <w:lang w:val="sk-SK"/>
        </w:rPr>
        <w:t>Greggers</w:t>
      </w:r>
      <w:proofErr w:type="spellEnd"/>
      <w:r w:rsidRPr="008D542E">
        <w:rPr>
          <w:sz w:val="24"/>
          <w:lang w:val="sk-SK"/>
        </w:rPr>
        <w:t xml:space="preserve">, U., </w:t>
      </w:r>
      <w:proofErr w:type="spellStart"/>
      <w:r w:rsidRPr="008D542E">
        <w:rPr>
          <w:sz w:val="24"/>
          <w:lang w:val="sk-SK"/>
        </w:rPr>
        <w:t>Bischoff</w:t>
      </w:r>
      <w:proofErr w:type="spellEnd"/>
      <w:r w:rsidRPr="008D542E">
        <w:rPr>
          <w:sz w:val="24"/>
          <w:lang w:val="sk-SK"/>
        </w:rPr>
        <w:t xml:space="preserve">, G., and </w:t>
      </w:r>
      <w:proofErr w:type="spellStart"/>
      <w:r w:rsidRPr="008D542E">
        <w:rPr>
          <w:sz w:val="24"/>
          <w:lang w:val="sk-SK"/>
        </w:rPr>
        <w:t>Menzel</w:t>
      </w:r>
      <w:proofErr w:type="spellEnd"/>
      <w:r w:rsidRPr="008D542E">
        <w:rPr>
          <w:sz w:val="24"/>
          <w:lang w:val="sk-SK"/>
        </w:rPr>
        <w:t xml:space="preserve">, R., </w:t>
      </w:r>
      <w:proofErr w:type="spellStart"/>
      <w:r w:rsidRPr="008D542E">
        <w:rPr>
          <w:i/>
          <w:iCs/>
          <w:sz w:val="24"/>
          <w:lang w:val="sk-SK"/>
        </w:rPr>
        <w:t>Honey</w:t>
      </w:r>
      <w:proofErr w:type="spellEnd"/>
      <w:r w:rsidRPr="008D542E">
        <w:rPr>
          <w:i/>
          <w:iCs/>
          <w:sz w:val="24"/>
          <w:lang w:val="sk-SK"/>
        </w:rPr>
        <w:t xml:space="preserve"> </w:t>
      </w:r>
      <w:proofErr w:type="spellStart"/>
      <w:r w:rsidRPr="008D542E">
        <w:rPr>
          <w:i/>
          <w:iCs/>
          <w:sz w:val="24"/>
          <w:lang w:val="sk-SK"/>
        </w:rPr>
        <w:t>Bees</w:t>
      </w:r>
      <w:proofErr w:type="spellEnd"/>
      <w:r w:rsidRPr="008D542E">
        <w:rPr>
          <w:i/>
          <w:iCs/>
          <w:sz w:val="24"/>
          <w:lang w:val="sk-SK"/>
        </w:rPr>
        <w:t xml:space="preserve">’ </w:t>
      </w:r>
      <w:proofErr w:type="spellStart"/>
      <w:r w:rsidRPr="008D542E">
        <w:rPr>
          <w:i/>
          <w:iCs/>
          <w:sz w:val="24"/>
          <w:lang w:val="sk-SK"/>
        </w:rPr>
        <w:t>Behavior</w:t>
      </w:r>
      <w:proofErr w:type="spellEnd"/>
      <w:r w:rsidRPr="008D542E">
        <w:rPr>
          <w:i/>
          <w:iCs/>
          <w:sz w:val="24"/>
          <w:lang w:val="sk-SK"/>
        </w:rPr>
        <w:t xml:space="preserve"> </w:t>
      </w:r>
      <w:proofErr w:type="spellStart"/>
      <w:r w:rsidRPr="008D542E">
        <w:rPr>
          <w:i/>
          <w:iCs/>
          <w:sz w:val="24"/>
          <w:lang w:val="sk-SK"/>
        </w:rPr>
        <w:t>Is</w:t>
      </w:r>
      <w:proofErr w:type="spellEnd"/>
      <w:r w:rsidRPr="008D542E">
        <w:rPr>
          <w:i/>
          <w:iCs/>
          <w:sz w:val="24"/>
          <w:lang w:val="sk-SK"/>
        </w:rPr>
        <w:t xml:space="preserve"> </w:t>
      </w:r>
      <w:proofErr w:type="spellStart"/>
      <w:r w:rsidRPr="008D542E">
        <w:rPr>
          <w:i/>
          <w:iCs/>
          <w:sz w:val="24"/>
          <w:lang w:val="sk-SK"/>
        </w:rPr>
        <w:t>Impaired</w:t>
      </w:r>
      <w:proofErr w:type="spellEnd"/>
      <w:r w:rsidRPr="008D542E">
        <w:rPr>
          <w:i/>
          <w:iCs/>
          <w:sz w:val="24"/>
          <w:lang w:val="sk-SK"/>
        </w:rPr>
        <w:t xml:space="preserve"> by </w:t>
      </w:r>
      <w:proofErr w:type="spellStart"/>
      <w:r w:rsidRPr="008D542E">
        <w:rPr>
          <w:i/>
          <w:iCs/>
          <w:sz w:val="24"/>
          <w:lang w:val="sk-SK"/>
        </w:rPr>
        <w:t>Chronic</w:t>
      </w:r>
      <w:proofErr w:type="spellEnd"/>
      <w:r w:rsidRPr="008D542E">
        <w:rPr>
          <w:i/>
          <w:iCs/>
          <w:sz w:val="24"/>
          <w:lang w:val="sk-SK"/>
        </w:rPr>
        <w:t xml:space="preserve"> </w:t>
      </w:r>
      <w:proofErr w:type="spellStart"/>
      <w:r w:rsidRPr="008D542E">
        <w:rPr>
          <w:i/>
          <w:iCs/>
          <w:sz w:val="24"/>
          <w:lang w:val="sk-SK"/>
        </w:rPr>
        <w:t>Exposure</w:t>
      </w:r>
      <w:proofErr w:type="spellEnd"/>
      <w:r w:rsidRPr="008D542E">
        <w:rPr>
          <w:i/>
          <w:iCs/>
          <w:sz w:val="24"/>
          <w:lang w:val="sk-SK"/>
        </w:rPr>
        <w:t xml:space="preserve"> to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Neonicotinoid</w:t>
      </w:r>
      <w:proofErr w:type="spellEnd"/>
      <w:r w:rsidRPr="008D542E">
        <w:rPr>
          <w:i/>
          <w:iCs/>
          <w:sz w:val="24"/>
          <w:lang w:val="sk-SK"/>
        </w:rPr>
        <w:t xml:space="preserve"> </w:t>
      </w:r>
      <w:proofErr w:type="spellStart"/>
      <w:r w:rsidRPr="008D542E">
        <w:rPr>
          <w:i/>
          <w:iCs/>
          <w:sz w:val="24"/>
          <w:lang w:val="sk-SK"/>
        </w:rPr>
        <w:t>Thiacloprid</w:t>
      </w:r>
      <w:proofErr w:type="spellEnd"/>
      <w:r w:rsidRPr="008D542E">
        <w:rPr>
          <w:i/>
          <w:iCs/>
          <w:sz w:val="24"/>
          <w:lang w:val="sk-SK"/>
        </w:rPr>
        <w:t xml:space="preserve"> in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Field</w:t>
      </w:r>
      <w:proofErr w:type="spellEnd"/>
      <w:r w:rsidRPr="008D542E">
        <w:rPr>
          <w:sz w:val="24"/>
          <w:lang w:val="sk-SK"/>
        </w:rPr>
        <w:t xml:space="preserve"> (Správanie včiel medonosných po expozícii účinkom </w:t>
      </w:r>
      <w:proofErr w:type="spellStart"/>
      <w:r w:rsidRPr="008D542E">
        <w:rPr>
          <w:sz w:val="24"/>
          <w:lang w:val="sk-SK"/>
        </w:rPr>
        <w:t>neonikotinoidu</w:t>
      </w:r>
      <w:proofErr w:type="spellEnd"/>
      <w:r w:rsidRPr="008D542E">
        <w:rPr>
          <w:sz w:val="24"/>
          <w:lang w:val="sk-SK"/>
        </w:rPr>
        <w:t xml:space="preserve"> </w:t>
      </w:r>
      <w:proofErr w:type="spellStart"/>
      <w:r w:rsidRPr="008D542E">
        <w:rPr>
          <w:sz w:val="24"/>
          <w:lang w:val="sk-SK"/>
        </w:rPr>
        <w:t>tiakloprid</w:t>
      </w:r>
      <w:proofErr w:type="spellEnd"/>
      <w:r w:rsidRPr="008D542E">
        <w:rPr>
          <w:sz w:val="24"/>
          <w:lang w:val="sk-SK"/>
        </w:rPr>
        <w:t xml:space="preserve"> v prírode), </w:t>
      </w:r>
      <w:proofErr w:type="spellStart"/>
      <w:r w:rsidRPr="008D542E">
        <w:rPr>
          <w:sz w:val="24"/>
          <w:lang w:val="sk-SK"/>
        </w:rPr>
        <w:t>Environmental</w:t>
      </w:r>
      <w:proofErr w:type="spellEnd"/>
      <w:r w:rsidRPr="008D542E">
        <w:rPr>
          <w:sz w:val="24"/>
          <w:lang w:val="sk-SK"/>
        </w:rPr>
        <w:t xml:space="preserve"> </w:t>
      </w:r>
      <w:proofErr w:type="spellStart"/>
      <w:r w:rsidRPr="008D542E">
        <w:rPr>
          <w:sz w:val="24"/>
          <w:lang w:val="sk-SK"/>
        </w:rPr>
        <w:t>Science</w:t>
      </w:r>
      <w:proofErr w:type="spellEnd"/>
      <w:r w:rsidRPr="008D542E">
        <w:rPr>
          <w:sz w:val="24"/>
          <w:lang w:val="sk-SK"/>
        </w:rPr>
        <w:t xml:space="preserve"> &amp; </w:t>
      </w:r>
      <w:proofErr w:type="spellStart"/>
      <w:r w:rsidRPr="008D542E">
        <w:rPr>
          <w:sz w:val="24"/>
          <w:lang w:val="sk-SK"/>
        </w:rPr>
        <w:t>Technology</w:t>
      </w:r>
      <w:proofErr w:type="spellEnd"/>
      <w:r w:rsidRPr="008D542E">
        <w:rPr>
          <w:sz w:val="24"/>
          <w:lang w:val="sk-SK"/>
        </w:rPr>
        <w:t xml:space="preserve"> 2016, 50, 13, s. </w:t>
      </w:r>
      <w:r w:rsidRPr="008D542E">
        <w:rPr>
          <w:sz w:val="24"/>
          <w:lang w:val="sk-SK"/>
        </w:rPr>
        <w:t xml:space="preserve">7218 – 7227, </w:t>
      </w:r>
      <w:hyperlink r:id="rId9" w:history="1">
        <w:r w:rsidRPr="008D542E">
          <w:rPr>
            <w:rStyle w:val="Hyperlink"/>
            <w:sz w:val="24"/>
            <w:lang w:val="sk-SK"/>
          </w:rPr>
          <w:t>https://pubs.acs.org/doi/full/10.1021/acs.est.6b02658</w:t>
        </w:r>
      </w:hyperlink>
      <w:r w:rsidRPr="008D542E">
        <w:rPr>
          <w:sz w:val="24"/>
          <w:lang w:val="sk-SK"/>
        </w:rPr>
        <w:t xml:space="preserve">. </w:t>
      </w:r>
    </w:p>
  </w:footnote>
  <w:footnote w:id="23">
    <w:p w:rsidR="00D21EA6" w:rsidRPr="008D542E" w:rsidRDefault="00D21EA6" w:rsidP="008D542E">
      <w:pPr>
        <w:pStyle w:val="FootnoteText"/>
        <w:ind w:left="567" w:hanging="567"/>
        <w:rPr>
          <w:iCs/>
          <w:sz w:val="24"/>
          <w:szCs w:val="22"/>
          <w:lang w:val="sk-SK"/>
        </w:rPr>
      </w:pPr>
      <w:r w:rsidRPr="008D542E">
        <w:rPr>
          <w:iCs/>
          <w:sz w:val="24"/>
          <w:szCs w:val="22"/>
          <w:vertAlign w:val="superscript"/>
          <w:lang w:val="sk-SK"/>
        </w:rPr>
        <w:footnoteRef/>
      </w:r>
      <w:r w:rsidR="008D542E" w:rsidRPr="008D542E">
        <w:rPr>
          <w:sz w:val="24"/>
          <w:lang w:val="sk-SK"/>
        </w:rPr>
        <w:t xml:space="preserve"> </w:t>
      </w:r>
      <w:r w:rsidR="008D542E" w:rsidRPr="008D542E">
        <w:rPr>
          <w:sz w:val="24"/>
          <w:lang w:val="sk-SK"/>
        </w:rPr>
        <w:tab/>
      </w:r>
      <w:proofErr w:type="spellStart"/>
      <w:r w:rsidRPr="008D542E">
        <w:rPr>
          <w:sz w:val="24"/>
          <w:lang w:val="sk-SK"/>
        </w:rPr>
        <w:t>Pisa</w:t>
      </w:r>
      <w:proofErr w:type="spellEnd"/>
      <w:r w:rsidRPr="008D542E">
        <w:rPr>
          <w:sz w:val="24"/>
          <w:lang w:val="sk-SK"/>
        </w:rPr>
        <w:t xml:space="preserve">, L., </w:t>
      </w:r>
      <w:proofErr w:type="spellStart"/>
      <w:r w:rsidRPr="008D542E">
        <w:rPr>
          <w:sz w:val="24"/>
          <w:lang w:val="sk-SK"/>
        </w:rPr>
        <w:t>Goulson</w:t>
      </w:r>
      <w:proofErr w:type="spellEnd"/>
      <w:r w:rsidRPr="008D542E">
        <w:rPr>
          <w:sz w:val="24"/>
          <w:lang w:val="sk-SK"/>
        </w:rPr>
        <w:t xml:space="preserve">, D., </w:t>
      </w:r>
      <w:proofErr w:type="spellStart"/>
      <w:r w:rsidRPr="008D542E">
        <w:rPr>
          <w:sz w:val="24"/>
          <w:lang w:val="sk-SK"/>
        </w:rPr>
        <w:t>Yang</w:t>
      </w:r>
      <w:proofErr w:type="spellEnd"/>
      <w:r w:rsidRPr="008D542E">
        <w:rPr>
          <w:sz w:val="24"/>
          <w:lang w:val="sk-SK"/>
        </w:rPr>
        <w:t xml:space="preserve">, E.C., et al., </w:t>
      </w:r>
      <w:proofErr w:type="spellStart"/>
      <w:r w:rsidRPr="008D542E">
        <w:rPr>
          <w:i/>
          <w:iCs/>
          <w:sz w:val="24"/>
          <w:lang w:val="sk-SK"/>
        </w:rPr>
        <w:t>An</w:t>
      </w:r>
      <w:proofErr w:type="spellEnd"/>
      <w:r w:rsidRPr="008D542E">
        <w:rPr>
          <w:i/>
          <w:iCs/>
          <w:sz w:val="24"/>
          <w:lang w:val="sk-SK"/>
        </w:rPr>
        <w:t xml:space="preserve"> update of </w:t>
      </w:r>
      <w:proofErr w:type="spellStart"/>
      <w:r w:rsidRPr="008D542E">
        <w:rPr>
          <w:i/>
          <w:iCs/>
          <w:sz w:val="24"/>
          <w:lang w:val="sk-SK"/>
        </w:rPr>
        <w:t>the</w:t>
      </w:r>
      <w:proofErr w:type="spellEnd"/>
      <w:r w:rsidRPr="008D542E">
        <w:rPr>
          <w:i/>
          <w:iCs/>
          <w:sz w:val="24"/>
          <w:lang w:val="sk-SK"/>
        </w:rPr>
        <w:t xml:space="preserve"> </w:t>
      </w:r>
      <w:proofErr w:type="spellStart"/>
      <w:r w:rsidRPr="008D542E">
        <w:rPr>
          <w:i/>
          <w:iCs/>
          <w:sz w:val="24"/>
          <w:lang w:val="sk-SK"/>
        </w:rPr>
        <w:t>Worldwide</w:t>
      </w:r>
      <w:proofErr w:type="spellEnd"/>
      <w:r w:rsidRPr="008D542E">
        <w:rPr>
          <w:i/>
          <w:iCs/>
          <w:sz w:val="24"/>
          <w:lang w:val="sk-SK"/>
        </w:rPr>
        <w:t xml:space="preserve"> </w:t>
      </w:r>
      <w:proofErr w:type="spellStart"/>
      <w:r w:rsidRPr="008D542E">
        <w:rPr>
          <w:i/>
          <w:iCs/>
          <w:sz w:val="24"/>
          <w:lang w:val="sk-SK"/>
        </w:rPr>
        <w:t>Integrated</w:t>
      </w:r>
      <w:proofErr w:type="spellEnd"/>
      <w:r w:rsidRPr="008D542E">
        <w:rPr>
          <w:i/>
          <w:iCs/>
          <w:sz w:val="24"/>
          <w:lang w:val="sk-SK"/>
        </w:rPr>
        <w:t xml:space="preserve"> </w:t>
      </w:r>
      <w:proofErr w:type="spellStart"/>
      <w:r w:rsidRPr="008D542E">
        <w:rPr>
          <w:i/>
          <w:iCs/>
          <w:sz w:val="24"/>
          <w:lang w:val="sk-SK"/>
        </w:rPr>
        <w:t>Assessment</w:t>
      </w:r>
      <w:proofErr w:type="spellEnd"/>
      <w:r w:rsidRPr="008D542E">
        <w:rPr>
          <w:i/>
          <w:iCs/>
          <w:sz w:val="24"/>
          <w:lang w:val="sk-SK"/>
        </w:rPr>
        <w:t xml:space="preserve"> (WIA) on </w:t>
      </w:r>
      <w:proofErr w:type="spellStart"/>
      <w:r w:rsidRPr="008D542E">
        <w:rPr>
          <w:i/>
          <w:iCs/>
          <w:sz w:val="24"/>
          <w:lang w:val="sk-SK"/>
        </w:rPr>
        <w:t>systemic</w:t>
      </w:r>
      <w:proofErr w:type="spellEnd"/>
      <w:r w:rsidRPr="008D542E">
        <w:rPr>
          <w:i/>
          <w:iCs/>
          <w:sz w:val="24"/>
          <w:lang w:val="sk-SK"/>
        </w:rPr>
        <w:t xml:space="preserve"> </w:t>
      </w:r>
      <w:proofErr w:type="spellStart"/>
      <w:r w:rsidRPr="008D542E">
        <w:rPr>
          <w:i/>
          <w:iCs/>
          <w:sz w:val="24"/>
          <w:lang w:val="sk-SK"/>
        </w:rPr>
        <w:t>insecticides</w:t>
      </w:r>
      <w:proofErr w:type="spellEnd"/>
      <w:r w:rsidRPr="008D542E">
        <w:rPr>
          <w:i/>
          <w:iCs/>
          <w:sz w:val="24"/>
          <w:lang w:val="sk-SK"/>
        </w:rPr>
        <w:t>.</w:t>
      </w:r>
      <w:r w:rsidRPr="008D542E">
        <w:rPr>
          <w:sz w:val="24"/>
          <w:lang w:val="sk-SK"/>
        </w:rPr>
        <w:t xml:space="preserve"> </w:t>
      </w:r>
      <w:r w:rsidRPr="008D542E">
        <w:rPr>
          <w:i/>
          <w:iCs/>
          <w:sz w:val="24"/>
          <w:lang w:val="sk-SK"/>
        </w:rPr>
        <w:t>Part 2:</w:t>
      </w:r>
      <w:r w:rsidRPr="008D542E">
        <w:rPr>
          <w:sz w:val="24"/>
          <w:lang w:val="sk-SK"/>
        </w:rPr>
        <w:t xml:space="preserve"> </w:t>
      </w:r>
      <w:proofErr w:type="spellStart"/>
      <w:r w:rsidRPr="008D542E">
        <w:rPr>
          <w:i/>
          <w:iCs/>
          <w:sz w:val="24"/>
          <w:lang w:val="sk-SK"/>
        </w:rPr>
        <w:t>impacts</w:t>
      </w:r>
      <w:proofErr w:type="spellEnd"/>
      <w:r w:rsidRPr="008D542E">
        <w:rPr>
          <w:i/>
          <w:iCs/>
          <w:sz w:val="24"/>
          <w:lang w:val="sk-SK"/>
        </w:rPr>
        <w:t xml:space="preserve"> on </w:t>
      </w:r>
      <w:proofErr w:type="spellStart"/>
      <w:r w:rsidRPr="008D542E">
        <w:rPr>
          <w:i/>
          <w:iCs/>
          <w:sz w:val="24"/>
          <w:lang w:val="sk-SK"/>
        </w:rPr>
        <w:t>organisms</w:t>
      </w:r>
      <w:proofErr w:type="spellEnd"/>
      <w:r w:rsidRPr="008D542E">
        <w:rPr>
          <w:i/>
          <w:iCs/>
          <w:sz w:val="24"/>
          <w:lang w:val="sk-SK"/>
        </w:rPr>
        <w:t xml:space="preserve"> and </w:t>
      </w:r>
      <w:proofErr w:type="spellStart"/>
      <w:r w:rsidRPr="008D542E">
        <w:rPr>
          <w:i/>
          <w:iCs/>
          <w:sz w:val="24"/>
          <w:lang w:val="sk-SK"/>
        </w:rPr>
        <w:t>ecosystems</w:t>
      </w:r>
      <w:proofErr w:type="spellEnd"/>
      <w:r w:rsidRPr="008D542E">
        <w:rPr>
          <w:sz w:val="24"/>
          <w:lang w:val="sk-SK"/>
        </w:rPr>
        <w:t xml:space="preserve"> (Aktualizácia globálneho integrovaného hodnotenia </w:t>
      </w:r>
      <w:proofErr w:type="spellStart"/>
      <w:r w:rsidRPr="008D542E">
        <w:rPr>
          <w:sz w:val="24"/>
          <w:lang w:val="sk-SK"/>
        </w:rPr>
        <w:t>systemických</w:t>
      </w:r>
      <w:proofErr w:type="spellEnd"/>
      <w:r w:rsidRPr="008D542E">
        <w:rPr>
          <w:sz w:val="24"/>
          <w:lang w:val="sk-SK"/>
        </w:rPr>
        <w:t xml:space="preserve"> insekticídov, časť 2: účinky na živé organizmy a ekosystémy), </w:t>
      </w:r>
      <w:proofErr w:type="spellStart"/>
      <w:r w:rsidRPr="008D542E">
        <w:rPr>
          <w:sz w:val="24"/>
          <w:lang w:val="sk-SK"/>
        </w:rPr>
        <w:t>Environmental</w:t>
      </w:r>
      <w:proofErr w:type="spellEnd"/>
      <w:r w:rsidRPr="008D542E">
        <w:rPr>
          <w:sz w:val="24"/>
          <w:lang w:val="sk-SK"/>
        </w:rPr>
        <w:t xml:space="preserve"> </w:t>
      </w:r>
      <w:proofErr w:type="spellStart"/>
      <w:r w:rsidRPr="008D542E">
        <w:rPr>
          <w:sz w:val="24"/>
          <w:lang w:val="sk-SK"/>
        </w:rPr>
        <w:t>Science</w:t>
      </w:r>
      <w:proofErr w:type="spellEnd"/>
      <w:r w:rsidRPr="008D542E">
        <w:rPr>
          <w:sz w:val="24"/>
          <w:lang w:val="sk-SK"/>
        </w:rPr>
        <w:t xml:space="preserve"> and </w:t>
      </w:r>
      <w:proofErr w:type="spellStart"/>
      <w:r w:rsidRPr="008D542E">
        <w:rPr>
          <w:sz w:val="24"/>
          <w:lang w:val="sk-SK"/>
        </w:rPr>
        <w:t>Pollution</w:t>
      </w:r>
      <w:proofErr w:type="spellEnd"/>
      <w:r w:rsidRPr="008D542E">
        <w:rPr>
          <w:sz w:val="24"/>
          <w:lang w:val="sk-SK"/>
        </w:rPr>
        <w:t xml:space="preserve"> </w:t>
      </w:r>
      <w:proofErr w:type="spellStart"/>
      <w:r w:rsidRPr="008D542E">
        <w:rPr>
          <w:sz w:val="24"/>
          <w:lang w:val="sk-SK"/>
        </w:rPr>
        <w:t>Research</w:t>
      </w:r>
      <w:proofErr w:type="spellEnd"/>
      <w:r w:rsidRPr="008D542E">
        <w:rPr>
          <w:sz w:val="24"/>
          <w:lang w:val="sk-SK"/>
        </w:rPr>
        <w:t xml:space="preserve"> 28, s. </w:t>
      </w:r>
      <w:r w:rsidRPr="008D542E">
        <w:rPr>
          <w:sz w:val="24"/>
          <w:lang w:val="sk-SK"/>
        </w:rPr>
        <w:t xml:space="preserve">11749 – 11797 (2021), </w:t>
      </w:r>
      <w:hyperlink r:id="rId10" w:history="1">
        <w:r w:rsidRPr="008D542E">
          <w:rPr>
            <w:rStyle w:val="Hyperlink"/>
            <w:sz w:val="24"/>
            <w:lang w:val="sk-SK"/>
          </w:rPr>
          <w:t>https://doi.org/10.1007/s11356-017-0341-3</w:t>
        </w:r>
      </w:hyperlink>
      <w:r w:rsidRPr="008D542E">
        <w:rPr>
          <w:sz w:val="24"/>
          <w:lang w:val="sk-SK"/>
        </w:rPr>
        <w:t>.</w:t>
      </w:r>
    </w:p>
  </w:footnote>
  <w:footnote w:id="24">
    <w:p w:rsidR="00D21EA6" w:rsidRPr="008D542E" w:rsidRDefault="00D21EA6" w:rsidP="008D542E">
      <w:pPr>
        <w:pStyle w:val="FootnoteText"/>
        <w:ind w:left="567" w:hanging="567"/>
        <w:rPr>
          <w:sz w:val="24"/>
          <w:szCs w:val="22"/>
          <w:lang w:val="sk-SK"/>
        </w:rPr>
      </w:pPr>
      <w:r w:rsidRPr="008D542E">
        <w:rPr>
          <w:rStyle w:val="FootnoteReference"/>
          <w:sz w:val="24"/>
          <w:szCs w:val="22"/>
          <w:lang w:val="sk-SK"/>
        </w:rPr>
        <w:footnoteRef/>
      </w:r>
      <w:r w:rsidR="008D542E" w:rsidRPr="008D542E">
        <w:rPr>
          <w:sz w:val="24"/>
          <w:lang w:val="sk-SK"/>
        </w:rPr>
        <w:t xml:space="preserve"> </w:t>
      </w:r>
      <w:r w:rsidR="008D542E" w:rsidRPr="008D542E">
        <w:rPr>
          <w:sz w:val="24"/>
          <w:lang w:val="sk-SK"/>
        </w:rPr>
        <w:tab/>
      </w:r>
      <w:hyperlink r:id="rId11" w:history="1">
        <w:r w:rsidRPr="008D542E">
          <w:rPr>
            <w:rStyle w:val="Hyperlink"/>
            <w:sz w:val="24"/>
            <w:lang w:val="sk-SK"/>
          </w:rPr>
          <w:t>https://ec.europa.eu/food/plant/pesticides/eu-pesticides-database/start/screen/active-substances/details/841</w:t>
        </w:r>
      </w:hyperlink>
      <w:r w:rsidRPr="008D542E">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4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4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4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SK"/>
    <w:docVar w:name="dvnumam" w:val="0"/>
    <w:docVar w:name="dvpe" w:val="757.277"/>
    <w:docVar w:name="dvtitre" w:val="Uznesenie Európskeho parlamentu z xx. januára 2024 o návrhu nariadenia Rady, ktorým sa mení príloha II k nariadeniu Európskeho parlamentu a Rady (ES) č. 396/2005, pokiaľ ide o maximálne hladiny rezíduí tiaklopridu v alebo na určitých produktoch(COM(2023)0739 – 2023/3005(RPS))"/>
  </w:docVars>
  <w:rsids>
    <w:rsidRoot w:val="00E44C80"/>
    <w:rsid w:val="00002272"/>
    <w:rsid w:val="00064002"/>
    <w:rsid w:val="000677B9"/>
    <w:rsid w:val="000831BA"/>
    <w:rsid w:val="000A42CC"/>
    <w:rsid w:val="000E7DD9"/>
    <w:rsid w:val="0010095E"/>
    <w:rsid w:val="00125B37"/>
    <w:rsid w:val="00187494"/>
    <w:rsid w:val="001F32AE"/>
    <w:rsid w:val="002767FF"/>
    <w:rsid w:val="002B18FE"/>
    <w:rsid w:val="002B5493"/>
    <w:rsid w:val="002B63AD"/>
    <w:rsid w:val="00343214"/>
    <w:rsid w:val="00361C00"/>
    <w:rsid w:val="00395FA1"/>
    <w:rsid w:val="003E15D4"/>
    <w:rsid w:val="00411CCE"/>
    <w:rsid w:val="0041666E"/>
    <w:rsid w:val="00421060"/>
    <w:rsid w:val="00466E87"/>
    <w:rsid w:val="00471C19"/>
    <w:rsid w:val="004867E3"/>
    <w:rsid w:val="00494A28"/>
    <w:rsid w:val="004C0004"/>
    <w:rsid w:val="004C5D52"/>
    <w:rsid w:val="0050519A"/>
    <w:rsid w:val="005072A1"/>
    <w:rsid w:val="00514517"/>
    <w:rsid w:val="00545827"/>
    <w:rsid w:val="00560270"/>
    <w:rsid w:val="00595538"/>
    <w:rsid w:val="005C2568"/>
    <w:rsid w:val="006037C0"/>
    <w:rsid w:val="006631B6"/>
    <w:rsid w:val="00680577"/>
    <w:rsid w:val="006E25C9"/>
    <w:rsid w:val="006F74FA"/>
    <w:rsid w:val="00731ADD"/>
    <w:rsid w:val="00734777"/>
    <w:rsid w:val="00747932"/>
    <w:rsid w:val="00751A4A"/>
    <w:rsid w:val="00756632"/>
    <w:rsid w:val="00762C74"/>
    <w:rsid w:val="00786EC0"/>
    <w:rsid w:val="007D1690"/>
    <w:rsid w:val="007E22AD"/>
    <w:rsid w:val="00817416"/>
    <w:rsid w:val="00842779"/>
    <w:rsid w:val="00843E1C"/>
    <w:rsid w:val="00865F67"/>
    <w:rsid w:val="00881A7B"/>
    <w:rsid w:val="008840E5"/>
    <w:rsid w:val="00887B3E"/>
    <w:rsid w:val="008C2AC6"/>
    <w:rsid w:val="008D542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5C2"/>
    <w:rsid w:val="00C23CD4"/>
    <w:rsid w:val="00C61C0C"/>
    <w:rsid w:val="00C941CB"/>
    <w:rsid w:val="00CC2357"/>
    <w:rsid w:val="00CE737B"/>
    <w:rsid w:val="00CF071A"/>
    <w:rsid w:val="00D058B8"/>
    <w:rsid w:val="00D21EA6"/>
    <w:rsid w:val="00D56C11"/>
    <w:rsid w:val="00D834A0"/>
    <w:rsid w:val="00D872DF"/>
    <w:rsid w:val="00D91E21"/>
    <w:rsid w:val="00DA7FCD"/>
    <w:rsid w:val="00E365E1"/>
    <w:rsid w:val="00E44C80"/>
    <w:rsid w:val="00E820A4"/>
    <w:rsid w:val="00EB006A"/>
    <w:rsid w:val="00EB0B10"/>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74C75"/>
  <w15:chartTrackingRefBased/>
  <w15:docId w15:val="{A2579DD2-22A1-43C1-8B7B-264A7FFDB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1EA6"/>
    <w:pPr>
      <w:spacing w:before="480" w:after="240"/>
    </w:pPr>
  </w:style>
  <w:style w:type="paragraph" w:customStyle="1" w:styleId="NormalBold12a">
    <w:name w:val="NormalBold12a"/>
    <w:basedOn w:val="Normal"/>
    <w:rsid w:val="00D21EA6"/>
    <w:pPr>
      <w:spacing w:after="240"/>
    </w:pPr>
    <w:rPr>
      <w:b/>
    </w:rPr>
  </w:style>
  <w:style w:type="paragraph" w:customStyle="1" w:styleId="NormalHanging12a">
    <w:name w:val="NormalHanging12a"/>
    <w:basedOn w:val="Normal"/>
    <w:rsid w:val="00D21EA6"/>
    <w:pPr>
      <w:spacing w:after="240"/>
      <w:ind w:left="567" w:hanging="567"/>
    </w:pPr>
  </w:style>
  <w:style w:type="character" w:styleId="Hyperlink">
    <w:name w:val="Hyperlink"/>
    <w:basedOn w:val="DefaultParagraphFont"/>
    <w:uiPriority w:val="99"/>
    <w:unhideWhenUsed/>
    <w:rsid w:val="00D21E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60848-BFFA-40E5-AC75-E826FD915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2137</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2024-02-22T11:03:00Z</dcterms:created>
  <dcterms:modified xsi:type="dcterms:W3CDTF">2024-02-22T11:03:00Z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B9-0057/2024</vt:lpwstr>
  </property>
  <property fmtid="{D5CDD505-2E9C-101B-9397-08002B2CF9AE}" pid="4" name="&lt;Type&gt;">
    <vt:lpwstr>RR</vt:lpwstr>
  </property>
</Properties>
</file>