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6019" w:rsidTr="0010095E">
        <w:trPr>
          <w:trHeight w:hRule="exact" w:val="1418"/>
        </w:trPr>
        <w:tc>
          <w:tcPr>
            <w:tcW w:w="6804" w:type="dxa"/>
            <w:shd w:val="clear" w:color="auto" w:fill="auto"/>
            <w:vAlign w:val="center"/>
          </w:tcPr>
          <w:p w:rsidR="00751A4A" w:rsidRPr="00D46019" w:rsidRDefault="00965D83" w:rsidP="0010095E">
            <w:pPr>
              <w:pStyle w:val="EPName"/>
            </w:pPr>
            <w:r w:rsidRPr="00D46019">
              <w:t>Evropski parlament</w:t>
            </w:r>
          </w:p>
          <w:p w:rsidR="00751A4A" w:rsidRPr="00D46019" w:rsidRDefault="00817416" w:rsidP="00756632">
            <w:pPr>
              <w:pStyle w:val="EPTerm"/>
              <w:rPr>
                <w:rStyle w:val="HideTWBExt"/>
                <w:noProof w:val="0"/>
                <w:vanish w:val="0"/>
                <w:color w:val="auto"/>
              </w:rPr>
            </w:pPr>
            <w:r w:rsidRPr="00D46019">
              <w:t>2019-2024</w:t>
            </w:r>
          </w:p>
        </w:tc>
        <w:tc>
          <w:tcPr>
            <w:tcW w:w="2268" w:type="dxa"/>
            <w:shd w:val="clear" w:color="auto" w:fill="auto"/>
          </w:tcPr>
          <w:p w:rsidR="00751A4A" w:rsidRPr="00D46019" w:rsidRDefault="00187494" w:rsidP="0010095E">
            <w:pPr>
              <w:pStyle w:val="EPLogo"/>
            </w:pPr>
            <w:r w:rsidRPr="00D460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6019" w:rsidRDefault="00D058B8" w:rsidP="004C5D52">
      <w:pPr>
        <w:pStyle w:val="LineTop"/>
      </w:pPr>
    </w:p>
    <w:p w:rsidR="00680577" w:rsidRPr="00D46019" w:rsidRDefault="00965D83" w:rsidP="00680577">
      <w:pPr>
        <w:pStyle w:val="EPBodyTA1"/>
      </w:pPr>
      <w:r w:rsidRPr="00D46019">
        <w:t>SPREJETA BESEDILA</w:t>
      </w:r>
    </w:p>
    <w:p w:rsidR="00D058B8" w:rsidRPr="00D46019" w:rsidRDefault="00D058B8" w:rsidP="00D058B8">
      <w:pPr>
        <w:pStyle w:val="LineBottom"/>
      </w:pPr>
    </w:p>
    <w:p w:rsidR="00965D83" w:rsidRPr="00D46019" w:rsidRDefault="00965D83" w:rsidP="00965D83">
      <w:pPr>
        <w:pStyle w:val="ATHeading1"/>
      </w:pPr>
      <w:bookmarkStart w:id="0" w:name="TANumber"/>
      <w:r w:rsidRPr="00D46019">
        <w:t>P9_TA(2024)</w:t>
      </w:r>
      <w:bookmarkEnd w:id="0"/>
      <w:r w:rsidR="00BD1970">
        <w:t>0016</w:t>
      </w:r>
    </w:p>
    <w:p w:rsidR="00965D83" w:rsidRPr="00D46019" w:rsidRDefault="00772626" w:rsidP="00965D83">
      <w:pPr>
        <w:pStyle w:val="ATHeading2"/>
      </w:pPr>
      <w:bookmarkStart w:id="1" w:name="title"/>
      <w:r>
        <w:t xml:space="preserve">Nasprotovanje delegiranemu aktu: </w:t>
      </w:r>
      <w:r w:rsidR="00BD1970">
        <w:t>m</w:t>
      </w:r>
      <w:r w:rsidR="00965D83" w:rsidRPr="00D46019">
        <w:t xml:space="preserve">ejne vrednosti ostankov za </w:t>
      </w:r>
      <w:proofErr w:type="spellStart"/>
      <w:r w:rsidR="00965D83" w:rsidRPr="00D46019">
        <w:t>tiakloprid</w:t>
      </w:r>
      <w:bookmarkEnd w:id="1"/>
      <w:proofErr w:type="spellEnd"/>
    </w:p>
    <w:p w:rsidR="00965D83" w:rsidRPr="00D46019" w:rsidRDefault="00965D83" w:rsidP="00965D83">
      <w:pPr>
        <w:rPr>
          <w:i/>
          <w:vanish/>
        </w:rPr>
      </w:pPr>
      <w:r w:rsidRPr="00D46019">
        <w:rPr>
          <w:i/>
        </w:rPr>
        <w:fldChar w:fldCharType="begin"/>
      </w:r>
      <w:r w:rsidRPr="00D46019">
        <w:rPr>
          <w:i/>
        </w:rPr>
        <w:instrText xml:space="preserve"> TC"(</w:instrText>
      </w:r>
      <w:bookmarkStart w:id="2" w:name="DocNumber"/>
      <w:r w:rsidRPr="00D46019">
        <w:rPr>
          <w:i/>
        </w:rPr>
        <w:instrText>B9-0057/2024</w:instrText>
      </w:r>
      <w:bookmarkEnd w:id="2"/>
      <w:r w:rsidRPr="00D46019">
        <w:rPr>
          <w:i/>
        </w:rPr>
        <w:instrText xml:space="preserve">)"\l3 \n&gt; \* MERGEFORMAT </w:instrText>
      </w:r>
      <w:r w:rsidRPr="00D46019">
        <w:rPr>
          <w:i/>
        </w:rPr>
        <w:fldChar w:fldCharType="end"/>
      </w:r>
    </w:p>
    <w:p w:rsidR="00965D83" w:rsidRPr="00D46019" w:rsidRDefault="00965D83" w:rsidP="00965D83">
      <w:pPr>
        <w:rPr>
          <w:vanish/>
        </w:rPr>
      </w:pPr>
      <w:bookmarkStart w:id="3" w:name="PE"/>
      <w:r w:rsidRPr="00D46019">
        <w:rPr>
          <w:vanish/>
        </w:rPr>
        <w:t>PE757.277</w:t>
      </w:r>
      <w:bookmarkEnd w:id="3"/>
    </w:p>
    <w:p w:rsidR="00965D83" w:rsidRPr="00D46019" w:rsidRDefault="00965D83" w:rsidP="00965D83">
      <w:pPr>
        <w:pStyle w:val="ATHeading3"/>
      </w:pPr>
      <w:bookmarkStart w:id="4" w:name="Sujet"/>
      <w:r w:rsidRPr="00D46019">
        <w:t xml:space="preserve">Resolucija Evropskega parlamenta z dne </w:t>
      </w:r>
      <w:r w:rsidR="00BD1970">
        <w:t>17.</w:t>
      </w:r>
      <w:r w:rsidR="00BD1970">
        <w:t xml:space="preserve"> </w:t>
      </w:r>
      <w:r w:rsidR="00772626">
        <w:t>januarja</w:t>
      </w:r>
      <w:r w:rsidRPr="00D46019">
        <w:t xml:space="preserve"> 2024 o predlogu uredbe Sveta o spremembi Priloge II k Uredbi Evropskega parlamenta in Sveta (ES) št. 396/2005 glede mejnih vrednosti ostankov za </w:t>
      </w:r>
      <w:proofErr w:type="spellStart"/>
      <w:r w:rsidRPr="00D46019">
        <w:t>tiakloprid</w:t>
      </w:r>
      <w:proofErr w:type="spellEnd"/>
      <w:r w:rsidRPr="00D46019">
        <w:t xml:space="preserve"> v ali na nekaterih proizvodih</w:t>
      </w:r>
      <w:bookmarkEnd w:id="4"/>
      <w:r w:rsidRPr="00D46019">
        <w:t xml:space="preserve"> </w:t>
      </w:r>
      <w:bookmarkStart w:id="5" w:name="References"/>
      <w:r w:rsidRPr="00D46019">
        <w:t>(COM(2023)0739 – 2023/3005(RPS))</w:t>
      </w:r>
      <w:bookmarkEnd w:id="5"/>
    </w:p>
    <w:p w:rsidR="00993EBC" w:rsidRPr="00D46019" w:rsidRDefault="00993EBC" w:rsidP="00993EBC">
      <w:pPr>
        <w:pStyle w:val="EPComma"/>
      </w:pPr>
      <w:bookmarkStart w:id="6" w:name="TextBodyBegin"/>
      <w:bookmarkEnd w:id="6"/>
      <w:r w:rsidRPr="00D46019">
        <w:rPr>
          <w:i/>
        </w:rPr>
        <w:t>Evropski parlament</w:t>
      </w:r>
      <w:r w:rsidRPr="00D46019">
        <w:t>,</w:t>
      </w:r>
    </w:p>
    <w:p w:rsidR="00993EBC" w:rsidRPr="00D46019" w:rsidRDefault="00993EBC" w:rsidP="00772626">
      <w:pPr>
        <w:pStyle w:val="NormalHanging12a"/>
      </w:pPr>
      <w:r w:rsidRPr="00D46019">
        <w:t>–</w:t>
      </w:r>
      <w:r w:rsidRPr="00D46019">
        <w:tab/>
        <w:t xml:space="preserve">ob upoštevanju predloga uredbe Sveta o spremembi Priloge II k Uredbi Evropskega parlamenta in Sveta (ES) št. 396/2005 glede mejnih vrednosti ostankov za </w:t>
      </w:r>
      <w:proofErr w:type="spellStart"/>
      <w:r w:rsidRPr="00D46019">
        <w:t>tiakloprid</w:t>
      </w:r>
      <w:proofErr w:type="spellEnd"/>
      <w:r w:rsidRPr="00D46019">
        <w:t xml:space="preserve"> v ali na nekaterih proizvodih (C</w:t>
      </w:r>
      <w:bookmarkStart w:id="7" w:name="_GoBack"/>
      <w:bookmarkEnd w:id="7"/>
      <w:r w:rsidRPr="00D46019">
        <w:t>OM(2023)0739),</w:t>
      </w:r>
    </w:p>
    <w:p w:rsidR="00993EBC" w:rsidRPr="00D46019" w:rsidRDefault="00993EBC" w:rsidP="00772626">
      <w:pPr>
        <w:pStyle w:val="NormalHanging12a"/>
        <w:rPr>
          <w:szCs w:val="24"/>
        </w:rPr>
      </w:pPr>
      <w:r w:rsidRPr="00D46019">
        <w:t>–</w:t>
      </w:r>
      <w:r w:rsidRPr="00D46019">
        <w:tab/>
        <w:t>ob upoštevanju Uredbe Evropskega parlamenta in Sveta (ES) št. 396/2005 z dne 23. februarja 2005 o mejnih vrednostih ostankov pesticidov v ali na hrani in krmi rastlinskega in živalskega izvora ter o spremembi Direktive Sveta 91/414/EGS</w:t>
      </w:r>
      <w:r w:rsidRPr="00D46019">
        <w:rPr>
          <w:rStyle w:val="FootnoteReference"/>
        </w:rPr>
        <w:footnoteReference w:id="1"/>
      </w:r>
      <w:r w:rsidRPr="00D46019">
        <w:t xml:space="preserve"> ter zlasti člena 14(1), točka (a), in člena 49(2) Uredbe, </w:t>
      </w:r>
    </w:p>
    <w:p w:rsidR="00993EBC" w:rsidRPr="00D46019" w:rsidRDefault="00993EBC" w:rsidP="00772626">
      <w:pPr>
        <w:pStyle w:val="NormalHanging12a"/>
        <w:rPr>
          <w:szCs w:val="24"/>
        </w:rPr>
      </w:pPr>
      <w:r w:rsidRPr="00D46019">
        <w:t>–</w:t>
      </w:r>
      <w:r w:rsidRPr="00D46019">
        <w:tab/>
        <w:t>ob upoštevanju Uredbe (ES) št. 1107/2009 Evropskega parlamenta in Sveta z dne 21. oktobra 2009 o dajanju fitofarmacevtskih sredstev v promet in razveljavitvi direktiv Sveta 79/117/EGS in 91/414/EGS</w:t>
      </w:r>
      <w:r w:rsidRPr="00D46019">
        <w:rPr>
          <w:rStyle w:val="FootnoteReference"/>
          <w:szCs w:val="24"/>
        </w:rPr>
        <w:footnoteReference w:id="2"/>
      </w:r>
      <w:r w:rsidRPr="00D46019">
        <w:t xml:space="preserve"> ter zlasti člena 4(1) in člena 4(2), prvi pododstavek, točka (a), ter točke 3.6.4 Priloge II,</w:t>
      </w:r>
    </w:p>
    <w:p w:rsidR="00993EBC" w:rsidRPr="00D46019" w:rsidRDefault="00993EBC" w:rsidP="00772626">
      <w:pPr>
        <w:pStyle w:val="NormalHanging12a"/>
        <w:rPr>
          <w:szCs w:val="24"/>
        </w:rPr>
      </w:pPr>
      <w:r w:rsidRPr="00D46019">
        <w:t>–</w:t>
      </w:r>
      <w:r w:rsidRPr="00D46019">
        <w:tab/>
        <w:t>ob upoštevanju Uredbe (ES) št. 178/2002 Evropskega parlamenta in Sveta z dne 28. januarja 2002 o določitvi splošnih načel in zahtevah živilske zakonodaje, ustanovitvi Evropske agencije za varnost hrane in postopkih, ki zadevajo varnost hrane</w:t>
      </w:r>
      <w:r w:rsidRPr="00D46019">
        <w:rPr>
          <w:rStyle w:val="FootnoteReference"/>
          <w:szCs w:val="24"/>
        </w:rPr>
        <w:footnoteReference w:id="3"/>
      </w:r>
      <w:r w:rsidRPr="00D46019">
        <w:t>, ter zlasti člena 5(1) Uredbe,</w:t>
      </w:r>
    </w:p>
    <w:p w:rsidR="00993EBC" w:rsidRPr="00D46019" w:rsidRDefault="00993EBC" w:rsidP="00993EBC">
      <w:pPr>
        <w:pStyle w:val="NormalHanging12a"/>
        <w:jc w:val="both"/>
        <w:rPr>
          <w:szCs w:val="24"/>
        </w:rPr>
      </w:pPr>
      <w:r w:rsidRPr="00D46019">
        <w:t>–</w:t>
      </w:r>
      <w:r w:rsidRPr="00D46019">
        <w:tab/>
        <w:t>ob upoštevanju členov 11, 13, 168 in 191 Pogodbe o delovanju Evropske unije,</w:t>
      </w:r>
    </w:p>
    <w:p w:rsidR="00993EBC" w:rsidRPr="00D46019" w:rsidRDefault="00993EBC" w:rsidP="00772626">
      <w:pPr>
        <w:pStyle w:val="NormalHanging12a"/>
      </w:pPr>
      <w:r w:rsidRPr="00D46019">
        <w:t>–</w:t>
      </w:r>
      <w:r w:rsidRPr="00D46019">
        <w:tab/>
        <w:t xml:space="preserve">ob upoštevanju obrazloženega mnenja, ki ga je Evropska agencija za varnost hrane </w:t>
      </w:r>
      <w:r w:rsidRPr="00D46019">
        <w:lastRenderedPageBreak/>
        <w:t>(EFSA) sprejela 9. februarja 2023 in je bilo objavljeno 15. marca 2023</w:t>
      </w:r>
      <w:r w:rsidRPr="00D46019">
        <w:rPr>
          <w:rStyle w:val="FootnoteReference"/>
        </w:rPr>
        <w:footnoteReference w:id="4"/>
      </w:r>
      <w:r w:rsidRPr="00D46019">
        <w:t>,</w:t>
      </w:r>
    </w:p>
    <w:p w:rsidR="00993EBC" w:rsidRPr="00D46019" w:rsidRDefault="00993EBC" w:rsidP="00772626">
      <w:pPr>
        <w:pStyle w:val="NormalHanging12a"/>
        <w:rPr>
          <w:szCs w:val="24"/>
        </w:rPr>
      </w:pPr>
      <w:r w:rsidRPr="00D46019">
        <w:t>–</w:t>
      </w:r>
      <w:r w:rsidRPr="00D46019">
        <w:tab/>
        <w:t>ob upoštevanju sklepa o strokovnem pregledu pesticidov, ki ga je agencija EFSA odobrila 17. januarja 2019 in je bil objavljen 14. marca 2019</w:t>
      </w:r>
      <w:r w:rsidRPr="00D46019">
        <w:rPr>
          <w:rStyle w:val="FootnoteReference"/>
          <w:szCs w:val="24"/>
        </w:rPr>
        <w:footnoteReference w:id="5"/>
      </w:r>
      <w:r w:rsidRPr="00D46019">
        <w:t>,</w:t>
      </w:r>
    </w:p>
    <w:p w:rsidR="00993EBC" w:rsidRPr="00D46019" w:rsidRDefault="00993EBC" w:rsidP="00772626">
      <w:pPr>
        <w:pStyle w:val="NormalHanging12a"/>
        <w:rPr>
          <w:szCs w:val="24"/>
        </w:rPr>
      </w:pPr>
      <w:r w:rsidRPr="00D46019">
        <w:t>–</w:t>
      </w:r>
      <w:r w:rsidRPr="00D46019">
        <w:tab/>
        <w:t>ob upoštevanju mnenja, ki ga je 12. marca 2015 sprejel Odbor za oceno tveganja pri Evropski agenciji za kemikalije (ECHA)</w:t>
      </w:r>
      <w:r w:rsidRPr="00D46019">
        <w:rPr>
          <w:rStyle w:val="FootnoteReference"/>
          <w:szCs w:val="24"/>
        </w:rPr>
        <w:footnoteReference w:id="6"/>
      </w:r>
      <w:r w:rsidRPr="00D46019">
        <w:t>,</w:t>
      </w:r>
    </w:p>
    <w:p w:rsidR="00993EBC" w:rsidRPr="00D46019" w:rsidRDefault="00993EBC" w:rsidP="00772626">
      <w:pPr>
        <w:pStyle w:val="NormalHanging12a"/>
        <w:rPr>
          <w:szCs w:val="24"/>
        </w:rPr>
      </w:pPr>
      <w:r w:rsidRPr="00D46019">
        <w:t>–</w:t>
      </w:r>
      <w:r w:rsidRPr="00D46019">
        <w:tab/>
        <w:t>ob upoštevanju člena 5a(4), točka (e), in člena 5a(5) Sklepa Sveta 1999/468/ES z dne 28. junija 1999 o določitvi postopkov za uresničevanje Komisiji podeljenih izvedbenih pooblastil</w:t>
      </w:r>
      <w:r w:rsidRPr="00D46019">
        <w:rPr>
          <w:rStyle w:val="FootnoteReference"/>
          <w:szCs w:val="24"/>
        </w:rPr>
        <w:footnoteReference w:id="7"/>
      </w:r>
      <w:r w:rsidRPr="00D46019">
        <w:t>,</w:t>
      </w:r>
    </w:p>
    <w:p w:rsidR="00993EBC" w:rsidRPr="00D46019" w:rsidRDefault="00993EBC" w:rsidP="00772626">
      <w:pPr>
        <w:pStyle w:val="NormalHanging12a"/>
      </w:pPr>
      <w:r w:rsidRPr="00D46019">
        <w:t>–</w:t>
      </w:r>
      <w:r w:rsidRPr="00D46019">
        <w:tab/>
        <w:t>ob upoštevanju člena 112(2), (3) in (4)(c) Poslovnika,</w:t>
      </w:r>
    </w:p>
    <w:p w:rsidR="00993EBC" w:rsidRPr="00D46019" w:rsidRDefault="00993EBC" w:rsidP="00772626">
      <w:pPr>
        <w:pStyle w:val="NormalHanging12a"/>
      </w:pPr>
      <w:r w:rsidRPr="00D46019">
        <w:t>–</w:t>
      </w:r>
      <w:r w:rsidRPr="00D46019">
        <w:tab/>
        <w:t>ob upoštevanju predloga resolucije Odbora za okolje, javno zdravje in varnost hrane,</w:t>
      </w:r>
    </w:p>
    <w:p w:rsidR="00993EBC" w:rsidRPr="00D46019" w:rsidRDefault="00993EBC" w:rsidP="00772626">
      <w:pPr>
        <w:pStyle w:val="NormalHanging12a"/>
      </w:pPr>
      <w:r w:rsidRPr="00D46019">
        <w:t>A.</w:t>
      </w:r>
      <w:r w:rsidRPr="00D46019">
        <w:tab/>
        <w:t xml:space="preserve">ker je </w:t>
      </w:r>
      <w:proofErr w:type="spellStart"/>
      <w:r w:rsidRPr="00D46019">
        <w:t>tiakloprid</w:t>
      </w:r>
      <w:proofErr w:type="spellEnd"/>
      <w:r w:rsidRPr="00D46019">
        <w:t xml:space="preserve"> aktivna snov v insekticidih, ki se uporabljajo predvsem na bombažu, pečkatem sadju, zelenjavi in krompirju;</w:t>
      </w:r>
    </w:p>
    <w:p w:rsidR="00993EBC" w:rsidRPr="00D46019" w:rsidRDefault="00993EBC" w:rsidP="00772626">
      <w:pPr>
        <w:pStyle w:val="NormalHanging12a"/>
      </w:pPr>
      <w:r w:rsidRPr="00D46019">
        <w:t>B.</w:t>
      </w:r>
      <w:r w:rsidRPr="00D46019">
        <w:tab/>
        <w:t xml:space="preserve">ker je odobritev aktivne snovi </w:t>
      </w:r>
      <w:proofErr w:type="spellStart"/>
      <w:r w:rsidRPr="00D46019">
        <w:t>tiakloprid</w:t>
      </w:r>
      <w:proofErr w:type="spellEnd"/>
      <w:r w:rsidRPr="00D46019">
        <w:t xml:space="preserve"> prenehala veljati 3. februarja 2020 in v skladu z Izvedbeno uredbo Komisije(EU) 2020/23</w:t>
      </w:r>
      <w:r w:rsidRPr="00D46019">
        <w:rPr>
          <w:rStyle w:val="FootnoteReference"/>
        </w:rPr>
        <w:footnoteReference w:id="8"/>
      </w:r>
      <w:r w:rsidRPr="00D46019">
        <w:t xml:space="preserve"> ni bila obnovljena; ker se je prehodno obdobje za fitofarmacevtska sredstva, ki vsebujejo </w:t>
      </w:r>
      <w:proofErr w:type="spellStart"/>
      <w:r w:rsidRPr="00D46019">
        <w:t>tiakloprid</w:t>
      </w:r>
      <w:proofErr w:type="spellEnd"/>
      <w:r w:rsidRPr="00D46019">
        <w:t>, izteklo 3. februarja 2021;</w:t>
      </w:r>
    </w:p>
    <w:p w:rsidR="00993EBC" w:rsidRPr="00D46019" w:rsidRDefault="00993EBC" w:rsidP="00772626">
      <w:pPr>
        <w:pStyle w:val="NormalHanging12a"/>
      </w:pPr>
      <w:r w:rsidRPr="00D46019">
        <w:t>C.</w:t>
      </w:r>
      <w:r w:rsidRPr="00D46019">
        <w:tab/>
        <w:t xml:space="preserve">ker odobritev aktivne snovi </w:t>
      </w:r>
      <w:proofErr w:type="spellStart"/>
      <w:r w:rsidRPr="00D46019">
        <w:t>tiakloprid</w:t>
      </w:r>
      <w:proofErr w:type="spellEnd"/>
      <w:r w:rsidRPr="00D46019">
        <w:t xml:space="preserve"> ni bila obnovljena, saj v zvezi z eno ali več reprezentativnimi vrstami uporabe vsaj enega fitofarmacevtskega sredstva ni bilo mogoče ugotoviti, ali so merila za odobritev iz člena 4 Uredbe (ES) št. 1107/2009 izpolnjena; ker je agencija EFSA opredelila zlasti dve področji, za kateri obstajajo pomembni pomisleki; ker je prvo področje, za katero obstajajo pomembni pomisleki, povezano z navedbo kontaminacije podzemne vode z več relevantnimi </w:t>
      </w:r>
      <w:proofErr w:type="spellStart"/>
      <w:r w:rsidRPr="00D46019">
        <w:t>metaboliti</w:t>
      </w:r>
      <w:proofErr w:type="spellEnd"/>
      <w:r w:rsidRPr="00D46019">
        <w:t xml:space="preserve"> </w:t>
      </w:r>
      <w:proofErr w:type="spellStart"/>
      <w:r w:rsidRPr="00D46019">
        <w:t>tiakloprida</w:t>
      </w:r>
      <w:proofErr w:type="spellEnd"/>
      <w:r w:rsidRPr="00D46019">
        <w:t>, katerih rakotvornosti ni mogoče izključiti (M30, M34 in M46) nad parametrično mejno vrednostjo za pitno vodo 0,1 µg/l za vse reprezentativne vrste uporabe</w:t>
      </w:r>
      <w:r w:rsidRPr="00D46019">
        <w:rPr>
          <w:rStyle w:val="FootnoteReference"/>
        </w:rPr>
        <w:footnoteReference w:id="9"/>
      </w:r>
      <w:r w:rsidRPr="00D46019">
        <w:t xml:space="preserve">; ker je drugo področje, za katero obstajajo pomembni pomisleki, povezano z </w:t>
      </w:r>
      <w:r w:rsidRPr="00D46019">
        <w:lastRenderedPageBreak/>
        <w:t xml:space="preserve">usklajeno razvrstitvijo </w:t>
      </w:r>
      <w:proofErr w:type="spellStart"/>
      <w:r w:rsidRPr="00D46019">
        <w:t>tiakloprida</w:t>
      </w:r>
      <w:proofErr w:type="spellEnd"/>
      <w:r w:rsidRPr="00D46019">
        <w:t xml:space="preserve"> s strani agencije ECHA kot snovi, ki domnevno škoduje plodnosti in nerojenemu otroku (strupen za razmnoževanje iz kategorije 1B) v skladu z Uredbo (ES) št. 1272/2008 Evropskega parlamenta in Sveta</w:t>
      </w:r>
      <w:r w:rsidRPr="00D46019">
        <w:rPr>
          <w:rStyle w:val="FootnoteReference"/>
        </w:rPr>
        <w:footnoteReference w:id="10"/>
      </w:r>
      <w:r w:rsidRPr="00D46019">
        <w:t xml:space="preserve">, zaradi česar se </w:t>
      </w:r>
      <w:proofErr w:type="spellStart"/>
      <w:r w:rsidRPr="00D46019">
        <w:t>tiakloprid</w:t>
      </w:r>
      <w:proofErr w:type="spellEnd"/>
      <w:r w:rsidRPr="00D46019">
        <w:t xml:space="preserve"> v skladu s členom 4(1) Uredbe (ES) št. 1107/2009 uvršča med „snovi z mejnimi vrednostmi“; </w:t>
      </w:r>
    </w:p>
    <w:p w:rsidR="00993EBC" w:rsidRPr="00D46019" w:rsidRDefault="00993EBC" w:rsidP="00772626">
      <w:pPr>
        <w:pStyle w:val="NormalHanging12a"/>
      </w:pPr>
      <w:r w:rsidRPr="00D46019">
        <w:t>D.</w:t>
      </w:r>
      <w:r w:rsidRPr="00D46019">
        <w:tab/>
        <w:t xml:space="preserve">ker je agencija EFSA poleg tega ugotovila, da ocene tveganj za čebele in </w:t>
      </w:r>
      <w:proofErr w:type="spellStart"/>
      <w:r w:rsidRPr="00D46019">
        <w:t>neciljne</w:t>
      </w:r>
      <w:proofErr w:type="spellEnd"/>
      <w:r w:rsidRPr="00D46019">
        <w:t xml:space="preserve"> kopenske rastline ni mogoče dokončati;</w:t>
      </w:r>
    </w:p>
    <w:p w:rsidR="00993EBC" w:rsidRPr="00D46019" w:rsidRDefault="00993EBC" w:rsidP="00772626">
      <w:pPr>
        <w:pStyle w:val="NormalHanging12a"/>
      </w:pPr>
      <w:r w:rsidRPr="00D46019">
        <w:t>E.</w:t>
      </w:r>
      <w:r w:rsidRPr="00D46019">
        <w:tab/>
        <w:t xml:space="preserve">ker je </w:t>
      </w:r>
      <w:proofErr w:type="spellStart"/>
      <w:r w:rsidRPr="00D46019">
        <w:t>tiakloprid</w:t>
      </w:r>
      <w:proofErr w:type="spellEnd"/>
      <w:r w:rsidRPr="00D46019">
        <w:t xml:space="preserve"> razvrščen tudi v skladu z Uredbo (ES) št. 1272/2008, in sicer kot snov, za katero obstaja sum povzročitve raka (rakotvorna iz kategorije 2), ki je zelo strupena za vodne organizme (</w:t>
      </w:r>
      <w:proofErr w:type="spellStart"/>
      <w:r w:rsidRPr="00D46019">
        <w:t>Aquatic</w:t>
      </w:r>
      <w:proofErr w:type="spellEnd"/>
      <w:r w:rsidRPr="00D46019">
        <w:t xml:space="preserve"> </w:t>
      </w:r>
      <w:proofErr w:type="spellStart"/>
      <w:r w:rsidRPr="00D46019">
        <w:t>Acute</w:t>
      </w:r>
      <w:proofErr w:type="spellEnd"/>
      <w:r w:rsidRPr="00D46019">
        <w:t> 1) in zelo strupena za vodne organizme z dolgotrajnim učinkom (</w:t>
      </w:r>
      <w:proofErr w:type="spellStart"/>
      <w:r w:rsidRPr="00D46019">
        <w:t>Aquatic</w:t>
      </w:r>
      <w:proofErr w:type="spellEnd"/>
      <w:r w:rsidRPr="00D46019">
        <w:t xml:space="preserve"> </w:t>
      </w:r>
      <w:proofErr w:type="spellStart"/>
      <w:r w:rsidRPr="00D46019">
        <w:t>Chronic</w:t>
      </w:r>
      <w:proofErr w:type="spellEnd"/>
      <w:r w:rsidRPr="00D46019">
        <w:t> 1);</w:t>
      </w:r>
    </w:p>
    <w:p w:rsidR="00993EBC" w:rsidRPr="00D46019" w:rsidRDefault="00993EBC" w:rsidP="00772626">
      <w:pPr>
        <w:pStyle w:val="NormalHanging12a"/>
      </w:pPr>
      <w:r w:rsidRPr="00D46019">
        <w:t>F.</w:t>
      </w:r>
      <w:r w:rsidRPr="00D46019">
        <w:tab/>
        <w:t>ker Stalni odbor za rastline, živali, hrano in krmo ni podal mnenja o predlogu uredbe Sveta; ker na seji Stalnega odbora za rastline, živali, hrano in krmo, ki je potekala 18. in 19. septembra 2023, osem držav članic ni podprlo osnutka uredbe. Šest od njih jih je izrazilo predvsem pomisleke glede ohranitve CXL in uvoznih toleranc za neodobreno snov, ki izpolnjuje eno od meril za izključitev iz Uredbe (ES) št. 1107/2009 (strupen za razmnoževanje). Poleg tega je imela ena država članica, ki osnutka uredbe ni podprla, pomisleke, da je agencija EFSA pri nekaterih proizvodih navedla preseganja akutnega referenčnega odmerka v nekaterih nestandardnih okoliščinah, druga pa je omenila diskriminacijo kmetov v EU, ki ne smejo več uporabljati fitofarmacevtskih sredstev, ki vsebujejo to aktivno snov, medtem ko jih kmetje v tretjih državah še vedno lahko, kar povzroča nelojalno konkurenco</w:t>
      </w:r>
      <w:r w:rsidRPr="00D46019">
        <w:rPr>
          <w:rStyle w:val="FootnoteReference"/>
        </w:rPr>
        <w:footnoteReference w:id="11"/>
      </w:r>
      <w:r w:rsidRPr="00D46019">
        <w:t>;</w:t>
      </w:r>
    </w:p>
    <w:p w:rsidR="00993EBC" w:rsidRPr="00D46019" w:rsidRDefault="00993EBC" w:rsidP="00772626">
      <w:pPr>
        <w:pStyle w:val="NormalHanging12a"/>
      </w:pPr>
      <w:r w:rsidRPr="00D46019">
        <w:t>G.</w:t>
      </w:r>
      <w:r w:rsidRPr="00D46019">
        <w:tab/>
        <w:t xml:space="preserve">ker je Nemčija zahtevala, da se v zbirno poročilo o seji Stalnega odbora za rastline, živali, hrano in krmo, ki je potekala 18. in 19. septembra 2023, vključi naslednja izjava: </w:t>
      </w:r>
      <w:proofErr w:type="spellStart"/>
      <w:r w:rsidRPr="00D46019">
        <w:t>Tiakloprid</w:t>
      </w:r>
      <w:proofErr w:type="spellEnd"/>
      <w:r w:rsidRPr="00D46019">
        <w:t xml:space="preserve"> je v skladu z Uredbo (ES) št. 1107/2009 aktivna snov z mejnimi vrednostmi. Med postopkom ponovne odobritve te aktivne snovi je bilo ugotovljeno, da izpolnjuje merila za izključitev, saj je razvrščena kot strupena za razmnoževanje iz kategorije 1B. Zato ta aktivna snov ni bila ponovno odobrena. Nemčija na splošno ne podpira določitve [mejnih vrednosti ostankov (MRL)] za aktivne snovi, ki v EU niso odobrene zaradi zdravstvenih pomislekov. Pri tem je odločilno, da so bila merila za izključitev določena v okviru postopka (ponovne) odobritve aktivne snovi v skladu z Uredbo (ES) št. 1107/2009</w:t>
      </w:r>
      <w:r w:rsidRPr="00D46019">
        <w:rPr>
          <w:rStyle w:val="FootnoteReference"/>
        </w:rPr>
        <w:footnoteReference w:id="12"/>
      </w:r>
      <w:r w:rsidRPr="00D46019">
        <w:t>;</w:t>
      </w:r>
    </w:p>
    <w:p w:rsidR="00993EBC" w:rsidRPr="00D46019" w:rsidRDefault="00993EBC" w:rsidP="00772626">
      <w:pPr>
        <w:pStyle w:val="NormalHanging12a"/>
      </w:pPr>
      <w:r w:rsidRPr="00D46019">
        <w:t>H.</w:t>
      </w:r>
      <w:r w:rsidRPr="00D46019">
        <w:tab/>
        <w:t xml:space="preserve">ker je zato v skladu s členom 17 Uredbe (ES) št. 396/2005 v povezavi s členom 14(1), točka (a), navedene uredbe primerno črtati obstoječe MRL, ki so določene za </w:t>
      </w:r>
      <w:proofErr w:type="spellStart"/>
      <w:r w:rsidRPr="00D46019">
        <w:t>tiakloprid</w:t>
      </w:r>
      <w:proofErr w:type="spellEnd"/>
      <w:r w:rsidRPr="00D46019">
        <w:t xml:space="preserve"> v Prilogi II k navedeni uredbi;</w:t>
      </w:r>
    </w:p>
    <w:p w:rsidR="00993EBC" w:rsidRPr="00D46019" w:rsidRDefault="00993EBC" w:rsidP="00772626">
      <w:pPr>
        <w:pStyle w:val="NormalHanging12a"/>
      </w:pPr>
      <w:r w:rsidRPr="00D46019">
        <w:t>I.</w:t>
      </w:r>
      <w:r w:rsidRPr="00D46019">
        <w:tab/>
        <w:t xml:space="preserve">ker Komisija v predlogu uredbe Sveta vseeno predlaga, da se na podlagi obrazloženega </w:t>
      </w:r>
      <w:r w:rsidRPr="00D46019">
        <w:lastRenderedPageBreak/>
        <w:t>mnenja agencije EFSA</w:t>
      </w:r>
      <w:r w:rsidRPr="00D46019">
        <w:rPr>
          <w:rStyle w:val="FootnoteReference"/>
        </w:rPr>
        <w:footnoteReference w:id="13"/>
      </w:r>
      <w:r w:rsidRPr="00D46019">
        <w:t xml:space="preserve"> MRL za </w:t>
      </w:r>
      <w:proofErr w:type="spellStart"/>
      <w:r w:rsidRPr="00D46019">
        <w:t>tiakloprid</w:t>
      </w:r>
      <w:proofErr w:type="spellEnd"/>
      <w:r w:rsidRPr="00D46019">
        <w:t xml:space="preserve"> ohranijo nad mejo določljivosti za uporabo na več kot 30 proizvodih za namene uvoza;</w:t>
      </w:r>
    </w:p>
    <w:p w:rsidR="00993EBC" w:rsidRPr="00D46019" w:rsidRDefault="00993EBC" w:rsidP="00772626">
      <w:pPr>
        <w:pStyle w:val="NormalHanging12a"/>
      </w:pPr>
      <w:r w:rsidRPr="00D46019">
        <w:t>J.</w:t>
      </w:r>
      <w:r w:rsidRPr="00D46019">
        <w:tab/>
        <w:t xml:space="preserve">ker vrste uporabe, za katere se MRL nad mejo določljivosti štejejo za varne, vključujejo uporabo </w:t>
      </w:r>
      <w:proofErr w:type="spellStart"/>
      <w:r w:rsidRPr="00D46019">
        <w:t>tiakloprida</w:t>
      </w:r>
      <w:proofErr w:type="spellEnd"/>
      <w:r w:rsidRPr="00D46019">
        <w:t xml:space="preserve"> na papajah, čaju, lupinarjih, kutinah, nešpljah, japonskih nešpljah, marelicah, češnjah, slivah, jagodah, robidah, ostrožnicah, drugem drobnem sadju in jagodičju, kivijih/aktinidijah, krompirju, paradižniku, jajčevcih, melonah, lubenicah, rižu, pšenici, živalskih (prašiči, govedo, ovce, konji, perutnina in druge gojene živali) proizvodih iz tkiv (mišičevje, jetra, ledvice in užitna drobovina), mleku in jajcih, malinah, kumarah, bučkah, semenih oljne ogrščice, gorčičnih semenih in bombaževem semenu; ker se MRL, predlagane za te vrste uporabe, gibljejo od dvakratnika do tisočkratnika meje določljivosti (za uporabo na čajih);</w:t>
      </w:r>
    </w:p>
    <w:p w:rsidR="00993EBC" w:rsidRPr="00D46019" w:rsidRDefault="00993EBC" w:rsidP="00772626">
      <w:pPr>
        <w:pStyle w:val="NormalHanging12a"/>
      </w:pPr>
      <w:r w:rsidRPr="00D46019">
        <w:t>K.</w:t>
      </w:r>
      <w:r w:rsidRPr="00D46019">
        <w:tab/>
        <w:t xml:space="preserve">ker je bil v nasprotju s tem zahtevek za uvozne tolerance zavrnjen le za dve vrsti uporabe (na breskvah in papriki), saj ni mogoče izključiti preseganja akutnega referenčnega odmerka, zato je Komisija predlagala znižanje MRL za </w:t>
      </w:r>
      <w:proofErr w:type="spellStart"/>
      <w:r w:rsidRPr="00D46019">
        <w:t>tiakloprid</w:t>
      </w:r>
      <w:proofErr w:type="spellEnd"/>
      <w:r w:rsidRPr="00D46019">
        <w:t xml:space="preserve"> na mejo določljivosti le za navedeni vrsti uporabe; </w:t>
      </w:r>
    </w:p>
    <w:p w:rsidR="00993EBC" w:rsidRPr="00D46019" w:rsidRDefault="00993EBC" w:rsidP="00772626">
      <w:pPr>
        <w:pStyle w:val="NormalHanging12a"/>
      </w:pPr>
      <w:r w:rsidRPr="00D46019">
        <w:t>L.</w:t>
      </w:r>
      <w:r w:rsidRPr="00D46019">
        <w:tab/>
        <w:t xml:space="preserve">ker je v uvodni izjavi 5 Uredbe (ES) št. 396/2005 določeno, da ostanki ne smejo biti prisotni na ravneh, ki predstavljajo nesprejemljivo tveganje za ljudi in, če je to primerno, za živali; </w:t>
      </w:r>
    </w:p>
    <w:p w:rsidR="00993EBC" w:rsidRPr="00D46019" w:rsidRDefault="00993EBC" w:rsidP="00772626">
      <w:pPr>
        <w:pStyle w:val="NormalHanging12a"/>
      </w:pPr>
      <w:r w:rsidRPr="00D46019">
        <w:t>M.</w:t>
      </w:r>
      <w:r w:rsidRPr="00D46019">
        <w:tab/>
        <w:t xml:space="preserve">ker člen 4(2), točka (a), Uredbe (ES) št. 1107/2009 določa, da ostanki fitofarmacevtskih sredstev nimajo škodljivega vpliva na zdravje ljudi, vključno z ranljivimi skupinami, ali zdravje živali, ob upoštevanju znanih kumulativnih in </w:t>
      </w:r>
      <w:proofErr w:type="spellStart"/>
      <w:r w:rsidRPr="00D46019">
        <w:t>sinergijskih</w:t>
      </w:r>
      <w:proofErr w:type="spellEnd"/>
      <w:r w:rsidRPr="00D46019">
        <w:t xml:space="preserve"> učinkov; ker je v točki 3.6.4 Priloge II k navedeni uredbi določeno, da se aktivna snov, ki je v skladu z Uredbo (ES) št. 1272/2008 razvrščena kot strupena za razmnoževanje v kategoriji 1A ali 1B, ne odobri, razen če „ostanki zadevne aktivne snovi [...] v hrani ali krmi ne presegajo privzete vrednosti v skladu s točko (b) člena 18(1) Uredbe (ES) št. 396/2005“; ker člen 18(1), točka (b), Uredbe (ES) št. 396/2005 določa privzeto vrednost 0,01 mg/kg;</w:t>
      </w:r>
    </w:p>
    <w:p w:rsidR="00993EBC" w:rsidRPr="00D46019" w:rsidRDefault="00993EBC" w:rsidP="00772626">
      <w:pPr>
        <w:pStyle w:val="NormalHanging12a"/>
      </w:pPr>
      <w:r w:rsidRPr="00D46019">
        <w:t>N.</w:t>
      </w:r>
      <w:r w:rsidRPr="00D46019">
        <w:tab/>
        <w:t xml:space="preserve">ker člen 3(2), točka (g), Uredbe (ES) št. 396/2005 določa, da je uvozna toleranca MRL, določena za uvožen proizvod, kadar „uporaba aktivne snovi v fitofarmacevtskem proizvodu na določenem proizvodu ni dovoljena v Skupnosti iz razlogov razen javnega zdravja za specifičen proizvod in specifično uporabo“; ker </w:t>
      </w:r>
      <w:proofErr w:type="spellStart"/>
      <w:r w:rsidRPr="00D46019">
        <w:t>tiakloprid</w:t>
      </w:r>
      <w:proofErr w:type="spellEnd"/>
      <w:r w:rsidRPr="00D46019">
        <w:t xml:space="preserve"> ne izpolnjuje teh meril, saj je bil prepovedan iz zdravstvenih razlogov, ker je razvrščen kot strupen za razmnoževanje v kategoriji 1B;</w:t>
      </w:r>
    </w:p>
    <w:p w:rsidR="00993EBC" w:rsidRPr="00D46019" w:rsidRDefault="00993EBC" w:rsidP="00772626">
      <w:pPr>
        <w:pStyle w:val="NormalHanging12a"/>
      </w:pPr>
      <w:r w:rsidRPr="00D46019">
        <w:t>O.</w:t>
      </w:r>
      <w:r w:rsidRPr="00D46019">
        <w:tab/>
        <w:t>ker člen 5(1) Uredbe (ES) št. 178/2002 določa, da si živilska zakonodaja prizadeva za doseganje enega ali več splošnih ciljev visoke ravni varovanja življenja in zdravja ljudi in varstva interesov potrošnika, vključno s poštenimi praksami v trgovini z živili ob upoštevanju, kadar je to primerno, varovanja zdravja in dobrobiti živali, zdravja rastlin in okolja;</w:t>
      </w:r>
    </w:p>
    <w:p w:rsidR="00993EBC" w:rsidRPr="00D46019" w:rsidRDefault="00993EBC" w:rsidP="00772626">
      <w:pPr>
        <w:pStyle w:val="NormalHanging12a"/>
      </w:pPr>
      <w:r w:rsidRPr="00D46019">
        <w:t>P.</w:t>
      </w:r>
      <w:r w:rsidRPr="00D46019">
        <w:tab/>
        <w:t xml:space="preserve">ker je sedanja kriza opraševalcev ena od glavnih groženj biotski raznovrstnosti ter svetovni in lokalni prehranski varnosti; ker lahko ta kriza poglobi težave skrite lakote, zmanjša odpornost ekosistemov in destabilizira ekosisteme, ki nam omogočajo </w:t>
      </w:r>
      <w:r w:rsidRPr="00D46019">
        <w:lastRenderedPageBreak/>
        <w:t>življenje</w:t>
      </w:r>
      <w:r w:rsidRPr="00D46019">
        <w:rPr>
          <w:rStyle w:val="FootnoteReference"/>
        </w:rPr>
        <w:footnoteReference w:id="14"/>
      </w:r>
      <w:r w:rsidRPr="00D46019">
        <w:t>;</w:t>
      </w:r>
    </w:p>
    <w:p w:rsidR="00993EBC" w:rsidRPr="00D46019" w:rsidRDefault="00993EBC" w:rsidP="00772626">
      <w:pPr>
        <w:pStyle w:val="NormalHanging12a"/>
      </w:pPr>
      <w:r w:rsidRPr="00D46019">
        <w:t>Q.</w:t>
      </w:r>
      <w:r w:rsidRPr="00D46019">
        <w:tab/>
        <w:t>ker je Komisija v svojem sporočilu z dne 20. maja 2020 z naslovom Strategija „od vil do vilic“ za pravičen, zdrav in okolju prijazen prehranski sistem</w:t>
      </w:r>
      <w:r w:rsidRPr="00D46019">
        <w:rPr>
          <w:rStyle w:val="FootnoteReference"/>
        </w:rPr>
        <w:footnoteReference w:id="15"/>
      </w:r>
      <w:r w:rsidRPr="00D46019">
        <w:t xml:space="preserve"> oznanila, da bo „[...] EU [...] podprla svetovni prehod na trajnostne agroživilske sisteme v skladu s cilji te strategije in cilji trajnostnega razvoja“ in da „[...] EU lahko s to strategijo [...] prevzame ključno vlogo pri določanju svetovnih standardov“; ker je Komisija v strategiji izrecno navedla, da so „[z]a bolj trajnosten prehranski sistem EU [...] potrebne tudi vse bolj trajnostne prakse naših trgovinskih partnerjev. Da bi spodbudila postopen prehod na uporabo varnejših fitofarmacevtskih sredstev, bo EU v skladu s pravili STO in po oceni tveganja razmislila o reviziji uvoznih toleranc za snovi, ki izpolnjujejo ,merila za izključitev‘</w:t>
      </w:r>
      <w:r w:rsidRPr="00D46019">
        <w:rPr>
          <w:vertAlign w:val="superscript"/>
        </w:rPr>
        <w:t>[...]</w:t>
      </w:r>
      <w:r w:rsidRPr="00D46019">
        <w:t xml:space="preserve"> in pomenijo veliko tveganje za zdravje ljudi“;</w:t>
      </w:r>
    </w:p>
    <w:p w:rsidR="00993EBC" w:rsidRPr="00D46019" w:rsidRDefault="00993EBC" w:rsidP="00772626">
      <w:pPr>
        <w:pStyle w:val="NormalHanging12a"/>
      </w:pPr>
      <w:r w:rsidRPr="00D46019">
        <w:t>R.</w:t>
      </w:r>
      <w:r w:rsidRPr="00D46019">
        <w:tab/>
        <w:t xml:space="preserve">ker je Komisija MRL za dva </w:t>
      </w:r>
      <w:proofErr w:type="spellStart"/>
      <w:r w:rsidRPr="00D46019">
        <w:t>neonikotinoida</w:t>
      </w:r>
      <w:proofErr w:type="spellEnd"/>
      <w:r w:rsidRPr="00D46019">
        <w:t>, ki predstavljata veliko tveganje za opraševalce, leta 2022 znižala</w:t>
      </w:r>
      <w:r w:rsidRPr="00D46019">
        <w:rPr>
          <w:rStyle w:val="FootnoteReference"/>
        </w:rPr>
        <w:footnoteReference w:id="16"/>
      </w:r>
      <w:r w:rsidRPr="00D46019">
        <w:t xml:space="preserve"> na najnižjo raven, ki jo je mogoče izmeriti z najnovejšimi tehnologijami, pri čemer uvoženi proizvodi ne smejo več vsebovati ostankov </w:t>
      </w:r>
      <w:proofErr w:type="spellStart"/>
      <w:r w:rsidRPr="00D46019">
        <w:t>klotianidina</w:t>
      </w:r>
      <w:proofErr w:type="spellEnd"/>
      <w:r w:rsidRPr="00D46019">
        <w:t xml:space="preserve"> in </w:t>
      </w:r>
      <w:proofErr w:type="spellStart"/>
      <w:r w:rsidRPr="00D46019">
        <w:t>tiametoksama</w:t>
      </w:r>
      <w:proofErr w:type="spellEnd"/>
      <w:r w:rsidRPr="00D46019">
        <w:t xml:space="preserve">; </w:t>
      </w:r>
    </w:p>
    <w:p w:rsidR="00993EBC" w:rsidRPr="00D46019" w:rsidRDefault="00993EBC" w:rsidP="00772626">
      <w:pPr>
        <w:pStyle w:val="NormalHanging12a"/>
      </w:pPr>
      <w:r w:rsidRPr="00D46019">
        <w:t>S.</w:t>
      </w:r>
      <w:r w:rsidRPr="00D46019">
        <w:tab/>
        <w:t xml:space="preserve">ker je v zvezi s tem Komisija navedla, da „[o]b upoštevanju vseh dejavnikov, pomembnih za obravnavano zadevo v skladu s členom 14(2) v povezavi s členom 11 Pogodbe o delovanju Evropske unije, ki določa, da je treba ‚zahteve varstva okolja […] vključevati v opredelitve in izvajanje politik in dejavnosti Unije, zlasti zaradi spodbujanja trajnostnega razvoja‘, bi bilo zato treba vse sedanje MRL za </w:t>
      </w:r>
      <w:proofErr w:type="spellStart"/>
      <w:r w:rsidRPr="00D46019">
        <w:t>klotianidin</w:t>
      </w:r>
      <w:proofErr w:type="spellEnd"/>
      <w:r w:rsidRPr="00D46019">
        <w:t xml:space="preserve"> in/ali </w:t>
      </w:r>
      <w:proofErr w:type="spellStart"/>
      <w:r w:rsidRPr="00D46019">
        <w:t>tiametoksam</w:t>
      </w:r>
      <w:proofErr w:type="spellEnd"/>
      <w:r w:rsidRPr="00D46019">
        <w:t>, kot so določene v Uredbi (ES) št. 396/2005, znižati na mejo določljivosti“</w:t>
      </w:r>
      <w:r w:rsidRPr="00D46019">
        <w:rPr>
          <w:rStyle w:val="FootnoteReference"/>
        </w:rPr>
        <w:footnoteReference w:id="17"/>
      </w:r>
      <w:r w:rsidRPr="00D46019">
        <w:t>;</w:t>
      </w:r>
    </w:p>
    <w:p w:rsidR="00993EBC" w:rsidRPr="00D46019" w:rsidRDefault="00993EBC" w:rsidP="00772626">
      <w:pPr>
        <w:pStyle w:val="NormalHanging12a"/>
      </w:pPr>
      <w:r w:rsidRPr="00D46019">
        <w:t>T.</w:t>
      </w:r>
      <w:r w:rsidRPr="00D46019">
        <w:tab/>
        <w:t xml:space="preserve">ker je na seji Stalnega odbora za rastline, živali, hrano in krmo, ki je potekala 10. in 11. maja 2023, Komisija opozorila, da </w:t>
      </w:r>
      <w:proofErr w:type="spellStart"/>
      <w:r w:rsidRPr="00D46019">
        <w:t>tiakloprid</w:t>
      </w:r>
      <w:proofErr w:type="spellEnd"/>
      <w:r w:rsidRPr="00D46019">
        <w:t xml:space="preserve"> sicer spada v skupino </w:t>
      </w:r>
      <w:proofErr w:type="spellStart"/>
      <w:r w:rsidRPr="00D46019">
        <w:t>neonikotinoidnih</w:t>
      </w:r>
      <w:proofErr w:type="spellEnd"/>
      <w:r w:rsidRPr="00D46019">
        <w:t xml:space="preserve"> aktivnih snovi, da pa, ker ima drugačne lastnosti kot </w:t>
      </w:r>
      <w:proofErr w:type="spellStart"/>
      <w:r w:rsidRPr="00D46019">
        <w:t>klotianidin</w:t>
      </w:r>
      <w:proofErr w:type="spellEnd"/>
      <w:r w:rsidRPr="00D46019">
        <w:t xml:space="preserve"> in </w:t>
      </w:r>
      <w:proofErr w:type="spellStart"/>
      <w:r w:rsidRPr="00D46019">
        <w:t>tiametoksam</w:t>
      </w:r>
      <w:proofErr w:type="spellEnd"/>
      <w:r w:rsidRPr="00D46019">
        <w:t xml:space="preserve">, trenutno ni predvideno, da bi z znižanjem vseh MRL na mejo določljivosti uporabili enak pristop kot za </w:t>
      </w:r>
      <w:proofErr w:type="spellStart"/>
      <w:r w:rsidRPr="00D46019">
        <w:t>klotianidin</w:t>
      </w:r>
      <w:proofErr w:type="spellEnd"/>
      <w:r w:rsidRPr="00D46019">
        <w:t xml:space="preserve"> in </w:t>
      </w:r>
      <w:proofErr w:type="spellStart"/>
      <w:r w:rsidRPr="00D46019">
        <w:t>tiametoksam</w:t>
      </w:r>
      <w:proofErr w:type="spellEnd"/>
      <w:r w:rsidRPr="00D46019">
        <w:t xml:space="preserve"> pri izvajanju strategije „od vil do vilic“</w:t>
      </w:r>
      <w:r w:rsidRPr="00D46019">
        <w:rPr>
          <w:rStyle w:val="FootnoteReference"/>
        </w:rPr>
        <w:footnoteReference w:id="18"/>
      </w:r>
      <w:r w:rsidRPr="00D46019">
        <w:t>;</w:t>
      </w:r>
    </w:p>
    <w:p w:rsidR="00993EBC" w:rsidRPr="00D46019" w:rsidRDefault="00993EBC" w:rsidP="00772626">
      <w:pPr>
        <w:pStyle w:val="NormalHanging12a"/>
      </w:pPr>
      <w:r w:rsidRPr="00D46019">
        <w:t>U.</w:t>
      </w:r>
      <w:r w:rsidRPr="00D46019">
        <w:tab/>
        <w:t xml:space="preserve">ker je trditev, da naj bi imel </w:t>
      </w:r>
      <w:proofErr w:type="spellStart"/>
      <w:r w:rsidRPr="00D46019">
        <w:t>tiakloprid</w:t>
      </w:r>
      <w:proofErr w:type="spellEnd"/>
      <w:r w:rsidRPr="00D46019">
        <w:t xml:space="preserve"> drugačne lastnosti kot drugi </w:t>
      </w:r>
      <w:proofErr w:type="spellStart"/>
      <w:r w:rsidRPr="00D46019">
        <w:t>neonikotinoidi</w:t>
      </w:r>
      <w:proofErr w:type="spellEnd"/>
      <w:r w:rsidRPr="00D46019">
        <w:t xml:space="preserve">, v znanstveni literaturi sporna, saj rezultati kažejo, da bi bilo treba zdaj podvomiti v </w:t>
      </w:r>
      <w:r w:rsidRPr="00D46019">
        <w:lastRenderedPageBreak/>
        <w:t xml:space="preserve">predstavo o </w:t>
      </w:r>
      <w:proofErr w:type="spellStart"/>
      <w:r w:rsidRPr="00D46019">
        <w:t>tiaklopridu</w:t>
      </w:r>
      <w:proofErr w:type="spellEnd"/>
      <w:r w:rsidRPr="00D46019">
        <w:t xml:space="preserve"> kot razmeroma neškodljivem </w:t>
      </w:r>
      <w:proofErr w:type="spellStart"/>
      <w:r w:rsidRPr="00D46019">
        <w:t>neonikotinoidu</w:t>
      </w:r>
      <w:proofErr w:type="spellEnd"/>
      <w:r w:rsidRPr="00D46019">
        <w:rPr>
          <w:rStyle w:val="FootnoteReference"/>
        </w:rPr>
        <w:footnoteReference w:id="19"/>
      </w:r>
      <w:r w:rsidRPr="00D46019">
        <w:t>;</w:t>
      </w:r>
    </w:p>
    <w:p w:rsidR="00993EBC" w:rsidRPr="00D46019" w:rsidRDefault="00993EBC" w:rsidP="00772626">
      <w:pPr>
        <w:pStyle w:val="NormalHanging12a"/>
      </w:pPr>
      <w:r w:rsidRPr="00D46019">
        <w:t>V.</w:t>
      </w:r>
      <w:r w:rsidRPr="00D46019">
        <w:tab/>
        <w:t xml:space="preserve">ker je bilo ugotovljeno, da je zlasti pri čmrljih družinah, ki so izpostavljene </w:t>
      </w:r>
      <w:proofErr w:type="spellStart"/>
      <w:r w:rsidRPr="00D46019">
        <w:t>tiaklopridu</w:t>
      </w:r>
      <w:proofErr w:type="spellEnd"/>
      <w:r w:rsidRPr="00D46019">
        <w:t xml:space="preserve">, večja verjetnost, da prezgodaj odmrejo, pri tistih, ki preživijo, pa se pokažejo </w:t>
      </w:r>
      <w:proofErr w:type="spellStart"/>
      <w:r w:rsidRPr="00D46019">
        <w:t>subletalni</w:t>
      </w:r>
      <w:proofErr w:type="spellEnd"/>
      <w:r w:rsidRPr="00D46019">
        <w:t xml:space="preserve"> učinki</w:t>
      </w:r>
      <w:r w:rsidRPr="00D46019">
        <w:rPr>
          <w:rStyle w:val="FootnoteReference"/>
        </w:rPr>
        <w:footnoteReference w:id="20"/>
      </w:r>
      <w:r w:rsidRPr="00D46019">
        <w:t xml:space="preserve">; ker je bilo ugotovljeno, da </w:t>
      </w:r>
      <w:proofErr w:type="spellStart"/>
      <w:r w:rsidRPr="00D46019">
        <w:t>tiakloprid</w:t>
      </w:r>
      <w:proofErr w:type="spellEnd"/>
      <w:r w:rsidRPr="00D46019">
        <w:t xml:space="preserve"> podobno kot </w:t>
      </w:r>
      <w:proofErr w:type="spellStart"/>
      <w:r w:rsidRPr="00D46019">
        <w:t>imidakloprid</w:t>
      </w:r>
      <w:proofErr w:type="spellEnd"/>
      <w:r w:rsidRPr="00D46019">
        <w:t xml:space="preserve">, </w:t>
      </w:r>
      <w:proofErr w:type="spellStart"/>
      <w:r w:rsidRPr="00D46019">
        <w:t>klotianidin</w:t>
      </w:r>
      <w:proofErr w:type="spellEnd"/>
      <w:r w:rsidRPr="00D46019">
        <w:t xml:space="preserve"> in </w:t>
      </w:r>
      <w:proofErr w:type="spellStart"/>
      <w:r w:rsidRPr="00D46019">
        <w:t>tiametoksam</w:t>
      </w:r>
      <w:proofErr w:type="spellEnd"/>
      <w:r w:rsidRPr="00D46019">
        <w:t xml:space="preserve"> vpliva tudi na vedenje in imunski sistem medonosnih čebel</w:t>
      </w:r>
      <w:r w:rsidRPr="00D46019">
        <w:rPr>
          <w:rStyle w:val="FootnoteReference"/>
        </w:rPr>
        <w:footnoteReference w:id="21"/>
      </w:r>
      <w:r w:rsidRPr="00D46019">
        <w:rPr>
          <w:vertAlign w:val="superscript"/>
        </w:rPr>
        <w:t>,</w:t>
      </w:r>
      <w:r w:rsidRPr="00D46019">
        <w:rPr>
          <w:rStyle w:val="FootnoteReference"/>
        </w:rPr>
        <w:footnoteReference w:id="22"/>
      </w:r>
      <w:r w:rsidRPr="00D46019">
        <w:t>;</w:t>
      </w:r>
    </w:p>
    <w:p w:rsidR="00993EBC" w:rsidRPr="00D46019" w:rsidRDefault="00772626" w:rsidP="00772626">
      <w:pPr>
        <w:pStyle w:val="NormalHanging12a"/>
      </w:pPr>
      <w:r>
        <w:t>W</w:t>
      </w:r>
      <w:r w:rsidR="00993EBC" w:rsidRPr="00D46019">
        <w:t>.</w:t>
      </w:r>
      <w:r w:rsidR="00993EBC" w:rsidRPr="00D46019">
        <w:tab/>
        <w:t xml:space="preserve">ker je vse več dokazov, da ima uporaba </w:t>
      </w:r>
      <w:proofErr w:type="spellStart"/>
      <w:r w:rsidR="00993EBC" w:rsidRPr="00D46019">
        <w:t>tiakloprida</w:t>
      </w:r>
      <w:proofErr w:type="spellEnd"/>
      <w:r w:rsidR="00993EBC" w:rsidRPr="00D46019">
        <w:t xml:space="preserve"> uničujoče posledice za biotsko raznovrstnost, zlasti čebele in druge opraševalce</w:t>
      </w:r>
      <w:r w:rsidR="00993EBC" w:rsidRPr="00D46019">
        <w:rPr>
          <w:rStyle w:val="FootnoteReference"/>
          <w:szCs w:val="24"/>
        </w:rPr>
        <w:footnoteReference w:id="23"/>
      </w:r>
      <w:r w:rsidR="00993EBC" w:rsidRPr="00D46019">
        <w:t>;</w:t>
      </w:r>
    </w:p>
    <w:p w:rsidR="00993EBC" w:rsidRPr="00D46019" w:rsidRDefault="00772626" w:rsidP="00772626">
      <w:pPr>
        <w:pStyle w:val="NormalHanging12a"/>
      </w:pPr>
      <w:r>
        <w:t>X</w:t>
      </w:r>
      <w:r w:rsidR="00993EBC" w:rsidRPr="00D46019">
        <w:t>.</w:t>
      </w:r>
      <w:r w:rsidR="00993EBC" w:rsidRPr="00D46019">
        <w:tab/>
        <w:t xml:space="preserve">ker je agencija EFSA v svojem poročilu o </w:t>
      </w:r>
      <w:proofErr w:type="spellStart"/>
      <w:r w:rsidR="00993EBC" w:rsidRPr="00D46019">
        <w:t>neobnovitvi</w:t>
      </w:r>
      <w:proofErr w:type="spellEnd"/>
      <w:r w:rsidR="00993EBC" w:rsidRPr="00D46019">
        <w:t xml:space="preserve"> z dne 22. oktobra 2019</w:t>
      </w:r>
      <w:r w:rsidR="00993EBC" w:rsidRPr="00D46019">
        <w:rPr>
          <w:rStyle w:val="FootnoteReference"/>
        </w:rPr>
        <w:footnoteReference w:id="24"/>
      </w:r>
      <w:r w:rsidR="00993EBC" w:rsidRPr="00D46019">
        <w:t xml:space="preserve"> ugotovila, da razpoložljive informacije ne zadostujejo za izpolnitev zahtev iz člena 4(1) do (3) Uredbe (ES) št. 1107/2009, in zlasti, da ocene tveganja za čebele ni mogoče dokončati;</w:t>
      </w:r>
    </w:p>
    <w:p w:rsidR="00993EBC" w:rsidRPr="00D46019" w:rsidRDefault="00772626" w:rsidP="00772626">
      <w:pPr>
        <w:pStyle w:val="NormalHanging12a"/>
      </w:pPr>
      <w:r>
        <w:t>Y</w:t>
      </w:r>
      <w:r w:rsidR="00993EBC" w:rsidRPr="00D46019">
        <w:t>.</w:t>
      </w:r>
      <w:r w:rsidR="00993EBC" w:rsidRPr="00D46019">
        <w:tab/>
        <w:t xml:space="preserve">ker bi zato morali za </w:t>
      </w:r>
      <w:proofErr w:type="spellStart"/>
      <w:r w:rsidR="00993EBC" w:rsidRPr="00D46019">
        <w:t>tiakloprid</w:t>
      </w:r>
      <w:proofErr w:type="spellEnd"/>
      <w:r w:rsidR="00993EBC" w:rsidRPr="00D46019">
        <w:t xml:space="preserve"> veljati enaka utemeljitev in pravila kot za </w:t>
      </w:r>
      <w:proofErr w:type="spellStart"/>
      <w:r w:rsidR="00993EBC" w:rsidRPr="00D46019">
        <w:t>klotianidin</w:t>
      </w:r>
      <w:proofErr w:type="spellEnd"/>
      <w:r w:rsidR="00993EBC" w:rsidRPr="00D46019">
        <w:t xml:space="preserve"> in </w:t>
      </w:r>
      <w:proofErr w:type="spellStart"/>
      <w:r w:rsidR="00993EBC" w:rsidRPr="00D46019">
        <w:t>tiametoksam</w:t>
      </w:r>
      <w:proofErr w:type="spellEnd"/>
      <w:r w:rsidR="00993EBC" w:rsidRPr="00D46019">
        <w:t>;</w:t>
      </w:r>
    </w:p>
    <w:p w:rsidR="00993EBC" w:rsidRPr="00D46019" w:rsidRDefault="00772626" w:rsidP="00772626">
      <w:pPr>
        <w:pStyle w:val="NormalHanging12a"/>
      </w:pPr>
      <w:r>
        <w:t>Z</w:t>
      </w:r>
      <w:r w:rsidR="00993EBC" w:rsidRPr="00D46019">
        <w:t>.</w:t>
      </w:r>
      <w:r w:rsidR="00993EBC" w:rsidRPr="00D46019">
        <w:tab/>
        <w:t>ker mora Komisija varovati okolje in državljane Unije na podlagi razpoložljivih znanstvenih podatkov, pri čemer mora uporabiti obveznosti in pravne možnosti, ki jih določata uredbi (ES) št. 396/2005 in (ES) št. 178/2002, da bi zagotovili visoko raven varovanja zdravja ljudi in živali ter okolja;</w:t>
      </w:r>
    </w:p>
    <w:p w:rsidR="00993EBC" w:rsidRPr="00D46019" w:rsidRDefault="00772626" w:rsidP="00772626">
      <w:pPr>
        <w:pStyle w:val="NormalHanging12a"/>
      </w:pPr>
      <w:r w:rsidRPr="00D46019">
        <w:t>A</w:t>
      </w:r>
      <w:r>
        <w:t>A</w:t>
      </w:r>
      <w:r w:rsidR="00993EBC" w:rsidRPr="00D46019">
        <w:t>.</w:t>
      </w:r>
      <w:r w:rsidR="00993EBC" w:rsidRPr="00D46019">
        <w:tab/>
        <w:t>ker predlagane MRL ne varujejo zdravja državljanov v Uniji in ne zagotavljajo visoke ravni zaščite čebel in drugih opraševalcev ter so zato v nasprotju z uredbama (ES) št. 396/2005 in (ES) št. 178/2002;</w:t>
      </w:r>
    </w:p>
    <w:p w:rsidR="00993EBC" w:rsidRPr="00D46019" w:rsidRDefault="00772626" w:rsidP="00772626">
      <w:pPr>
        <w:pStyle w:val="NormalHanging12a"/>
      </w:pPr>
      <w:r w:rsidRPr="00D46019">
        <w:lastRenderedPageBreak/>
        <w:t>A</w:t>
      </w:r>
      <w:r>
        <w:t>B</w:t>
      </w:r>
      <w:r w:rsidR="00993EBC" w:rsidRPr="00D46019">
        <w:t>.</w:t>
      </w:r>
      <w:r w:rsidR="00993EBC" w:rsidRPr="00D46019">
        <w:tab/>
        <w:t xml:space="preserve">ker se MRL ne bi smele določati za aktivne snovi, ki zaradi zdravstvenih pomislekov v Uniji niso odobrene; ker zato za </w:t>
      </w:r>
      <w:proofErr w:type="spellStart"/>
      <w:r w:rsidR="00993EBC" w:rsidRPr="00D46019">
        <w:t>tiakloprid</w:t>
      </w:r>
      <w:proofErr w:type="spellEnd"/>
      <w:r w:rsidR="00993EBC" w:rsidRPr="00D46019">
        <w:t xml:space="preserve"> ne bi smeli določiti uvoznih toleranc, saj je razvrščen kot strupen za razmnoževanje v kategoriji 1B; ker bi morala biti razvrstitev </w:t>
      </w:r>
      <w:proofErr w:type="spellStart"/>
      <w:r w:rsidR="00993EBC" w:rsidRPr="00D46019">
        <w:t>tiakloprida</w:t>
      </w:r>
      <w:proofErr w:type="spellEnd"/>
      <w:r w:rsidR="00993EBC" w:rsidRPr="00D46019">
        <w:t xml:space="preserve"> kot strupenega za razmnoževanje v kategoriji 1B zadosten razlog za to, da Komisija zavrne zahtevke za uvozne tolerance glede na tveganje za zdravje državljanov v tretjih državah; </w:t>
      </w:r>
    </w:p>
    <w:p w:rsidR="00993EBC" w:rsidRPr="00D46019" w:rsidRDefault="00993EBC" w:rsidP="00772626">
      <w:pPr>
        <w:pStyle w:val="NormalHanging12a"/>
      </w:pPr>
      <w:r w:rsidRPr="00D46019">
        <w:t>1.</w:t>
      </w:r>
      <w:r w:rsidRPr="00D46019">
        <w:tab/>
        <w:t>nasprotuje sprejetju predloga uredbe Sveta;</w:t>
      </w:r>
    </w:p>
    <w:p w:rsidR="00993EBC" w:rsidRPr="00D46019" w:rsidRDefault="00993EBC" w:rsidP="00772626">
      <w:pPr>
        <w:pStyle w:val="NormalHanging12a"/>
      </w:pPr>
      <w:r w:rsidRPr="00D46019">
        <w:t>2.</w:t>
      </w:r>
      <w:r w:rsidRPr="00D46019">
        <w:tab/>
        <w:t>meni, da predlog uredbe Sveta ni združljiv niti s ciljem in vsebino uredb (ES) št. 396/2005 in (ES) št. 178/2002 niti z Uredbo (ES) št. 1107/2009, vključno s točko 3.6.4 njene Priloge II;</w:t>
      </w:r>
    </w:p>
    <w:p w:rsidR="00993EBC" w:rsidRPr="00D46019" w:rsidRDefault="00993EBC" w:rsidP="00772626">
      <w:pPr>
        <w:pStyle w:val="NormalHanging12a"/>
      </w:pPr>
      <w:r w:rsidRPr="00D46019">
        <w:t>3.</w:t>
      </w:r>
      <w:r w:rsidRPr="00D46019">
        <w:tab/>
        <w:t>poziva Komisijo, naj umakne predlog uredbe;</w:t>
      </w:r>
    </w:p>
    <w:p w:rsidR="00993EBC" w:rsidRPr="00D46019" w:rsidRDefault="00993EBC" w:rsidP="00772626">
      <w:pPr>
        <w:pStyle w:val="NormalHanging12a"/>
      </w:pPr>
      <w:r w:rsidRPr="00D46019">
        <w:t>4.</w:t>
      </w:r>
      <w:r w:rsidRPr="00D46019">
        <w:tab/>
        <w:t xml:space="preserve">poziva Komisijo, naj odboru predloži nov osnutek, v katerem bodo vse MRL za </w:t>
      </w:r>
      <w:proofErr w:type="spellStart"/>
      <w:r w:rsidRPr="00D46019">
        <w:t>tiakloprid</w:t>
      </w:r>
      <w:proofErr w:type="spellEnd"/>
      <w:r w:rsidRPr="00D46019">
        <w:t xml:space="preserve"> znižane na mejo določljivosti za vse vrste uporabe, in naj zavrne vse zahtevke za uvozne tolerance;</w:t>
      </w:r>
    </w:p>
    <w:p w:rsidR="00993EBC" w:rsidRPr="00D46019" w:rsidRDefault="00993EBC" w:rsidP="00772626">
      <w:pPr>
        <w:pStyle w:val="NormalHanging12a"/>
      </w:pPr>
      <w:r w:rsidRPr="00D46019">
        <w:t>5.</w:t>
      </w:r>
      <w:r w:rsidRPr="00D46019">
        <w:tab/>
        <w:t>naroči svoji predsednici, naj to resolucijo posreduje Svetu in Komisiji ter vladam in parlamentom držav članic.</w:t>
      </w:r>
    </w:p>
    <w:sectPr w:rsidR="00993EBC" w:rsidRPr="00D46019" w:rsidSect="00D460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D83" w:rsidRPr="00D46019" w:rsidRDefault="00965D83">
      <w:r w:rsidRPr="00D46019">
        <w:separator/>
      </w:r>
    </w:p>
  </w:endnote>
  <w:endnote w:type="continuationSeparator" w:id="0">
    <w:p w:rsidR="00965D83" w:rsidRPr="00D46019" w:rsidRDefault="00965D83">
      <w:r w:rsidRPr="00D460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60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60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60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D83" w:rsidRPr="00D46019" w:rsidRDefault="00965D83">
      <w:r w:rsidRPr="00D46019">
        <w:separator/>
      </w:r>
    </w:p>
  </w:footnote>
  <w:footnote w:type="continuationSeparator" w:id="0">
    <w:p w:rsidR="00965D83" w:rsidRPr="00D46019" w:rsidRDefault="00965D83">
      <w:r w:rsidRPr="00D46019">
        <w:continuationSeparator/>
      </w:r>
    </w:p>
  </w:footnote>
  <w:footnote w:id="1">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UL L 70, 16.3.2005, str. 1.</w:t>
      </w:r>
    </w:p>
  </w:footnote>
  <w:footnote w:id="2">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UL L 309, 24.11.2009, str. 1.</w:t>
      </w:r>
    </w:p>
  </w:footnote>
  <w:footnote w:id="3">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UL L 31, 1.2.2002, str. 1.</w:t>
      </w:r>
    </w:p>
  </w:footnote>
  <w:footnote w:id="4">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i/>
          <w:iCs/>
          <w:sz w:val="24"/>
          <w:lang w:val="sl-SI"/>
        </w:rPr>
        <w:t xml:space="preserve"> </w:t>
      </w:r>
      <w:r w:rsidR="00D46019" w:rsidRPr="00D46019">
        <w:rPr>
          <w:i/>
          <w:iCs/>
          <w:sz w:val="24"/>
          <w:lang w:val="sl-SI"/>
        </w:rPr>
        <w:tab/>
      </w:r>
      <w:r w:rsidRPr="00D46019">
        <w:rPr>
          <w:i/>
          <w:iCs/>
          <w:sz w:val="24"/>
          <w:lang w:val="sl-SI"/>
        </w:rPr>
        <w:t xml:space="preserve">EFSA </w:t>
      </w:r>
      <w:proofErr w:type="spellStart"/>
      <w:r w:rsidRPr="00D46019">
        <w:rPr>
          <w:i/>
          <w:iCs/>
          <w:sz w:val="24"/>
          <w:lang w:val="sl-SI"/>
        </w:rPr>
        <w:t>Statement</w:t>
      </w:r>
      <w:proofErr w:type="spellEnd"/>
      <w:r w:rsidRPr="00D46019">
        <w:rPr>
          <w:i/>
          <w:iCs/>
          <w:sz w:val="24"/>
          <w:lang w:val="sl-SI"/>
        </w:rPr>
        <w:t xml:space="preserve"> on the </w:t>
      </w:r>
      <w:proofErr w:type="spellStart"/>
      <w:r w:rsidRPr="00D46019">
        <w:rPr>
          <w:i/>
          <w:iCs/>
          <w:sz w:val="24"/>
          <w:lang w:val="sl-SI"/>
        </w:rPr>
        <w:t>short</w:t>
      </w:r>
      <w:proofErr w:type="spellEnd"/>
      <w:r w:rsidRPr="00D46019">
        <w:rPr>
          <w:i/>
          <w:iCs/>
          <w:sz w:val="24"/>
          <w:lang w:val="sl-SI"/>
        </w:rPr>
        <w:t>-term (</w:t>
      </w:r>
      <w:proofErr w:type="spellStart"/>
      <w:r w:rsidRPr="00D46019">
        <w:rPr>
          <w:i/>
          <w:iCs/>
          <w:sz w:val="24"/>
          <w:lang w:val="sl-SI"/>
        </w:rPr>
        <w:t>acute</w:t>
      </w:r>
      <w:proofErr w:type="spellEnd"/>
      <w:r w:rsidRPr="00D46019">
        <w:rPr>
          <w:i/>
          <w:iCs/>
          <w:sz w:val="24"/>
          <w:lang w:val="sl-SI"/>
        </w:rPr>
        <w:t xml:space="preserve">) </w:t>
      </w:r>
      <w:proofErr w:type="spellStart"/>
      <w:r w:rsidRPr="00D46019">
        <w:rPr>
          <w:i/>
          <w:iCs/>
          <w:sz w:val="24"/>
          <w:lang w:val="sl-SI"/>
        </w:rPr>
        <w:t>dietary</w:t>
      </w:r>
      <w:proofErr w:type="spellEnd"/>
      <w:r w:rsidRPr="00D46019">
        <w:rPr>
          <w:i/>
          <w:iCs/>
          <w:sz w:val="24"/>
          <w:lang w:val="sl-SI"/>
        </w:rPr>
        <w:t xml:space="preserve"> </w:t>
      </w:r>
      <w:proofErr w:type="spellStart"/>
      <w:r w:rsidRPr="00D46019">
        <w:rPr>
          <w:i/>
          <w:iCs/>
          <w:sz w:val="24"/>
          <w:lang w:val="sl-SI"/>
        </w:rPr>
        <w:t>risk</w:t>
      </w:r>
      <w:proofErr w:type="spellEnd"/>
      <w:r w:rsidRPr="00D46019">
        <w:rPr>
          <w:i/>
          <w:iCs/>
          <w:sz w:val="24"/>
          <w:lang w:val="sl-SI"/>
        </w:rPr>
        <w:t xml:space="preserve"> </w:t>
      </w:r>
      <w:proofErr w:type="spellStart"/>
      <w:r w:rsidRPr="00D46019">
        <w:rPr>
          <w:i/>
          <w:iCs/>
          <w:sz w:val="24"/>
          <w:lang w:val="sl-SI"/>
        </w:rPr>
        <w:t>assessment</w:t>
      </w:r>
      <w:proofErr w:type="spellEnd"/>
      <w:r w:rsidRPr="00D46019">
        <w:rPr>
          <w:i/>
          <w:iCs/>
          <w:sz w:val="24"/>
          <w:lang w:val="sl-SI"/>
        </w:rPr>
        <w:t xml:space="preserve"> and </w:t>
      </w:r>
      <w:proofErr w:type="spellStart"/>
      <w:r w:rsidRPr="00D46019">
        <w:rPr>
          <w:i/>
          <w:iCs/>
          <w:sz w:val="24"/>
          <w:lang w:val="sl-SI"/>
        </w:rPr>
        <w:t>evaluation</w:t>
      </w:r>
      <w:proofErr w:type="spellEnd"/>
      <w:r w:rsidRPr="00D46019">
        <w:rPr>
          <w:i/>
          <w:iCs/>
          <w:sz w:val="24"/>
          <w:lang w:val="sl-SI"/>
        </w:rPr>
        <w:t xml:space="preserve"> </w:t>
      </w:r>
      <w:proofErr w:type="spellStart"/>
      <w:r w:rsidRPr="00D46019">
        <w:rPr>
          <w:i/>
          <w:iCs/>
          <w:sz w:val="24"/>
          <w:lang w:val="sl-SI"/>
        </w:rPr>
        <w:t>of</w:t>
      </w:r>
      <w:proofErr w:type="spellEnd"/>
      <w:r w:rsidRPr="00D46019">
        <w:rPr>
          <w:i/>
          <w:iCs/>
          <w:sz w:val="24"/>
          <w:lang w:val="sl-SI"/>
        </w:rPr>
        <w:t xml:space="preserve"> </w:t>
      </w:r>
      <w:proofErr w:type="spellStart"/>
      <w:r w:rsidRPr="00D46019">
        <w:rPr>
          <w:i/>
          <w:iCs/>
          <w:sz w:val="24"/>
          <w:lang w:val="sl-SI"/>
        </w:rPr>
        <w:t>confirmatory</w:t>
      </w:r>
      <w:proofErr w:type="spellEnd"/>
      <w:r w:rsidRPr="00D46019">
        <w:rPr>
          <w:i/>
          <w:iCs/>
          <w:sz w:val="24"/>
          <w:lang w:val="sl-SI"/>
        </w:rPr>
        <w:t xml:space="preserve"> data </w:t>
      </w:r>
      <w:proofErr w:type="spellStart"/>
      <w:r w:rsidRPr="00D46019">
        <w:rPr>
          <w:i/>
          <w:iCs/>
          <w:sz w:val="24"/>
          <w:lang w:val="sl-SI"/>
        </w:rPr>
        <w:t>for</w:t>
      </w:r>
      <w:proofErr w:type="spellEnd"/>
      <w:r w:rsidRPr="00D46019">
        <w:rPr>
          <w:i/>
          <w:iCs/>
          <w:sz w:val="24"/>
          <w:lang w:val="sl-SI"/>
        </w:rPr>
        <w:t xml:space="preserve"> </w:t>
      </w:r>
      <w:proofErr w:type="spellStart"/>
      <w:r w:rsidRPr="00D46019">
        <w:rPr>
          <w:i/>
          <w:iCs/>
          <w:sz w:val="24"/>
          <w:lang w:val="sl-SI"/>
        </w:rPr>
        <w:t>certain</w:t>
      </w:r>
      <w:proofErr w:type="spellEnd"/>
      <w:r w:rsidRPr="00D46019">
        <w:rPr>
          <w:i/>
          <w:iCs/>
          <w:sz w:val="24"/>
          <w:lang w:val="sl-SI"/>
        </w:rPr>
        <w:t xml:space="preserve"> </w:t>
      </w:r>
      <w:proofErr w:type="spellStart"/>
      <w:r w:rsidRPr="00D46019">
        <w:rPr>
          <w:i/>
          <w:iCs/>
          <w:sz w:val="24"/>
          <w:lang w:val="sl-SI"/>
        </w:rPr>
        <w:t>maximum</w:t>
      </w:r>
      <w:proofErr w:type="spellEnd"/>
      <w:r w:rsidRPr="00D46019">
        <w:rPr>
          <w:i/>
          <w:iCs/>
          <w:sz w:val="24"/>
          <w:lang w:val="sl-SI"/>
        </w:rPr>
        <w:t xml:space="preserve"> </w:t>
      </w:r>
      <w:proofErr w:type="spellStart"/>
      <w:r w:rsidRPr="00D46019">
        <w:rPr>
          <w:i/>
          <w:iCs/>
          <w:sz w:val="24"/>
          <w:lang w:val="sl-SI"/>
        </w:rPr>
        <w:t>residue</w:t>
      </w:r>
      <w:proofErr w:type="spellEnd"/>
      <w:r w:rsidRPr="00D46019">
        <w:rPr>
          <w:i/>
          <w:iCs/>
          <w:sz w:val="24"/>
          <w:lang w:val="sl-SI"/>
        </w:rPr>
        <w:t xml:space="preserve"> </w:t>
      </w:r>
      <w:proofErr w:type="spellStart"/>
      <w:r w:rsidRPr="00D46019">
        <w:rPr>
          <w:i/>
          <w:iCs/>
          <w:sz w:val="24"/>
          <w:lang w:val="sl-SI"/>
        </w:rPr>
        <w:t>levels</w:t>
      </w:r>
      <w:proofErr w:type="spellEnd"/>
      <w:r w:rsidRPr="00D46019">
        <w:rPr>
          <w:i/>
          <w:iCs/>
          <w:sz w:val="24"/>
          <w:lang w:val="sl-SI"/>
        </w:rPr>
        <w:t xml:space="preserve"> (</w:t>
      </w:r>
      <w:proofErr w:type="spellStart"/>
      <w:r w:rsidRPr="00D46019">
        <w:rPr>
          <w:i/>
          <w:iCs/>
          <w:sz w:val="24"/>
          <w:lang w:val="sl-SI"/>
        </w:rPr>
        <w:t>MRLs</w:t>
      </w:r>
      <w:proofErr w:type="spellEnd"/>
      <w:r w:rsidRPr="00D46019">
        <w:rPr>
          <w:i/>
          <w:iCs/>
          <w:sz w:val="24"/>
          <w:lang w:val="sl-SI"/>
        </w:rPr>
        <w:t xml:space="preserve">) </w:t>
      </w:r>
      <w:proofErr w:type="spellStart"/>
      <w:r w:rsidRPr="00D46019">
        <w:rPr>
          <w:i/>
          <w:iCs/>
          <w:sz w:val="24"/>
          <w:lang w:val="sl-SI"/>
        </w:rPr>
        <w:t>for</w:t>
      </w:r>
      <w:proofErr w:type="spellEnd"/>
      <w:r w:rsidRPr="00D46019">
        <w:rPr>
          <w:i/>
          <w:iCs/>
          <w:sz w:val="24"/>
          <w:lang w:val="sl-SI"/>
        </w:rPr>
        <w:t xml:space="preserve"> </w:t>
      </w:r>
      <w:proofErr w:type="spellStart"/>
      <w:r w:rsidRPr="00D46019">
        <w:rPr>
          <w:i/>
          <w:iCs/>
          <w:sz w:val="24"/>
          <w:lang w:val="sl-SI"/>
        </w:rPr>
        <w:t>thiacloprid</w:t>
      </w:r>
      <w:proofErr w:type="spellEnd"/>
      <w:r w:rsidRPr="00D46019">
        <w:rPr>
          <w:sz w:val="24"/>
          <w:lang w:val="sl-SI"/>
        </w:rPr>
        <w:t xml:space="preserve"> (Izjava agencije EFSA o oceni kratkotrajnega (akutnega) prehranskega tveganja in oceni potrditvenih podatkov za nekatere mejne vrednosti ostankov (MRL) za </w:t>
      </w:r>
      <w:proofErr w:type="spellStart"/>
      <w:r w:rsidRPr="00D46019">
        <w:rPr>
          <w:sz w:val="24"/>
          <w:lang w:val="sl-SI"/>
        </w:rPr>
        <w:t>tiakloprid</w:t>
      </w:r>
      <w:proofErr w:type="spellEnd"/>
      <w:r w:rsidRPr="00D46019">
        <w:rPr>
          <w:sz w:val="24"/>
          <w:lang w:val="sl-SI"/>
        </w:rPr>
        <w:t xml:space="preserve">), EFSA </w:t>
      </w:r>
      <w:proofErr w:type="spellStart"/>
      <w:r w:rsidRPr="00D46019">
        <w:rPr>
          <w:sz w:val="24"/>
          <w:lang w:val="sl-SI"/>
        </w:rPr>
        <w:t>Journal</w:t>
      </w:r>
      <w:proofErr w:type="spellEnd"/>
      <w:r w:rsidRPr="00D46019">
        <w:rPr>
          <w:sz w:val="24"/>
          <w:lang w:val="sl-SI"/>
        </w:rPr>
        <w:t xml:space="preserve"> 2023;21(3):7888, </w:t>
      </w:r>
      <w:hyperlink r:id="rId1" w:history="1">
        <w:r w:rsidRPr="00D46019">
          <w:rPr>
            <w:rStyle w:val="Hyperlink"/>
            <w:sz w:val="24"/>
            <w:lang w:val="sl-SI"/>
          </w:rPr>
          <w:t>https://doi.org/10.2903/j.efsa.2023.7888</w:t>
        </w:r>
      </w:hyperlink>
      <w:r w:rsidRPr="00D46019">
        <w:rPr>
          <w:sz w:val="24"/>
          <w:lang w:val="sl-SI"/>
        </w:rPr>
        <w:t>.</w:t>
      </w:r>
    </w:p>
  </w:footnote>
  <w:footnote w:id="5">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i/>
          <w:iCs/>
          <w:sz w:val="24"/>
          <w:lang w:val="sl-SI"/>
        </w:rPr>
        <w:t xml:space="preserve"> </w:t>
      </w:r>
      <w:r w:rsidR="00D46019" w:rsidRPr="00D46019">
        <w:rPr>
          <w:i/>
          <w:iCs/>
          <w:sz w:val="24"/>
          <w:lang w:val="sl-SI"/>
        </w:rPr>
        <w:tab/>
      </w:r>
      <w:r w:rsidRPr="00D46019">
        <w:rPr>
          <w:i/>
          <w:iCs/>
          <w:sz w:val="24"/>
          <w:lang w:val="sl-SI"/>
        </w:rPr>
        <w:t xml:space="preserve">EFSA </w:t>
      </w:r>
      <w:proofErr w:type="spellStart"/>
      <w:r w:rsidRPr="00D46019">
        <w:rPr>
          <w:i/>
          <w:iCs/>
          <w:sz w:val="24"/>
          <w:lang w:val="sl-SI"/>
        </w:rPr>
        <w:t>conclusion</w:t>
      </w:r>
      <w:proofErr w:type="spellEnd"/>
      <w:r w:rsidRPr="00D46019">
        <w:rPr>
          <w:i/>
          <w:iCs/>
          <w:sz w:val="24"/>
          <w:lang w:val="sl-SI"/>
        </w:rPr>
        <w:t xml:space="preserve"> on the </w:t>
      </w:r>
      <w:proofErr w:type="spellStart"/>
      <w:r w:rsidRPr="00D46019">
        <w:rPr>
          <w:i/>
          <w:iCs/>
          <w:sz w:val="24"/>
          <w:lang w:val="sl-SI"/>
        </w:rPr>
        <w:t>peer</w:t>
      </w:r>
      <w:proofErr w:type="spellEnd"/>
      <w:r w:rsidRPr="00D46019">
        <w:rPr>
          <w:i/>
          <w:iCs/>
          <w:sz w:val="24"/>
          <w:lang w:val="sl-SI"/>
        </w:rPr>
        <w:t xml:space="preserve"> </w:t>
      </w:r>
      <w:proofErr w:type="spellStart"/>
      <w:r w:rsidRPr="00D46019">
        <w:rPr>
          <w:i/>
          <w:iCs/>
          <w:sz w:val="24"/>
          <w:lang w:val="sl-SI"/>
        </w:rPr>
        <w:t>review</w:t>
      </w:r>
      <w:proofErr w:type="spellEnd"/>
      <w:r w:rsidRPr="00D46019">
        <w:rPr>
          <w:i/>
          <w:iCs/>
          <w:sz w:val="24"/>
          <w:lang w:val="sl-SI"/>
        </w:rPr>
        <w:t xml:space="preserve"> </w:t>
      </w:r>
      <w:proofErr w:type="spellStart"/>
      <w:r w:rsidRPr="00D46019">
        <w:rPr>
          <w:i/>
          <w:iCs/>
          <w:sz w:val="24"/>
          <w:lang w:val="sl-SI"/>
        </w:rPr>
        <w:t>of</w:t>
      </w:r>
      <w:proofErr w:type="spellEnd"/>
      <w:r w:rsidRPr="00D46019">
        <w:rPr>
          <w:i/>
          <w:iCs/>
          <w:sz w:val="24"/>
          <w:lang w:val="sl-SI"/>
        </w:rPr>
        <w:t xml:space="preserve"> the pesticide </w:t>
      </w:r>
      <w:proofErr w:type="spellStart"/>
      <w:r w:rsidRPr="00D46019">
        <w:rPr>
          <w:i/>
          <w:iCs/>
          <w:sz w:val="24"/>
          <w:lang w:val="sl-SI"/>
        </w:rPr>
        <w:t>risk</w:t>
      </w:r>
      <w:proofErr w:type="spellEnd"/>
      <w:r w:rsidRPr="00D46019">
        <w:rPr>
          <w:i/>
          <w:iCs/>
          <w:sz w:val="24"/>
          <w:lang w:val="sl-SI"/>
        </w:rPr>
        <w:t xml:space="preserve"> </w:t>
      </w:r>
      <w:proofErr w:type="spellStart"/>
      <w:r w:rsidRPr="00D46019">
        <w:rPr>
          <w:i/>
          <w:iCs/>
          <w:sz w:val="24"/>
          <w:lang w:val="sl-SI"/>
        </w:rPr>
        <w:t>assessment</w:t>
      </w:r>
      <w:proofErr w:type="spellEnd"/>
      <w:r w:rsidRPr="00D46019">
        <w:rPr>
          <w:i/>
          <w:iCs/>
          <w:sz w:val="24"/>
          <w:lang w:val="sl-SI"/>
        </w:rPr>
        <w:t xml:space="preserve"> </w:t>
      </w:r>
      <w:proofErr w:type="spellStart"/>
      <w:r w:rsidRPr="00D46019">
        <w:rPr>
          <w:i/>
          <w:iCs/>
          <w:sz w:val="24"/>
          <w:lang w:val="sl-SI"/>
        </w:rPr>
        <w:t>of</w:t>
      </w:r>
      <w:proofErr w:type="spellEnd"/>
      <w:r w:rsidRPr="00D46019">
        <w:rPr>
          <w:i/>
          <w:iCs/>
          <w:sz w:val="24"/>
          <w:lang w:val="sl-SI"/>
        </w:rPr>
        <w:t xml:space="preserve"> the </w:t>
      </w:r>
      <w:proofErr w:type="spellStart"/>
      <w:r w:rsidRPr="00D46019">
        <w:rPr>
          <w:i/>
          <w:iCs/>
          <w:sz w:val="24"/>
          <w:lang w:val="sl-SI"/>
        </w:rPr>
        <w:t>active</w:t>
      </w:r>
      <w:proofErr w:type="spellEnd"/>
      <w:r w:rsidRPr="00D46019">
        <w:rPr>
          <w:i/>
          <w:iCs/>
          <w:sz w:val="24"/>
          <w:lang w:val="sl-SI"/>
        </w:rPr>
        <w:t xml:space="preserve"> substance </w:t>
      </w:r>
      <w:proofErr w:type="spellStart"/>
      <w:r w:rsidRPr="00D46019">
        <w:rPr>
          <w:i/>
          <w:iCs/>
          <w:sz w:val="24"/>
          <w:lang w:val="sl-SI"/>
        </w:rPr>
        <w:t>thiacloprid</w:t>
      </w:r>
      <w:proofErr w:type="spellEnd"/>
      <w:r w:rsidRPr="00D46019">
        <w:rPr>
          <w:sz w:val="24"/>
          <w:lang w:val="sl-SI"/>
        </w:rPr>
        <w:t xml:space="preserve"> (Sklep agencije EFSA o strokovnem pregledu ocene tveganja za pesticide z aktivno snovjo </w:t>
      </w:r>
      <w:proofErr w:type="spellStart"/>
      <w:r w:rsidRPr="00D46019">
        <w:rPr>
          <w:sz w:val="24"/>
          <w:lang w:val="sl-SI"/>
        </w:rPr>
        <w:t>tiakloprid</w:t>
      </w:r>
      <w:proofErr w:type="spellEnd"/>
      <w:r w:rsidRPr="00D46019">
        <w:rPr>
          <w:sz w:val="24"/>
          <w:lang w:val="sl-SI"/>
        </w:rPr>
        <w:t xml:space="preserve">), EFSA </w:t>
      </w:r>
      <w:proofErr w:type="spellStart"/>
      <w:r w:rsidRPr="00D46019">
        <w:rPr>
          <w:sz w:val="24"/>
          <w:lang w:val="sl-SI"/>
        </w:rPr>
        <w:t>Journal</w:t>
      </w:r>
      <w:proofErr w:type="spellEnd"/>
      <w:r w:rsidRPr="00D46019">
        <w:rPr>
          <w:sz w:val="24"/>
          <w:lang w:val="sl-SI"/>
        </w:rPr>
        <w:t xml:space="preserve"> 2019;17(3):5595, </w:t>
      </w:r>
      <w:hyperlink r:id="rId2" w:history="1">
        <w:r w:rsidRPr="00D46019">
          <w:rPr>
            <w:rStyle w:val="Hyperlink"/>
            <w:sz w:val="24"/>
            <w:lang w:val="sl-SI"/>
          </w:rPr>
          <w:t>https://doi.org/10.2903/j.efsa.2019.5595</w:t>
        </w:r>
      </w:hyperlink>
      <w:r w:rsidRPr="00D46019">
        <w:rPr>
          <w:sz w:val="24"/>
          <w:lang w:val="sl-SI"/>
        </w:rPr>
        <w:t>.</w:t>
      </w:r>
    </w:p>
  </w:footnote>
  <w:footnote w:id="6">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 xml:space="preserve">Mnenje Odbora za oceno tveganja o predlogu za usklajeno razvrščanje in označevanje </w:t>
      </w:r>
      <w:proofErr w:type="spellStart"/>
      <w:r w:rsidRPr="00D46019">
        <w:rPr>
          <w:sz w:val="24"/>
          <w:lang w:val="sl-SI"/>
        </w:rPr>
        <w:t>tiakloprida</w:t>
      </w:r>
      <w:proofErr w:type="spellEnd"/>
      <w:r w:rsidRPr="00D46019">
        <w:rPr>
          <w:sz w:val="24"/>
          <w:lang w:val="sl-SI"/>
        </w:rPr>
        <w:t xml:space="preserve"> (ISO) na ravni EU; </w:t>
      </w:r>
      <w:r w:rsidRPr="00BD1970">
        <w:rPr>
          <w:szCs w:val="24"/>
        </w:rPr>
        <w:t>{(2Z)-3-[(6-kloropiridin-3-il)</w:t>
      </w:r>
      <w:proofErr w:type="spellStart"/>
      <w:r w:rsidRPr="00BD1970">
        <w:rPr>
          <w:szCs w:val="24"/>
        </w:rPr>
        <w:t>metil</w:t>
      </w:r>
      <w:proofErr w:type="spellEnd"/>
      <w:r w:rsidRPr="00BD1970">
        <w:rPr>
          <w:szCs w:val="24"/>
        </w:rPr>
        <w:t>]-1,3-tiazolidin-2-iliden}</w:t>
      </w:r>
      <w:r w:rsidRPr="00D46019">
        <w:rPr>
          <w:sz w:val="24"/>
          <w:lang w:val="sl-SI"/>
        </w:rPr>
        <w:t xml:space="preserve">cianamid, </w:t>
      </w:r>
      <w:hyperlink r:id="rId3" w:history="1">
        <w:r w:rsidRPr="00D46019">
          <w:rPr>
            <w:rStyle w:val="Hyperlink"/>
            <w:sz w:val="24"/>
            <w:lang w:val="sl-SI"/>
          </w:rPr>
          <w:t>https://echa.europa.eu/registry-of-clh-intentions-until-outcome/-/dislist/details/0b0236e180638ff8</w:t>
        </w:r>
      </w:hyperlink>
      <w:r w:rsidRPr="00D46019">
        <w:rPr>
          <w:sz w:val="24"/>
          <w:lang w:val="sl-SI"/>
        </w:rPr>
        <w:t>.</w:t>
      </w:r>
    </w:p>
  </w:footnote>
  <w:footnote w:id="7">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UL L 184, 17.7.1999, str. 23.</w:t>
      </w:r>
    </w:p>
  </w:footnote>
  <w:footnote w:id="8">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 xml:space="preserve">Izvedbena uredba Komisije (EU) 2020/23 z dne 13. januarja 2020 o </w:t>
      </w:r>
      <w:proofErr w:type="spellStart"/>
      <w:r w:rsidRPr="00D46019">
        <w:rPr>
          <w:sz w:val="24"/>
          <w:lang w:val="sl-SI"/>
        </w:rPr>
        <w:t>neobnovitvi</w:t>
      </w:r>
      <w:proofErr w:type="spellEnd"/>
      <w:r w:rsidRPr="00D46019">
        <w:rPr>
          <w:sz w:val="24"/>
          <w:lang w:val="sl-SI"/>
        </w:rPr>
        <w:t xml:space="preserve"> odobritve aktivne snovi </w:t>
      </w:r>
      <w:proofErr w:type="spellStart"/>
      <w:r w:rsidRPr="00D46019">
        <w:rPr>
          <w:sz w:val="24"/>
          <w:lang w:val="sl-SI"/>
        </w:rPr>
        <w:t>tiakloprid</w:t>
      </w:r>
      <w:proofErr w:type="spellEnd"/>
      <w:r w:rsidRPr="00D46019">
        <w:rPr>
          <w:sz w:val="24"/>
          <w:lang w:val="sl-SI"/>
        </w:rPr>
        <w:t xml:space="preserve"> v skladu z Uredbo (ES) št. 1107/2009 Evropskega parlamenta in Sveta o dajanju fitofarmacevtskih sredstev v promet ter o spremembi Priloge k Izvedbeni uredbi Komisije (EU) št. 540/2011 (UL L 8, 14.1.2020, str. 8).</w:t>
      </w:r>
    </w:p>
  </w:footnote>
  <w:footnote w:id="9">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Sklep agencije EFSA z dne 17. januarja 2019.</w:t>
      </w:r>
    </w:p>
  </w:footnote>
  <w:footnote w:id="10">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Uredba (ES) št. 1272/2008 Evropskega parlamenta in Sveta z dne 16. decembra 2008 o razvrščanju, označevanju in pakiranju snovi ter zmesi, o spremembi in razveljavitvi direktiv 67/548/EGS in 1999/45/ES ter spremembi Uredbe (ES) št. 1907/2006 (UL L 353, 31.12.2008, str. 1).</w:t>
      </w:r>
    </w:p>
  </w:footnote>
  <w:footnote w:id="11">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 xml:space="preserve">Zbirno poročilo o seji Stalnega odbora za rastline, živali, hrano in krmo, ki je potekala 18. in 19. septembra 2023, </w:t>
      </w:r>
      <w:hyperlink r:id="rId4" w:history="1">
        <w:r w:rsidRPr="00D46019">
          <w:rPr>
            <w:rStyle w:val="Hyperlink"/>
            <w:sz w:val="24"/>
            <w:lang w:val="sl-SI"/>
          </w:rPr>
          <w:t>https://ec.europa.eu/transparency/comitology-register/screen/documents/092486/1/consult?lang=en</w:t>
        </w:r>
      </w:hyperlink>
      <w:r w:rsidRPr="00D46019">
        <w:rPr>
          <w:sz w:val="24"/>
          <w:lang w:val="sl-SI"/>
        </w:rPr>
        <w:t>.</w:t>
      </w:r>
    </w:p>
  </w:footnote>
  <w:footnote w:id="12">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Prav tam.</w:t>
      </w:r>
    </w:p>
  </w:footnote>
  <w:footnote w:id="13">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Obrazloženo mnenje agencije EFSA z dne 9. februarja 2023.</w:t>
      </w:r>
    </w:p>
  </w:footnote>
  <w:footnote w:id="14">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 xml:space="preserve">van der </w:t>
      </w:r>
      <w:proofErr w:type="spellStart"/>
      <w:r w:rsidRPr="00D46019">
        <w:rPr>
          <w:sz w:val="24"/>
          <w:lang w:val="sl-SI"/>
        </w:rPr>
        <w:t>Sluijs</w:t>
      </w:r>
      <w:proofErr w:type="spellEnd"/>
      <w:r w:rsidRPr="00D46019">
        <w:rPr>
          <w:sz w:val="24"/>
          <w:lang w:val="sl-SI"/>
        </w:rPr>
        <w:t xml:space="preserve">, J. P., </w:t>
      </w:r>
      <w:proofErr w:type="spellStart"/>
      <w:r w:rsidRPr="00D46019">
        <w:rPr>
          <w:sz w:val="24"/>
          <w:lang w:val="sl-SI"/>
        </w:rPr>
        <w:t>Vaage</w:t>
      </w:r>
      <w:proofErr w:type="spellEnd"/>
      <w:r w:rsidRPr="00D46019">
        <w:rPr>
          <w:sz w:val="24"/>
          <w:lang w:val="sl-SI"/>
        </w:rPr>
        <w:t xml:space="preserve">, N. S., </w:t>
      </w:r>
      <w:proofErr w:type="spellStart"/>
      <w:r w:rsidRPr="00D46019">
        <w:rPr>
          <w:i/>
          <w:iCs/>
          <w:sz w:val="24"/>
          <w:lang w:val="sl-SI"/>
        </w:rPr>
        <w:t>Pollinators</w:t>
      </w:r>
      <w:proofErr w:type="spellEnd"/>
      <w:r w:rsidRPr="00D46019">
        <w:rPr>
          <w:i/>
          <w:iCs/>
          <w:sz w:val="24"/>
          <w:lang w:val="sl-SI"/>
        </w:rPr>
        <w:t xml:space="preserve"> and Global Food </w:t>
      </w:r>
      <w:proofErr w:type="spellStart"/>
      <w:r w:rsidRPr="00D46019">
        <w:rPr>
          <w:i/>
          <w:iCs/>
          <w:sz w:val="24"/>
          <w:lang w:val="sl-SI"/>
        </w:rPr>
        <w:t>Security</w:t>
      </w:r>
      <w:proofErr w:type="spellEnd"/>
      <w:r w:rsidRPr="00D46019">
        <w:rPr>
          <w:i/>
          <w:iCs/>
          <w:sz w:val="24"/>
          <w:lang w:val="sl-SI"/>
        </w:rPr>
        <w:t>:</w:t>
      </w:r>
      <w:r w:rsidRPr="00D46019">
        <w:rPr>
          <w:sz w:val="24"/>
          <w:lang w:val="sl-SI"/>
        </w:rPr>
        <w:t xml:space="preserve"> </w:t>
      </w:r>
      <w:r w:rsidRPr="00D46019">
        <w:rPr>
          <w:i/>
          <w:iCs/>
          <w:sz w:val="24"/>
          <w:lang w:val="sl-SI"/>
        </w:rPr>
        <w:t xml:space="preserve">the </w:t>
      </w:r>
      <w:proofErr w:type="spellStart"/>
      <w:r w:rsidRPr="00D46019">
        <w:rPr>
          <w:i/>
          <w:iCs/>
          <w:sz w:val="24"/>
          <w:lang w:val="sl-SI"/>
        </w:rPr>
        <w:t>Need</w:t>
      </w:r>
      <w:proofErr w:type="spellEnd"/>
      <w:r w:rsidRPr="00D46019">
        <w:rPr>
          <w:i/>
          <w:iCs/>
          <w:sz w:val="24"/>
          <w:lang w:val="sl-SI"/>
        </w:rPr>
        <w:t xml:space="preserve"> </w:t>
      </w:r>
      <w:proofErr w:type="spellStart"/>
      <w:r w:rsidRPr="00D46019">
        <w:rPr>
          <w:i/>
          <w:iCs/>
          <w:sz w:val="24"/>
          <w:lang w:val="sl-SI"/>
        </w:rPr>
        <w:t>for</w:t>
      </w:r>
      <w:proofErr w:type="spellEnd"/>
      <w:r w:rsidRPr="00D46019">
        <w:rPr>
          <w:i/>
          <w:iCs/>
          <w:sz w:val="24"/>
          <w:lang w:val="sl-SI"/>
        </w:rPr>
        <w:t xml:space="preserve"> </w:t>
      </w:r>
      <w:proofErr w:type="spellStart"/>
      <w:r w:rsidRPr="00D46019">
        <w:rPr>
          <w:i/>
          <w:iCs/>
          <w:sz w:val="24"/>
          <w:lang w:val="sl-SI"/>
        </w:rPr>
        <w:t>Holistic</w:t>
      </w:r>
      <w:proofErr w:type="spellEnd"/>
      <w:r w:rsidRPr="00D46019">
        <w:rPr>
          <w:i/>
          <w:iCs/>
          <w:sz w:val="24"/>
          <w:lang w:val="sl-SI"/>
        </w:rPr>
        <w:t xml:space="preserve"> Global </w:t>
      </w:r>
      <w:proofErr w:type="spellStart"/>
      <w:r w:rsidRPr="00D46019">
        <w:rPr>
          <w:i/>
          <w:iCs/>
          <w:sz w:val="24"/>
          <w:lang w:val="sl-SI"/>
        </w:rPr>
        <w:t>Stewardship</w:t>
      </w:r>
      <w:proofErr w:type="spellEnd"/>
      <w:r w:rsidRPr="00D46019">
        <w:rPr>
          <w:sz w:val="24"/>
          <w:lang w:val="sl-SI"/>
        </w:rPr>
        <w:t xml:space="preserve"> (Opraševalci in svetovna prehranska varnost: potreba po celostnem svetovnem upravljanju), Food </w:t>
      </w:r>
      <w:proofErr w:type="spellStart"/>
      <w:r w:rsidRPr="00D46019">
        <w:rPr>
          <w:sz w:val="24"/>
          <w:lang w:val="sl-SI"/>
        </w:rPr>
        <w:t>ethics</w:t>
      </w:r>
      <w:proofErr w:type="spellEnd"/>
      <w:r w:rsidRPr="00D46019">
        <w:rPr>
          <w:sz w:val="24"/>
          <w:lang w:val="sl-SI"/>
        </w:rPr>
        <w:t xml:space="preserve"> 1, 75–91 (2016), </w:t>
      </w:r>
      <w:hyperlink r:id="rId5" w:history="1">
        <w:r w:rsidRPr="00D46019">
          <w:rPr>
            <w:rStyle w:val="Hyperlink"/>
            <w:sz w:val="24"/>
            <w:lang w:val="sl-SI"/>
          </w:rPr>
          <w:t>https://doi.org/10.1007/s41055-016-0003-z</w:t>
        </w:r>
      </w:hyperlink>
      <w:r w:rsidRPr="00D46019">
        <w:rPr>
          <w:sz w:val="24"/>
          <w:lang w:val="sl-SI"/>
        </w:rPr>
        <w:t>.</w:t>
      </w:r>
    </w:p>
  </w:footnote>
  <w:footnote w:id="15">
    <w:p w:rsidR="00993EBC" w:rsidRPr="00D46019" w:rsidRDefault="00993EBC" w:rsidP="00D46019">
      <w:pPr>
        <w:pStyle w:val="FootnoteText"/>
        <w:ind w:left="567" w:hanging="567"/>
        <w:rPr>
          <w:iCs/>
          <w:sz w:val="24"/>
          <w:lang w:val="sl-SI"/>
        </w:rPr>
      </w:pPr>
      <w:r w:rsidRPr="00D46019">
        <w:rPr>
          <w:iCs/>
          <w:sz w:val="24"/>
          <w:vertAlign w:val="superscript"/>
          <w:lang w:val="sl-SI"/>
        </w:rPr>
        <w:footnoteRef/>
      </w:r>
      <w:r w:rsidR="00D46019" w:rsidRPr="00D46019">
        <w:rPr>
          <w:sz w:val="24"/>
          <w:lang w:val="sl-SI"/>
        </w:rPr>
        <w:t xml:space="preserve"> </w:t>
      </w:r>
      <w:r w:rsidR="00D46019" w:rsidRPr="00D46019">
        <w:rPr>
          <w:sz w:val="24"/>
          <w:lang w:val="sl-SI"/>
        </w:rPr>
        <w:tab/>
      </w:r>
      <w:r w:rsidRPr="00D46019">
        <w:rPr>
          <w:sz w:val="24"/>
          <w:lang w:val="sl-SI"/>
        </w:rPr>
        <w:t>COM(2020)0381.</w:t>
      </w:r>
    </w:p>
  </w:footnote>
  <w:footnote w:id="16">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 xml:space="preserve">Uredba Komisije (EU) 2023/334 z dne 2. februarja 2023 o spremembi prilog II in V k Uredbi (ES) št. 396/2005 Evropskega parlamenta in Sveta glede mejnih vrednosti ostankov za </w:t>
      </w:r>
      <w:proofErr w:type="spellStart"/>
      <w:r w:rsidRPr="00D46019">
        <w:rPr>
          <w:sz w:val="24"/>
          <w:lang w:val="sl-SI"/>
        </w:rPr>
        <w:t>klotianidin</w:t>
      </w:r>
      <w:proofErr w:type="spellEnd"/>
      <w:r w:rsidRPr="00D46019">
        <w:rPr>
          <w:sz w:val="24"/>
          <w:lang w:val="sl-SI"/>
        </w:rPr>
        <w:t xml:space="preserve"> in </w:t>
      </w:r>
      <w:proofErr w:type="spellStart"/>
      <w:r w:rsidRPr="00D46019">
        <w:rPr>
          <w:sz w:val="24"/>
          <w:lang w:val="sl-SI"/>
        </w:rPr>
        <w:t>tiametoksam</w:t>
      </w:r>
      <w:proofErr w:type="spellEnd"/>
      <w:r w:rsidRPr="00D46019">
        <w:rPr>
          <w:sz w:val="24"/>
          <w:lang w:val="sl-SI"/>
        </w:rPr>
        <w:t xml:space="preserve"> v ali na nekaterih proizvodih (UL L 47, 15.2.2023, str. 29).</w:t>
      </w:r>
    </w:p>
  </w:footnote>
  <w:footnote w:id="17">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Prav tam.</w:t>
      </w:r>
    </w:p>
  </w:footnote>
  <w:footnote w:id="18">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 xml:space="preserve">Zbirno poročilo o seji Stalnega odbora za rastline, živali, hrano in krmo, ki je potekala 10. in 11. maja 2023, </w:t>
      </w:r>
      <w:hyperlink r:id="rId6" w:history="1">
        <w:r w:rsidRPr="00D46019">
          <w:rPr>
            <w:rStyle w:val="Hyperlink"/>
            <w:sz w:val="24"/>
            <w:lang w:val="sl-SI"/>
          </w:rPr>
          <w:t>https://ec.europa.eu/transparency/comitology-register/screen/documents/090500/1/consult?lang=en</w:t>
        </w:r>
      </w:hyperlink>
      <w:r w:rsidRPr="00D46019">
        <w:rPr>
          <w:sz w:val="24"/>
          <w:lang w:val="sl-SI"/>
        </w:rPr>
        <w:t>.</w:t>
      </w:r>
    </w:p>
  </w:footnote>
  <w:footnote w:id="19">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proofErr w:type="spellStart"/>
      <w:r w:rsidRPr="00D46019">
        <w:rPr>
          <w:sz w:val="24"/>
          <w:lang w:val="sl-SI"/>
        </w:rPr>
        <w:t>Ellis</w:t>
      </w:r>
      <w:proofErr w:type="spellEnd"/>
      <w:r w:rsidRPr="00D46019">
        <w:rPr>
          <w:sz w:val="24"/>
          <w:lang w:val="sl-SI"/>
        </w:rPr>
        <w:t xml:space="preserve">, C., Park, K. J., </w:t>
      </w:r>
      <w:proofErr w:type="spellStart"/>
      <w:r w:rsidRPr="00D46019">
        <w:rPr>
          <w:sz w:val="24"/>
          <w:lang w:val="sl-SI"/>
        </w:rPr>
        <w:t>Whitehorn</w:t>
      </w:r>
      <w:proofErr w:type="spellEnd"/>
      <w:r w:rsidRPr="00D46019">
        <w:rPr>
          <w:sz w:val="24"/>
          <w:lang w:val="sl-SI"/>
        </w:rPr>
        <w:t xml:space="preserve">, P., David, A., </w:t>
      </w:r>
      <w:proofErr w:type="spellStart"/>
      <w:r w:rsidRPr="00D46019">
        <w:rPr>
          <w:sz w:val="24"/>
          <w:lang w:val="sl-SI"/>
        </w:rPr>
        <w:t>Goulson</w:t>
      </w:r>
      <w:proofErr w:type="spellEnd"/>
      <w:r w:rsidRPr="00D46019">
        <w:rPr>
          <w:sz w:val="24"/>
          <w:lang w:val="sl-SI"/>
        </w:rPr>
        <w:t xml:space="preserve">, D., </w:t>
      </w:r>
      <w:r w:rsidRPr="00D46019">
        <w:rPr>
          <w:i/>
          <w:iCs/>
          <w:sz w:val="24"/>
          <w:lang w:val="sl-SI"/>
        </w:rPr>
        <w:t xml:space="preserve">The </w:t>
      </w:r>
      <w:proofErr w:type="spellStart"/>
      <w:r w:rsidRPr="00D46019">
        <w:rPr>
          <w:i/>
          <w:iCs/>
          <w:sz w:val="24"/>
          <w:lang w:val="sl-SI"/>
        </w:rPr>
        <w:t>Neonicotinoid</w:t>
      </w:r>
      <w:proofErr w:type="spellEnd"/>
      <w:r w:rsidRPr="00D46019">
        <w:rPr>
          <w:i/>
          <w:iCs/>
          <w:sz w:val="24"/>
          <w:lang w:val="sl-SI"/>
        </w:rPr>
        <w:t xml:space="preserve"> </w:t>
      </w:r>
      <w:proofErr w:type="spellStart"/>
      <w:r w:rsidRPr="00D46019">
        <w:rPr>
          <w:i/>
          <w:iCs/>
          <w:sz w:val="24"/>
          <w:lang w:val="sl-SI"/>
        </w:rPr>
        <w:t>Insecticide</w:t>
      </w:r>
      <w:proofErr w:type="spellEnd"/>
      <w:r w:rsidRPr="00D46019">
        <w:rPr>
          <w:i/>
          <w:iCs/>
          <w:sz w:val="24"/>
          <w:lang w:val="sl-SI"/>
        </w:rPr>
        <w:t xml:space="preserve"> </w:t>
      </w:r>
      <w:proofErr w:type="spellStart"/>
      <w:r w:rsidRPr="00D46019">
        <w:rPr>
          <w:i/>
          <w:iCs/>
          <w:sz w:val="24"/>
          <w:lang w:val="sl-SI"/>
        </w:rPr>
        <w:t>Thiacloprid</w:t>
      </w:r>
      <w:proofErr w:type="spellEnd"/>
      <w:r w:rsidRPr="00D46019">
        <w:rPr>
          <w:i/>
          <w:iCs/>
          <w:sz w:val="24"/>
          <w:lang w:val="sl-SI"/>
        </w:rPr>
        <w:t xml:space="preserve"> </w:t>
      </w:r>
      <w:proofErr w:type="spellStart"/>
      <w:r w:rsidRPr="00D46019">
        <w:rPr>
          <w:i/>
          <w:iCs/>
          <w:sz w:val="24"/>
          <w:lang w:val="sl-SI"/>
        </w:rPr>
        <w:t>Impacts</w:t>
      </w:r>
      <w:proofErr w:type="spellEnd"/>
      <w:r w:rsidRPr="00D46019">
        <w:rPr>
          <w:i/>
          <w:iCs/>
          <w:sz w:val="24"/>
          <w:lang w:val="sl-SI"/>
        </w:rPr>
        <w:t xml:space="preserve"> </w:t>
      </w:r>
      <w:proofErr w:type="spellStart"/>
      <w:r w:rsidRPr="00D46019">
        <w:rPr>
          <w:i/>
          <w:iCs/>
          <w:sz w:val="24"/>
          <w:lang w:val="sl-SI"/>
        </w:rPr>
        <w:t>upon</w:t>
      </w:r>
      <w:proofErr w:type="spellEnd"/>
      <w:r w:rsidRPr="00D46019">
        <w:rPr>
          <w:i/>
          <w:iCs/>
          <w:sz w:val="24"/>
          <w:lang w:val="sl-SI"/>
        </w:rPr>
        <w:t xml:space="preserve"> </w:t>
      </w:r>
      <w:proofErr w:type="spellStart"/>
      <w:r w:rsidRPr="00D46019">
        <w:rPr>
          <w:i/>
          <w:iCs/>
          <w:sz w:val="24"/>
          <w:lang w:val="sl-SI"/>
        </w:rPr>
        <w:t>Bumblebee</w:t>
      </w:r>
      <w:proofErr w:type="spellEnd"/>
      <w:r w:rsidRPr="00D46019">
        <w:rPr>
          <w:i/>
          <w:iCs/>
          <w:sz w:val="24"/>
          <w:lang w:val="sl-SI"/>
        </w:rPr>
        <w:t xml:space="preserve"> </w:t>
      </w:r>
      <w:proofErr w:type="spellStart"/>
      <w:r w:rsidRPr="00D46019">
        <w:rPr>
          <w:i/>
          <w:iCs/>
          <w:sz w:val="24"/>
          <w:lang w:val="sl-SI"/>
        </w:rPr>
        <w:t>Colony</w:t>
      </w:r>
      <w:proofErr w:type="spellEnd"/>
      <w:r w:rsidRPr="00D46019">
        <w:rPr>
          <w:i/>
          <w:iCs/>
          <w:sz w:val="24"/>
          <w:lang w:val="sl-SI"/>
        </w:rPr>
        <w:t xml:space="preserve"> </w:t>
      </w:r>
      <w:proofErr w:type="spellStart"/>
      <w:r w:rsidRPr="00D46019">
        <w:rPr>
          <w:i/>
          <w:iCs/>
          <w:sz w:val="24"/>
          <w:lang w:val="sl-SI"/>
        </w:rPr>
        <w:t>Development</w:t>
      </w:r>
      <w:proofErr w:type="spellEnd"/>
      <w:r w:rsidRPr="00D46019">
        <w:rPr>
          <w:i/>
          <w:iCs/>
          <w:sz w:val="24"/>
          <w:lang w:val="sl-SI"/>
        </w:rPr>
        <w:t xml:space="preserve"> </w:t>
      </w:r>
      <w:proofErr w:type="spellStart"/>
      <w:r w:rsidRPr="00D46019">
        <w:rPr>
          <w:i/>
          <w:iCs/>
          <w:sz w:val="24"/>
          <w:lang w:val="sl-SI"/>
        </w:rPr>
        <w:t>under</w:t>
      </w:r>
      <w:proofErr w:type="spellEnd"/>
      <w:r w:rsidRPr="00D46019">
        <w:rPr>
          <w:i/>
          <w:iCs/>
          <w:sz w:val="24"/>
          <w:lang w:val="sl-SI"/>
        </w:rPr>
        <w:t xml:space="preserve"> </w:t>
      </w:r>
      <w:proofErr w:type="spellStart"/>
      <w:r w:rsidRPr="00D46019">
        <w:rPr>
          <w:i/>
          <w:iCs/>
          <w:sz w:val="24"/>
          <w:lang w:val="sl-SI"/>
        </w:rPr>
        <w:t>Field</w:t>
      </w:r>
      <w:proofErr w:type="spellEnd"/>
      <w:r w:rsidRPr="00D46019">
        <w:rPr>
          <w:i/>
          <w:iCs/>
          <w:sz w:val="24"/>
          <w:lang w:val="sl-SI"/>
        </w:rPr>
        <w:t xml:space="preserve"> </w:t>
      </w:r>
      <w:proofErr w:type="spellStart"/>
      <w:r w:rsidRPr="00D46019">
        <w:rPr>
          <w:i/>
          <w:iCs/>
          <w:sz w:val="24"/>
          <w:lang w:val="sl-SI"/>
        </w:rPr>
        <w:t>Conditions</w:t>
      </w:r>
      <w:proofErr w:type="spellEnd"/>
      <w:r w:rsidRPr="00D46019">
        <w:rPr>
          <w:sz w:val="24"/>
          <w:lang w:val="sl-SI"/>
        </w:rPr>
        <w:t xml:space="preserve"> (Vplivi </w:t>
      </w:r>
      <w:proofErr w:type="spellStart"/>
      <w:r w:rsidRPr="00D46019">
        <w:rPr>
          <w:sz w:val="24"/>
          <w:lang w:val="sl-SI"/>
        </w:rPr>
        <w:t>neonikotinoidnega</w:t>
      </w:r>
      <w:proofErr w:type="spellEnd"/>
      <w:r w:rsidRPr="00D46019">
        <w:rPr>
          <w:sz w:val="24"/>
          <w:lang w:val="sl-SI"/>
        </w:rPr>
        <w:t xml:space="preserve"> insekticida </w:t>
      </w:r>
      <w:proofErr w:type="spellStart"/>
      <w:r w:rsidRPr="00D46019">
        <w:rPr>
          <w:sz w:val="24"/>
          <w:lang w:val="sl-SI"/>
        </w:rPr>
        <w:t>tiakloprida</w:t>
      </w:r>
      <w:proofErr w:type="spellEnd"/>
      <w:r w:rsidRPr="00D46019">
        <w:rPr>
          <w:sz w:val="24"/>
          <w:lang w:val="sl-SI"/>
        </w:rPr>
        <w:t xml:space="preserve"> na razvoj čmrljih družin v naravnih pogojih), </w:t>
      </w:r>
      <w:proofErr w:type="spellStart"/>
      <w:r w:rsidRPr="00D46019">
        <w:rPr>
          <w:sz w:val="24"/>
          <w:lang w:val="sl-SI"/>
        </w:rPr>
        <w:t>Environmental</w:t>
      </w:r>
      <w:proofErr w:type="spellEnd"/>
      <w:r w:rsidRPr="00D46019">
        <w:rPr>
          <w:sz w:val="24"/>
          <w:lang w:val="sl-SI"/>
        </w:rPr>
        <w:t xml:space="preserve"> Science &amp; </w:t>
      </w:r>
      <w:proofErr w:type="spellStart"/>
      <w:r w:rsidRPr="00D46019">
        <w:rPr>
          <w:sz w:val="24"/>
          <w:lang w:val="sl-SI"/>
        </w:rPr>
        <w:t>Technology</w:t>
      </w:r>
      <w:proofErr w:type="spellEnd"/>
      <w:r w:rsidRPr="00D46019">
        <w:rPr>
          <w:sz w:val="24"/>
          <w:lang w:val="sl-SI"/>
        </w:rPr>
        <w:t xml:space="preserve"> 2017, 51, 3, 1727–1732, </w:t>
      </w:r>
      <w:hyperlink r:id="rId7" w:history="1">
        <w:r w:rsidRPr="00D46019">
          <w:rPr>
            <w:rStyle w:val="Hyperlink"/>
            <w:sz w:val="24"/>
            <w:lang w:val="sl-SI"/>
          </w:rPr>
          <w:t>https://pubs.acs.org/doi/10.1021/acs.est.6b04791</w:t>
        </w:r>
      </w:hyperlink>
      <w:r w:rsidRPr="00D46019">
        <w:rPr>
          <w:sz w:val="24"/>
          <w:lang w:val="sl-SI"/>
        </w:rPr>
        <w:t>.</w:t>
      </w:r>
    </w:p>
  </w:footnote>
  <w:footnote w:id="20">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Prav tam.</w:t>
      </w:r>
    </w:p>
  </w:footnote>
  <w:footnote w:id="21">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r w:rsidRPr="00D46019">
        <w:rPr>
          <w:sz w:val="24"/>
          <w:lang w:val="sl-SI"/>
        </w:rPr>
        <w:t xml:space="preserve">Brandt, A., </w:t>
      </w:r>
      <w:proofErr w:type="spellStart"/>
      <w:r w:rsidRPr="00D46019">
        <w:rPr>
          <w:sz w:val="24"/>
          <w:lang w:val="sl-SI"/>
        </w:rPr>
        <w:t>Gorenflo</w:t>
      </w:r>
      <w:proofErr w:type="spellEnd"/>
      <w:r w:rsidRPr="00D46019">
        <w:rPr>
          <w:sz w:val="24"/>
          <w:lang w:val="sl-SI"/>
        </w:rPr>
        <w:t xml:space="preserve">, A., </w:t>
      </w:r>
      <w:proofErr w:type="spellStart"/>
      <w:r w:rsidRPr="00D46019">
        <w:rPr>
          <w:sz w:val="24"/>
          <w:lang w:val="sl-SI"/>
        </w:rPr>
        <w:t>Siede</w:t>
      </w:r>
      <w:proofErr w:type="spellEnd"/>
      <w:r w:rsidRPr="00D46019">
        <w:rPr>
          <w:sz w:val="24"/>
          <w:lang w:val="sl-SI"/>
        </w:rPr>
        <w:t xml:space="preserve">, R., </w:t>
      </w:r>
      <w:proofErr w:type="spellStart"/>
      <w:r w:rsidRPr="00D46019">
        <w:rPr>
          <w:sz w:val="24"/>
          <w:lang w:val="sl-SI"/>
        </w:rPr>
        <w:t>Meixner</w:t>
      </w:r>
      <w:proofErr w:type="spellEnd"/>
      <w:r w:rsidRPr="00D46019">
        <w:rPr>
          <w:sz w:val="24"/>
          <w:lang w:val="sl-SI"/>
        </w:rPr>
        <w:t xml:space="preserve">, M., </w:t>
      </w:r>
      <w:proofErr w:type="spellStart"/>
      <w:r w:rsidRPr="00D46019">
        <w:rPr>
          <w:sz w:val="24"/>
          <w:lang w:val="sl-SI"/>
        </w:rPr>
        <w:t>Büchler</w:t>
      </w:r>
      <w:proofErr w:type="spellEnd"/>
      <w:r w:rsidRPr="00D46019">
        <w:rPr>
          <w:sz w:val="24"/>
          <w:lang w:val="sl-SI"/>
        </w:rPr>
        <w:t xml:space="preserve">, R., </w:t>
      </w:r>
      <w:r w:rsidRPr="00D46019">
        <w:rPr>
          <w:i/>
          <w:iCs/>
          <w:sz w:val="24"/>
          <w:lang w:val="sl-SI"/>
        </w:rPr>
        <w:t xml:space="preserve">The </w:t>
      </w:r>
      <w:proofErr w:type="spellStart"/>
      <w:r w:rsidRPr="00D46019">
        <w:rPr>
          <w:i/>
          <w:iCs/>
          <w:sz w:val="24"/>
          <w:lang w:val="sl-SI"/>
        </w:rPr>
        <w:t>neonicotinoids</w:t>
      </w:r>
      <w:proofErr w:type="spellEnd"/>
      <w:r w:rsidRPr="00D46019">
        <w:rPr>
          <w:i/>
          <w:iCs/>
          <w:sz w:val="24"/>
          <w:lang w:val="sl-SI"/>
        </w:rPr>
        <w:t xml:space="preserve"> </w:t>
      </w:r>
      <w:proofErr w:type="spellStart"/>
      <w:r w:rsidRPr="00D46019">
        <w:rPr>
          <w:i/>
          <w:iCs/>
          <w:sz w:val="24"/>
          <w:lang w:val="sl-SI"/>
        </w:rPr>
        <w:t>thiacloprid</w:t>
      </w:r>
      <w:proofErr w:type="spellEnd"/>
      <w:r w:rsidRPr="00D46019">
        <w:rPr>
          <w:i/>
          <w:iCs/>
          <w:sz w:val="24"/>
          <w:lang w:val="sl-SI"/>
        </w:rPr>
        <w:t xml:space="preserve">, </w:t>
      </w:r>
      <w:proofErr w:type="spellStart"/>
      <w:r w:rsidRPr="00D46019">
        <w:rPr>
          <w:i/>
          <w:iCs/>
          <w:sz w:val="24"/>
          <w:lang w:val="sl-SI"/>
        </w:rPr>
        <w:t>imidacloprid</w:t>
      </w:r>
      <w:proofErr w:type="spellEnd"/>
      <w:r w:rsidRPr="00D46019">
        <w:rPr>
          <w:i/>
          <w:iCs/>
          <w:sz w:val="24"/>
          <w:lang w:val="sl-SI"/>
        </w:rPr>
        <w:t xml:space="preserve">, and </w:t>
      </w:r>
      <w:proofErr w:type="spellStart"/>
      <w:r w:rsidRPr="00D46019">
        <w:rPr>
          <w:i/>
          <w:iCs/>
          <w:sz w:val="24"/>
          <w:lang w:val="sl-SI"/>
        </w:rPr>
        <w:t>clothianidin</w:t>
      </w:r>
      <w:proofErr w:type="spellEnd"/>
      <w:r w:rsidRPr="00D46019">
        <w:rPr>
          <w:i/>
          <w:iCs/>
          <w:sz w:val="24"/>
          <w:lang w:val="sl-SI"/>
        </w:rPr>
        <w:t xml:space="preserve"> </w:t>
      </w:r>
      <w:proofErr w:type="spellStart"/>
      <w:r w:rsidRPr="00D46019">
        <w:rPr>
          <w:i/>
          <w:iCs/>
          <w:sz w:val="24"/>
          <w:lang w:val="sl-SI"/>
        </w:rPr>
        <w:t>affect</w:t>
      </w:r>
      <w:proofErr w:type="spellEnd"/>
      <w:r w:rsidRPr="00D46019">
        <w:rPr>
          <w:i/>
          <w:iCs/>
          <w:sz w:val="24"/>
          <w:lang w:val="sl-SI"/>
        </w:rPr>
        <w:t xml:space="preserve"> the </w:t>
      </w:r>
      <w:proofErr w:type="spellStart"/>
      <w:r w:rsidRPr="00D46019">
        <w:rPr>
          <w:i/>
          <w:iCs/>
          <w:sz w:val="24"/>
          <w:lang w:val="sl-SI"/>
        </w:rPr>
        <w:t>immunocompetence</w:t>
      </w:r>
      <w:proofErr w:type="spellEnd"/>
      <w:r w:rsidRPr="00D46019">
        <w:rPr>
          <w:i/>
          <w:iCs/>
          <w:sz w:val="24"/>
          <w:lang w:val="sl-SI"/>
        </w:rPr>
        <w:t xml:space="preserve"> </w:t>
      </w:r>
      <w:proofErr w:type="spellStart"/>
      <w:r w:rsidRPr="00D46019">
        <w:rPr>
          <w:i/>
          <w:iCs/>
          <w:sz w:val="24"/>
          <w:lang w:val="sl-SI"/>
        </w:rPr>
        <w:t>of</w:t>
      </w:r>
      <w:proofErr w:type="spellEnd"/>
      <w:r w:rsidRPr="00D46019">
        <w:rPr>
          <w:i/>
          <w:iCs/>
          <w:sz w:val="24"/>
          <w:lang w:val="sl-SI"/>
        </w:rPr>
        <w:t xml:space="preserve"> </w:t>
      </w:r>
      <w:proofErr w:type="spellStart"/>
      <w:r w:rsidRPr="00D46019">
        <w:rPr>
          <w:i/>
          <w:iCs/>
          <w:sz w:val="24"/>
          <w:lang w:val="sl-SI"/>
        </w:rPr>
        <w:t>honey</w:t>
      </w:r>
      <w:proofErr w:type="spellEnd"/>
      <w:r w:rsidRPr="00D46019">
        <w:rPr>
          <w:i/>
          <w:iCs/>
          <w:sz w:val="24"/>
          <w:lang w:val="sl-SI"/>
        </w:rPr>
        <w:t xml:space="preserve"> </w:t>
      </w:r>
      <w:proofErr w:type="spellStart"/>
      <w:r w:rsidRPr="00D46019">
        <w:rPr>
          <w:i/>
          <w:iCs/>
          <w:sz w:val="24"/>
          <w:lang w:val="sl-SI"/>
        </w:rPr>
        <w:t>bees</w:t>
      </w:r>
      <w:proofErr w:type="spellEnd"/>
      <w:r w:rsidRPr="00D46019">
        <w:rPr>
          <w:sz w:val="24"/>
          <w:lang w:val="sl-SI"/>
        </w:rPr>
        <w:t xml:space="preserve"> </w:t>
      </w:r>
      <w:r w:rsidRPr="00D46019">
        <w:rPr>
          <w:i/>
          <w:iCs/>
          <w:sz w:val="24"/>
          <w:lang w:val="sl-SI"/>
        </w:rPr>
        <w:t>(</w:t>
      </w:r>
      <w:proofErr w:type="spellStart"/>
      <w:r w:rsidRPr="00D46019">
        <w:rPr>
          <w:i/>
          <w:iCs/>
          <w:sz w:val="24"/>
          <w:lang w:val="sl-SI"/>
        </w:rPr>
        <w:t>Apis</w:t>
      </w:r>
      <w:proofErr w:type="spellEnd"/>
      <w:r w:rsidRPr="00D46019">
        <w:rPr>
          <w:i/>
          <w:iCs/>
          <w:sz w:val="24"/>
          <w:lang w:val="sl-SI"/>
        </w:rPr>
        <w:t xml:space="preserve"> </w:t>
      </w:r>
      <w:proofErr w:type="spellStart"/>
      <w:r w:rsidRPr="00D46019">
        <w:rPr>
          <w:i/>
          <w:iCs/>
          <w:sz w:val="24"/>
          <w:lang w:val="sl-SI"/>
        </w:rPr>
        <w:t>mellifera</w:t>
      </w:r>
      <w:proofErr w:type="spellEnd"/>
      <w:r w:rsidRPr="00D46019">
        <w:rPr>
          <w:i/>
          <w:iCs/>
          <w:sz w:val="24"/>
          <w:lang w:val="sl-SI"/>
        </w:rPr>
        <w:t xml:space="preserve"> L.)</w:t>
      </w:r>
      <w:r w:rsidRPr="00D46019">
        <w:rPr>
          <w:sz w:val="24"/>
          <w:lang w:val="sl-SI"/>
        </w:rPr>
        <w:t xml:space="preserve"> (</w:t>
      </w:r>
      <w:proofErr w:type="spellStart"/>
      <w:r w:rsidRPr="00D46019">
        <w:rPr>
          <w:sz w:val="24"/>
          <w:lang w:val="sl-SI"/>
        </w:rPr>
        <w:t>Neonikotinoidi</w:t>
      </w:r>
      <w:proofErr w:type="spellEnd"/>
      <w:r w:rsidRPr="00D46019">
        <w:rPr>
          <w:sz w:val="24"/>
          <w:lang w:val="sl-SI"/>
        </w:rPr>
        <w:t xml:space="preserve"> </w:t>
      </w:r>
      <w:proofErr w:type="spellStart"/>
      <w:r w:rsidRPr="00D46019">
        <w:rPr>
          <w:sz w:val="24"/>
          <w:lang w:val="sl-SI"/>
        </w:rPr>
        <w:t>tiakloprid</w:t>
      </w:r>
      <w:proofErr w:type="spellEnd"/>
      <w:r w:rsidRPr="00D46019">
        <w:rPr>
          <w:sz w:val="24"/>
          <w:lang w:val="sl-SI"/>
        </w:rPr>
        <w:t xml:space="preserve">, </w:t>
      </w:r>
      <w:proofErr w:type="spellStart"/>
      <w:r w:rsidRPr="00D46019">
        <w:rPr>
          <w:sz w:val="24"/>
          <w:lang w:val="sl-SI"/>
        </w:rPr>
        <w:t>imidakloprid</w:t>
      </w:r>
      <w:proofErr w:type="spellEnd"/>
      <w:r w:rsidRPr="00D46019">
        <w:rPr>
          <w:sz w:val="24"/>
          <w:lang w:val="sl-SI"/>
        </w:rPr>
        <w:t xml:space="preserve"> in </w:t>
      </w:r>
      <w:proofErr w:type="spellStart"/>
      <w:r w:rsidRPr="00D46019">
        <w:rPr>
          <w:sz w:val="24"/>
          <w:lang w:val="sl-SI"/>
        </w:rPr>
        <w:t>klotianidin</w:t>
      </w:r>
      <w:proofErr w:type="spellEnd"/>
      <w:r w:rsidRPr="00D46019">
        <w:rPr>
          <w:sz w:val="24"/>
          <w:lang w:val="sl-SI"/>
        </w:rPr>
        <w:t xml:space="preserve"> vplivajo na imunsko sposobnost medonosnih čebel) (</w:t>
      </w:r>
      <w:proofErr w:type="spellStart"/>
      <w:r w:rsidRPr="00D46019">
        <w:rPr>
          <w:i/>
          <w:iCs/>
          <w:sz w:val="24"/>
          <w:lang w:val="sl-SI"/>
        </w:rPr>
        <w:t>Apis</w:t>
      </w:r>
      <w:proofErr w:type="spellEnd"/>
      <w:r w:rsidRPr="00D46019">
        <w:rPr>
          <w:i/>
          <w:iCs/>
          <w:sz w:val="24"/>
          <w:lang w:val="sl-SI"/>
        </w:rPr>
        <w:t xml:space="preserve"> </w:t>
      </w:r>
      <w:proofErr w:type="spellStart"/>
      <w:r w:rsidRPr="00D46019">
        <w:rPr>
          <w:i/>
          <w:iCs/>
          <w:sz w:val="24"/>
          <w:lang w:val="sl-SI"/>
        </w:rPr>
        <w:t>mellifera</w:t>
      </w:r>
      <w:proofErr w:type="spellEnd"/>
      <w:r w:rsidRPr="00D46019">
        <w:rPr>
          <w:sz w:val="24"/>
          <w:lang w:val="sl-SI"/>
        </w:rPr>
        <w:t xml:space="preserve"> L.), </w:t>
      </w:r>
      <w:proofErr w:type="spellStart"/>
      <w:r w:rsidRPr="00D46019">
        <w:rPr>
          <w:sz w:val="24"/>
          <w:lang w:val="sl-SI"/>
        </w:rPr>
        <w:t>Journal</w:t>
      </w:r>
      <w:proofErr w:type="spellEnd"/>
      <w:r w:rsidRPr="00D46019">
        <w:rPr>
          <w:sz w:val="24"/>
          <w:lang w:val="sl-SI"/>
        </w:rPr>
        <w:t xml:space="preserve"> </w:t>
      </w:r>
      <w:proofErr w:type="spellStart"/>
      <w:r w:rsidRPr="00D46019">
        <w:rPr>
          <w:sz w:val="24"/>
          <w:lang w:val="sl-SI"/>
        </w:rPr>
        <w:t>of</w:t>
      </w:r>
      <w:proofErr w:type="spellEnd"/>
      <w:r w:rsidRPr="00D46019">
        <w:rPr>
          <w:sz w:val="24"/>
          <w:lang w:val="sl-SI"/>
        </w:rPr>
        <w:t xml:space="preserve"> </w:t>
      </w:r>
      <w:proofErr w:type="spellStart"/>
      <w:r w:rsidRPr="00D46019">
        <w:rPr>
          <w:sz w:val="24"/>
          <w:lang w:val="sl-SI"/>
        </w:rPr>
        <w:t>Insect</w:t>
      </w:r>
      <w:proofErr w:type="spellEnd"/>
      <w:r w:rsidRPr="00D46019">
        <w:rPr>
          <w:sz w:val="24"/>
          <w:lang w:val="sl-SI"/>
        </w:rPr>
        <w:t xml:space="preserve"> </w:t>
      </w:r>
      <w:proofErr w:type="spellStart"/>
      <w:r w:rsidRPr="00D46019">
        <w:rPr>
          <w:sz w:val="24"/>
          <w:lang w:val="sl-SI"/>
        </w:rPr>
        <w:t>Physiology</w:t>
      </w:r>
      <w:proofErr w:type="spellEnd"/>
      <w:r w:rsidRPr="00D46019">
        <w:rPr>
          <w:sz w:val="24"/>
          <w:lang w:val="sl-SI"/>
        </w:rPr>
        <w:t xml:space="preserve">, zvezek 86, marec 2016, str. 40–47, </w:t>
      </w:r>
      <w:hyperlink r:id="rId8" w:history="1">
        <w:r w:rsidRPr="00D46019">
          <w:rPr>
            <w:rStyle w:val="Hyperlink"/>
            <w:sz w:val="24"/>
            <w:lang w:val="sl-SI"/>
          </w:rPr>
          <w:t>https://www.sciencedirect.com/science/article/pii/S0022191016300014</w:t>
        </w:r>
      </w:hyperlink>
      <w:r w:rsidRPr="00D46019">
        <w:rPr>
          <w:sz w:val="24"/>
          <w:lang w:val="sl-SI"/>
        </w:rPr>
        <w:t>.</w:t>
      </w:r>
    </w:p>
  </w:footnote>
  <w:footnote w:id="22">
    <w:p w:rsidR="00993EBC" w:rsidRPr="00D46019" w:rsidRDefault="00993EBC" w:rsidP="00D46019">
      <w:pPr>
        <w:pStyle w:val="FootnoteText"/>
        <w:keepN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proofErr w:type="spellStart"/>
      <w:r w:rsidRPr="00D46019">
        <w:rPr>
          <w:sz w:val="24"/>
          <w:lang w:val="sl-SI"/>
        </w:rPr>
        <w:t>Tison</w:t>
      </w:r>
      <w:proofErr w:type="spellEnd"/>
      <w:r w:rsidRPr="00D46019">
        <w:rPr>
          <w:sz w:val="24"/>
          <w:lang w:val="sl-SI"/>
        </w:rPr>
        <w:t xml:space="preserve">, L., </w:t>
      </w:r>
      <w:proofErr w:type="spellStart"/>
      <w:r w:rsidRPr="00D46019">
        <w:rPr>
          <w:sz w:val="24"/>
          <w:lang w:val="sl-SI"/>
        </w:rPr>
        <w:t>Hahn</w:t>
      </w:r>
      <w:proofErr w:type="spellEnd"/>
      <w:r w:rsidRPr="00D46019">
        <w:rPr>
          <w:sz w:val="24"/>
          <w:lang w:val="sl-SI"/>
        </w:rPr>
        <w:t xml:space="preserve">, M.-L., </w:t>
      </w:r>
      <w:proofErr w:type="spellStart"/>
      <w:r w:rsidRPr="00D46019">
        <w:rPr>
          <w:sz w:val="24"/>
          <w:lang w:val="sl-SI"/>
        </w:rPr>
        <w:t>Holtz</w:t>
      </w:r>
      <w:proofErr w:type="spellEnd"/>
      <w:r w:rsidRPr="00D46019">
        <w:rPr>
          <w:sz w:val="24"/>
          <w:lang w:val="sl-SI"/>
        </w:rPr>
        <w:t xml:space="preserve">, S., </w:t>
      </w:r>
      <w:proofErr w:type="spellStart"/>
      <w:r w:rsidRPr="00D46019">
        <w:rPr>
          <w:sz w:val="24"/>
          <w:lang w:val="sl-SI"/>
        </w:rPr>
        <w:t>Rößner</w:t>
      </w:r>
      <w:proofErr w:type="spellEnd"/>
      <w:r w:rsidRPr="00D46019">
        <w:rPr>
          <w:sz w:val="24"/>
          <w:lang w:val="sl-SI"/>
        </w:rPr>
        <w:t xml:space="preserve"> A., </w:t>
      </w:r>
      <w:proofErr w:type="spellStart"/>
      <w:r w:rsidRPr="00D46019">
        <w:rPr>
          <w:sz w:val="24"/>
          <w:lang w:val="sl-SI"/>
        </w:rPr>
        <w:t>Greggers</w:t>
      </w:r>
      <w:proofErr w:type="spellEnd"/>
      <w:r w:rsidRPr="00D46019">
        <w:rPr>
          <w:sz w:val="24"/>
          <w:lang w:val="sl-SI"/>
        </w:rPr>
        <w:t xml:space="preserve">, U., </w:t>
      </w:r>
      <w:proofErr w:type="spellStart"/>
      <w:r w:rsidRPr="00D46019">
        <w:rPr>
          <w:sz w:val="24"/>
          <w:lang w:val="sl-SI"/>
        </w:rPr>
        <w:t>Bischoff</w:t>
      </w:r>
      <w:proofErr w:type="spellEnd"/>
      <w:r w:rsidRPr="00D46019">
        <w:rPr>
          <w:sz w:val="24"/>
          <w:lang w:val="sl-SI"/>
        </w:rPr>
        <w:t xml:space="preserve">, G., in </w:t>
      </w:r>
      <w:proofErr w:type="spellStart"/>
      <w:r w:rsidRPr="00D46019">
        <w:rPr>
          <w:sz w:val="24"/>
          <w:lang w:val="sl-SI"/>
        </w:rPr>
        <w:t>Menzel</w:t>
      </w:r>
      <w:proofErr w:type="spellEnd"/>
      <w:r w:rsidRPr="00D46019">
        <w:rPr>
          <w:sz w:val="24"/>
          <w:lang w:val="sl-SI"/>
        </w:rPr>
        <w:t xml:space="preserve">, R., </w:t>
      </w:r>
      <w:proofErr w:type="spellStart"/>
      <w:r w:rsidRPr="00D46019">
        <w:rPr>
          <w:i/>
          <w:iCs/>
          <w:sz w:val="24"/>
          <w:lang w:val="sl-SI"/>
        </w:rPr>
        <w:t>Honey</w:t>
      </w:r>
      <w:proofErr w:type="spellEnd"/>
      <w:r w:rsidRPr="00D46019">
        <w:rPr>
          <w:i/>
          <w:iCs/>
          <w:sz w:val="24"/>
          <w:lang w:val="sl-SI"/>
        </w:rPr>
        <w:t xml:space="preserve"> </w:t>
      </w:r>
      <w:proofErr w:type="spellStart"/>
      <w:r w:rsidRPr="00D46019">
        <w:rPr>
          <w:i/>
          <w:iCs/>
          <w:sz w:val="24"/>
          <w:lang w:val="sl-SI"/>
        </w:rPr>
        <w:t>Bees</w:t>
      </w:r>
      <w:proofErr w:type="spellEnd"/>
      <w:r w:rsidRPr="00D46019">
        <w:rPr>
          <w:i/>
          <w:iCs/>
          <w:sz w:val="24"/>
          <w:lang w:val="sl-SI"/>
        </w:rPr>
        <w:t xml:space="preserve">’ </w:t>
      </w:r>
      <w:proofErr w:type="spellStart"/>
      <w:r w:rsidRPr="00D46019">
        <w:rPr>
          <w:i/>
          <w:iCs/>
          <w:sz w:val="24"/>
          <w:lang w:val="sl-SI"/>
        </w:rPr>
        <w:t>Behavior</w:t>
      </w:r>
      <w:proofErr w:type="spellEnd"/>
      <w:r w:rsidRPr="00D46019">
        <w:rPr>
          <w:i/>
          <w:iCs/>
          <w:sz w:val="24"/>
          <w:lang w:val="sl-SI"/>
        </w:rPr>
        <w:t xml:space="preserve"> Is </w:t>
      </w:r>
      <w:proofErr w:type="spellStart"/>
      <w:r w:rsidRPr="00D46019">
        <w:rPr>
          <w:i/>
          <w:iCs/>
          <w:sz w:val="24"/>
          <w:lang w:val="sl-SI"/>
        </w:rPr>
        <w:t>Impaired</w:t>
      </w:r>
      <w:proofErr w:type="spellEnd"/>
      <w:r w:rsidRPr="00D46019">
        <w:rPr>
          <w:i/>
          <w:iCs/>
          <w:sz w:val="24"/>
          <w:lang w:val="sl-SI"/>
        </w:rPr>
        <w:t xml:space="preserve"> </w:t>
      </w:r>
      <w:proofErr w:type="spellStart"/>
      <w:r w:rsidRPr="00D46019">
        <w:rPr>
          <w:i/>
          <w:iCs/>
          <w:sz w:val="24"/>
          <w:lang w:val="sl-SI"/>
        </w:rPr>
        <w:t>by</w:t>
      </w:r>
      <w:proofErr w:type="spellEnd"/>
      <w:r w:rsidRPr="00D46019">
        <w:rPr>
          <w:i/>
          <w:iCs/>
          <w:sz w:val="24"/>
          <w:lang w:val="sl-SI"/>
        </w:rPr>
        <w:t xml:space="preserve"> </w:t>
      </w:r>
      <w:proofErr w:type="spellStart"/>
      <w:r w:rsidRPr="00D46019">
        <w:rPr>
          <w:i/>
          <w:iCs/>
          <w:sz w:val="24"/>
          <w:lang w:val="sl-SI"/>
        </w:rPr>
        <w:t>Chronic</w:t>
      </w:r>
      <w:proofErr w:type="spellEnd"/>
      <w:r w:rsidRPr="00D46019">
        <w:rPr>
          <w:i/>
          <w:iCs/>
          <w:sz w:val="24"/>
          <w:lang w:val="sl-SI"/>
        </w:rPr>
        <w:t xml:space="preserve"> </w:t>
      </w:r>
      <w:proofErr w:type="spellStart"/>
      <w:r w:rsidRPr="00D46019">
        <w:rPr>
          <w:i/>
          <w:iCs/>
          <w:sz w:val="24"/>
          <w:lang w:val="sl-SI"/>
        </w:rPr>
        <w:t>Exposure</w:t>
      </w:r>
      <w:proofErr w:type="spellEnd"/>
      <w:r w:rsidRPr="00D46019">
        <w:rPr>
          <w:i/>
          <w:iCs/>
          <w:sz w:val="24"/>
          <w:lang w:val="sl-SI"/>
        </w:rPr>
        <w:t xml:space="preserve"> to the </w:t>
      </w:r>
      <w:proofErr w:type="spellStart"/>
      <w:r w:rsidRPr="00D46019">
        <w:rPr>
          <w:i/>
          <w:iCs/>
          <w:sz w:val="24"/>
          <w:lang w:val="sl-SI"/>
        </w:rPr>
        <w:t>Neonicotinoid</w:t>
      </w:r>
      <w:proofErr w:type="spellEnd"/>
      <w:r w:rsidRPr="00D46019">
        <w:rPr>
          <w:i/>
          <w:iCs/>
          <w:sz w:val="24"/>
          <w:lang w:val="sl-SI"/>
        </w:rPr>
        <w:t xml:space="preserve"> </w:t>
      </w:r>
      <w:proofErr w:type="spellStart"/>
      <w:r w:rsidRPr="00D46019">
        <w:rPr>
          <w:i/>
          <w:iCs/>
          <w:sz w:val="24"/>
          <w:lang w:val="sl-SI"/>
        </w:rPr>
        <w:t>Thiacloprid</w:t>
      </w:r>
      <w:proofErr w:type="spellEnd"/>
      <w:r w:rsidRPr="00D46019">
        <w:rPr>
          <w:i/>
          <w:iCs/>
          <w:sz w:val="24"/>
          <w:lang w:val="sl-SI"/>
        </w:rPr>
        <w:t xml:space="preserve"> in the </w:t>
      </w:r>
      <w:proofErr w:type="spellStart"/>
      <w:r w:rsidRPr="00D46019">
        <w:rPr>
          <w:i/>
          <w:iCs/>
          <w:sz w:val="24"/>
          <w:lang w:val="sl-SI"/>
        </w:rPr>
        <w:t>Field</w:t>
      </w:r>
      <w:proofErr w:type="spellEnd"/>
      <w:r w:rsidRPr="00D46019">
        <w:rPr>
          <w:sz w:val="24"/>
          <w:lang w:val="sl-SI"/>
        </w:rPr>
        <w:t xml:space="preserve"> (Vedenje medonosnih čebel je zaradi kronične izpostavljenosti </w:t>
      </w:r>
      <w:proofErr w:type="spellStart"/>
      <w:r w:rsidRPr="00D46019">
        <w:rPr>
          <w:sz w:val="24"/>
          <w:lang w:val="sl-SI"/>
        </w:rPr>
        <w:t>neonikotinoidnemu</w:t>
      </w:r>
      <w:proofErr w:type="spellEnd"/>
      <w:r w:rsidRPr="00D46019">
        <w:rPr>
          <w:sz w:val="24"/>
          <w:lang w:val="sl-SI"/>
        </w:rPr>
        <w:t xml:space="preserve"> </w:t>
      </w:r>
      <w:proofErr w:type="spellStart"/>
      <w:r w:rsidRPr="00D46019">
        <w:rPr>
          <w:sz w:val="24"/>
          <w:lang w:val="sl-SI"/>
        </w:rPr>
        <w:t>tiaklopridu</w:t>
      </w:r>
      <w:proofErr w:type="spellEnd"/>
      <w:r w:rsidRPr="00D46019">
        <w:rPr>
          <w:sz w:val="24"/>
          <w:lang w:val="sl-SI"/>
        </w:rPr>
        <w:t xml:space="preserve"> na poljih nenavadno), </w:t>
      </w:r>
      <w:proofErr w:type="spellStart"/>
      <w:r w:rsidRPr="00D46019">
        <w:rPr>
          <w:sz w:val="24"/>
          <w:lang w:val="sl-SI"/>
        </w:rPr>
        <w:t>Environmental</w:t>
      </w:r>
      <w:proofErr w:type="spellEnd"/>
      <w:r w:rsidRPr="00D46019">
        <w:rPr>
          <w:sz w:val="24"/>
          <w:lang w:val="sl-SI"/>
        </w:rPr>
        <w:t xml:space="preserve"> Science &amp; </w:t>
      </w:r>
      <w:proofErr w:type="spellStart"/>
      <w:r w:rsidRPr="00D46019">
        <w:rPr>
          <w:sz w:val="24"/>
          <w:lang w:val="sl-SI"/>
        </w:rPr>
        <w:t>Technology</w:t>
      </w:r>
      <w:proofErr w:type="spellEnd"/>
      <w:r w:rsidRPr="00D46019">
        <w:rPr>
          <w:sz w:val="24"/>
          <w:lang w:val="sl-SI"/>
        </w:rPr>
        <w:t xml:space="preserve"> 2016, 50, 13, 7218–7227, </w:t>
      </w:r>
      <w:hyperlink r:id="rId9" w:history="1">
        <w:r w:rsidRPr="00D46019">
          <w:rPr>
            <w:rStyle w:val="Hyperlink"/>
            <w:sz w:val="24"/>
            <w:lang w:val="sl-SI"/>
          </w:rPr>
          <w:t>https://pubs.acs.org/doi/full/10.1021/acs.est.6b02658</w:t>
        </w:r>
      </w:hyperlink>
      <w:r w:rsidRPr="00D46019">
        <w:rPr>
          <w:sz w:val="24"/>
          <w:lang w:val="sl-SI"/>
        </w:rPr>
        <w:t xml:space="preserve">. </w:t>
      </w:r>
    </w:p>
  </w:footnote>
  <w:footnote w:id="23">
    <w:p w:rsidR="00993EBC" w:rsidRPr="00D46019" w:rsidRDefault="00993EBC" w:rsidP="00D46019">
      <w:pPr>
        <w:pStyle w:val="FootnoteText"/>
        <w:ind w:left="567" w:hanging="567"/>
        <w:rPr>
          <w:iCs/>
          <w:sz w:val="24"/>
          <w:lang w:val="sl-SI"/>
        </w:rPr>
      </w:pPr>
      <w:r w:rsidRPr="00D46019">
        <w:rPr>
          <w:iCs/>
          <w:sz w:val="24"/>
          <w:vertAlign w:val="superscript"/>
          <w:lang w:val="sl-SI"/>
        </w:rPr>
        <w:footnoteRef/>
      </w:r>
      <w:r w:rsidR="00D46019" w:rsidRPr="00D46019">
        <w:rPr>
          <w:sz w:val="24"/>
          <w:lang w:val="sl-SI"/>
        </w:rPr>
        <w:t xml:space="preserve"> </w:t>
      </w:r>
      <w:r w:rsidR="00D46019" w:rsidRPr="00D46019">
        <w:rPr>
          <w:sz w:val="24"/>
          <w:lang w:val="sl-SI"/>
        </w:rPr>
        <w:tab/>
      </w:r>
      <w:r w:rsidRPr="00D46019">
        <w:rPr>
          <w:sz w:val="24"/>
          <w:lang w:val="sl-SI"/>
        </w:rPr>
        <w:t xml:space="preserve">Pisa, L., </w:t>
      </w:r>
      <w:proofErr w:type="spellStart"/>
      <w:r w:rsidRPr="00D46019">
        <w:rPr>
          <w:sz w:val="24"/>
          <w:lang w:val="sl-SI"/>
        </w:rPr>
        <w:t>Goulson</w:t>
      </w:r>
      <w:proofErr w:type="spellEnd"/>
      <w:r w:rsidRPr="00D46019">
        <w:rPr>
          <w:sz w:val="24"/>
          <w:lang w:val="sl-SI"/>
        </w:rPr>
        <w:t xml:space="preserve">, D., </w:t>
      </w:r>
      <w:proofErr w:type="spellStart"/>
      <w:r w:rsidRPr="00D46019">
        <w:rPr>
          <w:sz w:val="24"/>
          <w:lang w:val="sl-SI"/>
        </w:rPr>
        <w:t>Yang</w:t>
      </w:r>
      <w:proofErr w:type="spellEnd"/>
      <w:r w:rsidRPr="00D46019">
        <w:rPr>
          <w:sz w:val="24"/>
          <w:lang w:val="sl-SI"/>
        </w:rPr>
        <w:t>, E. C., idr., </w:t>
      </w:r>
      <w:r w:rsidRPr="00D46019">
        <w:rPr>
          <w:i/>
          <w:iCs/>
          <w:sz w:val="24"/>
          <w:lang w:val="sl-SI"/>
        </w:rPr>
        <w:t xml:space="preserve">An </w:t>
      </w:r>
      <w:proofErr w:type="spellStart"/>
      <w:r w:rsidRPr="00D46019">
        <w:rPr>
          <w:i/>
          <w:iCs/>
          <w:sz w:val="24"/>
          <w:lang w:val="sl-SI"/>
        </w:rPr>
        <w:t>update</w:t>
      </w:r>
      <w:proofErr w:type="spellEnd"/>
      <w:r w:rsidRPr="00D46019">
        <w:rPr>
          <w:i/>
          <w:iCs/>
          <w:sz w:val="24"/>
          <w:lang w:val="sl-SI"/>
        </w:rPr>
        <w:t xml:space="preserve"> </w:t>
      </w:r>
      <w:proofErr w:type="spellStart"/>
      <w:r w:rsidRPr="00D46019">
        <w:rPr>
          <w:i/>
          <w:iCs/>
          <w:sz w:val="24"/>
          <w:lang w:val="sl-SI"/>
        </w:rPr>
        <w:t>of</w:t>
      </w:r>
      <w:proofErr w:type="spellEnd"/>
      <w:r w:rsidRPr="00D46019">
        <w:rPr>
          <w:i/>
          <w:iCs/>
          <w:sz w:val="24"/>
          <w:lang w:val="sl-SI"/>
        </w:rPr>
        <w:t xml:space="preserve"> the </w:t>
      </w:r>
      <w:proofErr w:type="spellStart"/>
      <w:r w:rsidRPr="00D46019">
        <w:rPr>
          <w:i/>
          <w:iCs/>
          <w:sz w:val="24"/>
          <w:lang w:val="sl-SI"/>
        </w:rPr>
        <w:t>Worldwide</w:t>
      </w:r>
      <w:proofErr w:type="spellEnd"/>
      <w:r w:rsidRPr="00D46019">
        <w:rPr>
          <w:i/>
          <w:iCs/>
          <w:sz w:val="24"/>
          <w:lang w:val="sl-SI"/>
        </w:rPr>
        <w:t xml:space="preserve"> </w:t>
      </w:r>
      <w:proofErr w:type="spellStart"/>
      <w:r w:rsidRPr="00D46019">
        <w:rPr>
          <w:i/>
          <w:iCs/>
          <w:sz w:val="24"/>
          <w:lang w:val="sl-SI"/>
        </w:rPr>
        <w:t>Integrated</w:t>
      </w:r>
      <w:proofErr w:type="spellEnd"/>
      <w:r w:rsidRPr="00D46019">
        <w:rPr>
          <w:i/>
          <w:iCs/>
          <w:sz w:val="24"/>
          <w:lang w:val="sl-SI"/>
        </w:rPr>
        <w:t xml:space="preserve"> </w:t>
      </w:r>
      <w:proofErr w:type="spellStart"/>
      <w:r w:rsidRPr="00D46019">
        <w:rPr>
          <w:i/>
          <w:iCs/>
          <w:sz w:val="24"/>
          <w:lang w:val="sl-SI"/>
        </w:rPr>
        <w:t>Assessment</w:t>
      </w:r>
      <w:proofErr w:type="spellEnd"/>
      <w:r w:rsidRPr="00D46019">
        <w:rPr>
          <w:i/>
          <w:iCs/>
          <w:sz w:val="24"/>
          <w:lang w:val="sl-SI"/>
        </w:rPr>
        <w:t xml:space="preserve"> (WIA) on </w:t>
      </w:r>
      <w:proofErr w:type="spellStart"/>
      <w:r w:rsidRPr="00D46019">
        <w:rPr>
          <w:i/>
          <w:iCs/>
          <w:sz w:val="24"/>
          <w:lang w:val="sl-SI"/>
        </w:rPr>
        <w:t>systemic</w:t>
      </w:r>
      <w:proofErr w:type="spellEnd"/>
      <w:r w:rsidRPr="00D46019">
        <w:rPr>
          <w:i/>
          <w:iCs/>
          <w:sz w:val="24"/>
          <w:lang w:val="sl-SI"/>
        </w:rPr>
        <w:t xml:space="preserve"> </w:t>
      </w:r>
      <w:proofErr w:type="spellStart"/>
      <w:r w:rsidRPr="00D46019">
        <w:rPr>
          <w:i/>
          <w:iCs/>
          <w:sz w:val="24"/>
          <w:lang w:val="sl-SI"/>
        </w:rPr>
        <w:t>insecticides</w:t>
      </w:r>
      <w:proofErr w:type="spellEnd"/>
      <w:r w:rsidRPr="00D46019">
        <w:rPr>
          <w:i/>
          <w:iCs/>
          <w:sz w:val="24"/>
          <w:lang w:val="sl-SI"/>
        </w:rPr>
        <w:t>.</w:t>
      </w:r>
      <w:r w:rsidRPr="00D46019">
        <w:rPr>
          <w:sz w:val="24"/>
          <w:lang w:val="sl-SI"/>
        </w:rPr>
        <w:t xml:space="preserve"> Part 2: </w:t>
      </w:r>
      <w:proofErr w:type="spellStart"/>
      <w:r w:rsidRPr="00D46019">
        <w:rPr>
          <w:i/>
          <w:iCs/>
          <w:sz w:val="24"/>
          <w:lang w:val="sl-SI"/>
        </w:rPr>
        <w:t>impacts</w:t>
      </w:r>
      <w:proofErr w:type="spellEnd"/>
      <w:r w:rsidRPr="00D46019">
        <w:rPr>
          <w:i/>
          <w:iCs/>
          <w:sz w:val="24"/>
          <w:lang w:val="sl-SI"/>
        </w:rPr>
        <w:t xml:space="preserve"> on </w:t>
      </w:r>
      <w:proofErr w:type="spellStart"/>
      <w:r w:rsidRPr="00D46019">
        <w:rPr>
          <w:i/>
          <w:iCs/>
          <w:sz w:val="24"/>
          <w:lang w:val="sl-SI"/>
        </w:rPr>
        <w:t>organisms</w:t>
      </w:r>
      <w:proofErr w:type="spellEnd"/>
      <w:r w:rsidRPr="00D46019">
        <w:rPr>
          <w:i/>
          <w:iCs/>
          <w:sz w:val="24"/>
          <w:lang w:val="sl-SI"/>
        </w:rPr>
        <w:t xml:space="preserve"> and </w:t>
      </w:r>
      <w:proofErr w:type="spellStart"/>
      <w:r w:rsidRPr="00D46019">
        <w:rPr>
          <w:i/>
          <w:iCs/>
          <w:sz w:val="24"/>
          <w:lang w:val="sl-SI"/>
        </w:rPr>
        <w:t>ecosystems</w:t>
      </w:r>
      <w:proofErr w:type="spellEnd"/>
      <w:r w:rsidRPr="00D46019">
        <w:rPr>
          <w:sz w:val="24"/>
          <w:lang w:val="sl-SI"/>
        </w:rPr>
        <w:t xml:space="preserve"> (Posodobitev svetovne integrirane ocene za sistemske insekticide, Del 2: Vplivi na organizme in ekosisteme), </w:t>
      </w:r>
      <w:proofErr w:type="spellStart"/>
      <w:r w:rsidRPr="00D46019">
        <w:rPr>
          <w:sz w:val="24"/>
          <w:lang w:val="sl-SI"/>
        </w:rPr>
        <w:t>Environmental</w:t>
      </w:r>
      <w:proofErr w:type="spellEnd"/>
      <w:r w:rsidRPr="00D46019">
        <w:rPr>
          <w:sz w:val="24"/>
          <w:lang w:val="sl-SI"/>
        </w:rPr>
        <w:t xml:space="preserve"> Science and </w:t>
      </w:r>
      <w:proofErr w:type="spellStart"/>
      <w:r w:rsidRPr="00D46019">
        <w:rPr>
          <w:sz w:val="24"/>
          <w:lang w:val="sl-SI"/>
        </w:rPr>
        <w:t>Pollution</w:t>
      </w:r>
      <w:proofErr w:type="spellEnd"/>
      <w:r w:rsidRPr="00D46019">
        <w:rPr>
          <w:sz w:val="24"/>
          <w:lang w:val="sl-SI"/>
        </w:rPr>
        <w:t xml:space="preserve"> </w:t>
      </w:r>
      <w:proofErr w:type="spellStart"/>
      <w:r w:rsidRPr="00D46019">
        <w:rPr>
          <w:sz w:val="24"/>
          <w:lang w:val="sl-SI"/>
        </w:rPr>
        <w:t>Research</w:t>
      </w:r>
      <w:proofErr w:type="spellEnd"/>
      <w:r w:rsidRPr="00D46019">
        <w:rPr>
          <w:sz w:val="24"/>
          <w:lang w:val="sl-SI"/>
        </w:rPr>
        <w:t xml:space="preserve"> št. 28, 11749–11797 (2021), </w:t>
      </w:r>
      <w:hyperlink r:id="rId10" w:history="1">
        <w:r w:rsidRPr="00D46019">
          <w:rPr>
            <w:rStyle w:val="Hyperlink"/>
            <w:sz w:val="24"/>
            <w:lang w:val="sl-SI"/>
          </w:rPr>
          <w:t>https://doi.org/10.1007/s11356-017-0341-3</w:t>
        </w:r>
      </w:hyperlink>
      <w:r w:rsidRPr="00D46019">
        <w:rPr>
          <w:sz w:val="24"/>
          <w:lang w:val="sl-SI"/>
        </w:rPr>
        <w:t>.</w:t>
      </w:r>
    </w:p>
  </w:footnote>
  <w:footnote w:id="24">
    <w:p w:rsidR="00993EBC" w:rsidRPr="00D46019" w:rsidRDefault="00993EBC" w:rsidP="00D46019">
      <w:pPr>
        <w:pStyle w:val="FootnoteText"/>
        <w:ind w:left="567" w:hanging="567"/>
        <w:rPr>
          <w:sz w:val="24"/>
          <w:lang w:val="sl-SI"/>
        </w:rPr>
      </w:pPr>
      <w:r w:rsidRPr="00D46019">
        <w:rPr>
          <w:rStyle w:val="FootnoteReference"/>
          <w:sz w:val="24"/>
          <w:lang w:val="sl-SI"/>
        </w:rPr>
        <w:footnoteRef/>
      </w:r>
      <w:r w:rsidR="00D46019" w:rsidRPr="00D46019">
        <w:rPr>
          <w:sz w:val="24"/>
          <w:lang w:val="sl-SI"/>
        </w:rPr>
        <w:t xml:space="preserve"> </w:t>
      </w:r>
      <w:r w:rsidR="00D46019" w:rsidRPr="00D46019">
        <w:rPr>
          <w:sz w:val="24"/>
          <w:lang w:val="sl-SI"/>
        </w:rPr>
        <w:tab/>
      </w:r>
      <w:hyperlink r:id="rId11" w:history="1">
        <w:r w:rsidRPr="00D46019">
          <w:rPr>
            <w:rStyle w:val="Hyperlink"/>
            <w:sz w:val="24"/>
            <w:lang w:val="sl-SI"/>
          </w:rPr>
          <w:t>https://ec.europa.eu/food/plant/pesticides/eu-pesticides-database/start/screen/active-substances/details/841</w:t>
        </w:r>
      </w:hyperlink>
      <w:r w:rsidRPr="00D46019">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60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60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60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SL"/>
    <w:docVar w:name="dvnumam" w:val="0"/>
    <w:docVar w:name="dvpe" w:val="757.277"/>
    <w:docVar w:name="dvtitre" w:val="Resolucija Evropskega parlamenta z dne … 2024 o predlogu uredbe Sveta o spremembi Priloge II k Uredbi Evropskega parlamenta in Sveta (ES) št. 396/2005 glede mejnih vrednosti ostankov za tiakloprid v ali na nekaterih proizvodih(COM(2023)0739 – 2023/3005(RPS))"/>
  </w:docVars>
  <w:rsids>
    <w:rsidRoot w:val="00965D8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262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5D83"/>
    <w:rsid w:val="00981893"/>
    <w:rsid w:val="00993EBC"/>
    <w:rsid w:val="00A1687D"/>
    <w:rsid w:val="00A43E52"/>
    <w:rsid w:val="00A4678D"/>
    <w:rsid w:val="00A778C7"/>
    <w:rsid w:val="00AB441E"/>
    <w:rsid w:val="00AB6293"/>
    <w:rsid w:val="00AE0928"/>
    <w:rsid w:val="00AF3B82"/>
    <w:rsid w:val="00B12E95"/>
    <w:rsid w:val="00B22876"/>
    <w:rsid w:val="00B558F0"/>
    <w:rsid w:val="00BD1970"/>
    <w:rsid w:val="00BD48FE"/>
    <w:rsid w:val="00BD7BD8"/>
    <w:rsid w:val="00BE6ADC"/>
    <w:rsid w:val="00C05BFE"/>
    <w:rsid w:val="00C23CD4"/>
    <w:rsid w:val="00C61C0C"/>
    <w:rsid w:val="00C941CB"/>
    <w:rsid w:val="00CC2357"/>
    <w:rsid w:val="00CF071A"/>
    <w:rsid w:val="00D058B8"/>
    <w:rsid w:val="00D4601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C1AE8"/>
  <w15:chartTrackingRefBased/>
  <w15:docId w15:val="{68098A78-556E-49EA-AB6D-EBFCB67B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3EBC"/>
    <w:pPr>
      <w:spacing w:before="480" w:after="240"/>
    </w:pPr>
  </w:style>
  <w:style w:type="paragraph" w:customStyle="1" w:styleId="NormalHanging12a">
    <w:name w:val="NormalHanging12a"/>
    <w:basedOn w:val="Normal"/>
    <w:rsid w:val="00993EBC"/>
    <w:pPr>
      <w:spacing w:after="240"/>
      <w:ind w:left="567" w:hanging="567"/>
    </w:pPr>
  </w:style>
  <w:style w:type="character" w:styleId="Hyperlink">
    <w:name w:val="Hyperlink"/>
    <w:basedOn w:val="DefaultParagraphFont"/>
    <w:uiPriority w:val="99"/>
    <w:unhideWhenUsed/>
    <w:rsid w:val="00993EBC"/>
    <w:rPr>
      <w:color w:val="0563C1" w:themeColor="hyperlink"/>
      <w:u w:val="single"/>
    </w:rPr>
  </w:style>
  <w:style w:type="paragraph" w:styleId="BalloonText">
    <w:name w:val="Balloon Text"/>
    <w:basedOn w:val="Normal"/>
    <w:link w:val="BalloonTextChar"/>
    <w:rsid w:val="00772626"/>
    <w:rPr>
      <w:rFonts w:ascii="Segoe UI" w:hAnsi="Segoe UI" w:cs="Segoe UI"/>
      <w:sz w:val="18"/>
      <w:szCs w:val="18"/>
    </w:rPr>
  </w:style>
  <w:style w:type="character" w:customStyle="1" w:styleId="BalloonTextChar">
    <w:name w:val="Balloon Text Char"/>
    <w:basedOn w:val="DefaultParagraphFont"/>
    <w:link w:val="BalloonText"/>
    <w:rsid w:val="00772626"/>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en"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en"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766A3-630D-46F2-805B-0A927B52D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2157</Words>
  <Characters>12020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2024-01-17T11:43:00Z</dcterms:created>
  <dcterms:modified xsi:type="dcterms:W3CDTF">2024-01-17T11:43:00Z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B9-0057/2024</vt:lpwstr>
  </property>
  <property fmtid="{D5CDD505-2E9C-101B-9397-08002B2CF9AE}" pid="4" name="&lt;Type&gt;">
    <vt:lpwstr>RR</vt:lpwstr>
  </property>
</Properties>
</file>