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5692" w:rsidTr="0010095E">
        <w:trPr>
          <w:trHeight w:hRule="exact" w:val="1418"/>
        </w:trPr>
        <w:tc>
          <w:tcPr>
            <w:tcW w:w="6804" w:type="dxa"/>
            <w:shd w:val="clear" w:color="auto" w:fill="auto"/>
            <w:vAlign w:val="center"/>
          </w:tcPr>
          <w:p w:rsidR="00751A4A" w:rsidRPr="00D65692" w:rsidRDefault="00670D0E" w:rsidP="0010095E">
            <w:pPr>
              <w:pStyle w:val="EPName"/>
            </w:pPr>
            <w:bookmarkStart w:id="0" w:name="_GoBack"/>
            <w:bookmarkEnd w:id="0"/>
            <w:r w:rsidRPr="00D65692">
              <w:t>Europaparlamentet</w:t>
            </w:r>
          </w:p>
          <w:p w:rsidR="00751A4A" w:rsidRPr="00D65692" w:rsidRDefault="00817416" w:rsidP="00756632">
            <w:pPr>
              <w:pStyle w:val="EPTerm"/>
              <w:rPr>
                <w:rStyle w:val="HideTWBExt"/>
                <w:noProof w:val="0"/>
                <w:vanish w:val="0"/>
                <w:color w:val="auto"/>
              </w:rPr>
            </w:pPr>
            <w:r w:rsidRPr="00D65692">
              <w:t>2019-2024</w:t>
            </w:r>
          </w:p>
        </w:tc>
        <w:tc>
          <w:tcPr>
            <w:tcW w:w="2268" w:type="dxa"/>
            <w:shd w:val="clear" w:color="auto" w:fill="auto"/>
          </w:tcPr>
          <w:p w:rsidR="00751A4A" w:rsidRPr="00D65692" w:rsidRDefault="00187494" w:rsidP="0010095E">
            <w:pPr>
              <w:pStyle w:val="EPLogo"/>
            </w:pPr>
            <w:r w:rsidRPr="00D656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5692" w:rsidRDefault="00D058B8" w:rsidP="004C5D52">
      <w:pPr>
        <w:pStyle w:val="LineTop"/>
      </w:pPr>
    </w:p>
    <w:p w:rsidR="00680577" w:rsidRPr="00D65692" w:rsidRDefault="00670D0E" w:rsidP="00680577">
      <w:pPr>
        <w:pStyle w:val="EPBodyTA1"/>
      </w:pPr>
      <w:r w:rsidRPr="00D65692">
        <w:t>ANTAGNA TEXTER</w:t>
      </w:r>
    </w:p>
    <w:p w:rsidR="00D058B8" w:rsidRPr="00D65692" w:rsidRDefault="00D058B8" w:rsidP="00D058B8">
      <w:pPr>
        <w:pStyle w:val="LineBottom"/>
      </w:pPr>
    </w:p>
    <w:p w:rsidR="00670D0E" w:rsidRPr="00D65692" w:rsidRDefault="00670D0E" w:rsidP="00670D0E">
      <w:pPr>
        <w:pStyle w:val="ATHeading1"/>
      </w:pPr>
      <w:bookmarkStart w:id="1" w:name="TANumber"/>
      <w:r w:rsidRPr="00D65692">
        <w:t>P9_TA(2024</w:t>
      </w:r>
      <w:r w:rsidRPr="00DC2687">
        <w:t>)00</w:t>
      </w:r>
      <w:r w:rsidR="00DC2687" w:rsidRPr="00DC2687">
        <w:t>16</w:t>
      </w:r>
      <w:bookmarkEnd w:id="1"/>
    </w:p>
    <w:p w:rsidR="00670D0E" w:rsidRPr="00D65692" w:rsidRDefault="00670D0E" w:rsidP="00670D0E">
      <w:pPr>
        <w:pStyle w:val="ATHeading2"/>
      </w:pPr>
      <w:bookmarkStart w:id="2" w:name="title"/>
      <w:r w:rsidRPr="00D65692">
        <w:t xml:space="preserve">Invändning </w:t>
      </w:r>
      <w:r w:rsidR="00B25552">
        <w:t>mot en genomförandeakt</w:t>
      </w:r>
      <w:r w:rsidRPr="00D65692">
        <w:t>: Gränsvärden för tiakloprid i eller på vissa produkter</w:t>
      </w:r>
      <w:bookmarkEnd w:id="2"/>
    </w:p>
    <w:p w:rsidR="00670D0E" w:rsidRPr="00D65692" w:rsidRDefault="00670D0E" w:rsidP="00670D0E">
      <w:pPr>
        <w:rPr>
          <w:i/>
          <w:vanish/>
        </w:rPr>
      </w:pPr>
      <w:r w:rsidRPr="00D65692">
        <w:rPr>
          <w:i/>
        </w:rPr>
        <w:fldChar w:fldCharType="begin"/>
      </w:r>
      <w:r w:rsidRPr="00D65692">
        <w:rPr>
          <w:i/>
        </w:rPr>
        <w:instrText xml:space="preserve"> TC"(</w:instrText>
      </w:r>
      <w:bookmarkStart w:id="3" w:name="DocNumber"/>
      <w:r w:rsidRPr="00D65692">
        <w:rPr>
          <w:i/>
        </w:rPr>
        <w:instrText>B9-0057/2024</w:instrText>
      </w:r>
      <w:bookmarkEnd w:id="3"/>
      <w:r w:rsidRPr="00D65692">
        <w:rPr>
          <w:i/>
        </w:rPr>
        <w:instrText xml:space="preserve">)"\l3 \n&gt; \* MERGEFORMAT </w:instrText>
      </w:r>
      <w:r w:rsidRPr="00D65692">
        <w:rPr>
          <w:i/>
        </w:rPr>
        <w:fldChar w:fldCharType="end"/>
      </w:r>
    </w:p>
    <w:p w:rsidR="00670D0E" w:rsidRPr="00D65692" w:rsidRDefault="00670D0E" w:rsidP="00670D0E">
      <w:pPr>
        <w:rPr>
          <w:vanish/>
        </w:rPr>
      </w:pPr>
      <w:bookmarkStart w:id="4" w:name="PE"/>
      <w:r w:rsidRPr="00D65692">
        <w:rPr>
          <w:vanish/>
        </w:rPr>
        <w:t>PE757.277</w:t>
      </w:r>
      <w:bookmarkEnd w:id="4"/>
    </w:p>
    <w:p w:rsidR="00670D0E" w:rsidRPr="00D65692" w:rsidRDefault="00670D0E" w:rsidP="00670D0E">
      <w:pPr>
        <w:pStyle w:val="ATHeading3"/>
      </w:pPr>
      <w:bookmarkStart w:id="5" w:name="Sujet"/>
      <w:r w:rsidRPr="00D65692">
        <w:t xml:space="preserve">Europaparlamentets resolution av den </w:t>
      </w:r>
      <w:r w:rsidR="00024DE4">
        <w:t>17</w:t>
      </w:r>
      <w:r w:rsidRPr="00D65692">
        <w:t xml:space="preserve"> </w:t>
      </w:r>
      <w:r w:rsidR="00024DE4">
        <w:t>januari</w:t>
      </w:r>
      <w:r w:rsidRPr="00D65692">
        <w:t xml:space="preserve"> 2024 om förslaget till rådets förordning om ändring av bilaga II till Europaparlamentets och rådets förordning (EG) nr 396/2005 vad gäller gränsvärden för tiakloprid i eller på vissa produkter</w:t>
      </w:r>
      <w:bookmarkEnd w:id="5"/>
      <w:r w:rsidRPr="00D65692">
        <w:t xml:space="preserve"> </w:t>
      </w:r>
      <w:bookmarkStart w:id="6" w:name="References"/>
      <w:r w:rsidRPr="00D65692">
        <w:t>(COM(2023)0739 – 2023/3005(RPS))</w:t>
      </w:r>
      <w:bookmarkEnd w:id="6"/>
    </w:p>
    <w:p w:rsidR="00D932AA" w:rsidRPr="00D65692" w:rsidRDefault="00D932AA" w:rsidP="00D932AA">
      <w:pPr>
        <w:pStyle w:val="EPComma"/>
      </w:pPr>
      <w:bookmarkStart w:id="7" w:name="TextBodyBegin"/>
      <w:bookmarkEnd w:id="7"/>
      <w:r w:rsidRPr="00D65692">
        <w:rPr>
          <w:i/>
        </w:rPr>
        <w:t>Europaparlamentet utfärdar denna resolution</w:t>
      </w:r>
    </w:p>
    <w:p w:rsidR="00D932AA" w:rsidRPr="00D65692" w:rsidRDefault="00D932AA" w:rsidP="00D932AA">
      <w:pPr>
        <w:pStyle w:val="NormalHanging12a"/>
      </w:pPr>
      <w:r w:rsidRPr="00D65692">
        <w:t>–</w:t>
      </w:r>
      <w:r w:rsidRPr="00D65692">
        <w:tab/>
        <w:t>med beaktande av förslaget till rådets förordning om ändring av bilaga II till Europaparlamentets och rådets förordning (EG) nr 396/2005 vad gäller gränsvärden för tiakloprid i eller på vissa produkter (COM(2023)0739),</w:t>
      </w:r>
    </w:p>
    <w:p w:rsidR="00D932AA" w:rsidRPr="00D65692" w:rsidRDefault="00D932AA" w:rsidP="00D932AA">
      <w:pPr>
        <w:pStyle w:val="NormalHanging12a"/>
        <w:rPr>
          <w:szCs w:val="24"/>
        </w:rPr>
      </w:pPr>
      <w:r w:rsidRPr="00D65692">
        <w:t>–</w:t>
      </w:r>
      <w:r w:rsidRPr="00D65692">
        <w:tab/>
        <w:t>med beaktande av Europaparlamentets och rådets förordning (EG) nr 396/2005 av den 23 februari 2005 om gränsvärden för bekämpningsmedelsrester i eller på livsmedel och foder av vegetabiliskt och animaliskt ursprung och om ändring av rådets direktiv 91/414/EEG</w:t>
      </w:r>
      <w:r w:rsidRPr="00D65692">
        <w:rPr>
          <w:rStyle w:val="FootnoteReference"/>
        </w:rPr>
        <w:footnoteReference w:id="1"/>
      </w:r>
      <w:r w:rsidRPr="00D65692">
        <w:t xml:space="preserve">, särskilt artiklarna 14.1 a och 49.2, </w:t>
      </w:r>
    </w:p>
    <w:p w:rsidR="00D932AA" w:rsidRPr="00D65692" w:rsidRDefault="00D932AA" w:rsidP="00D932AA">
      <w:pPr>
        <w:pStyle w:val="NormalHanging12a"/>
        <w:rPr>
          <w:szCs w:val="24"/>
        </w:rPr>
      </w:pPr>
      <w:r w:rsidRPr="00D65692">
        <w:t>–</w:t>
      </w:r>
      <w:r w:rsidRPr="00D65692">
        <w:tab/>
        <w:t>med beaktande av Europaparlamentets och rådets förordning (EG) nr 1107/2009 av den 21 oktober 2009 om utsläppande av växtskyddsmedel på marknaden och om upphävande av rådets direktiv 79/117/EEG och 91/414/EEG</w:t>
      </w:r>
      <w:r w:rsidRPr="00D65692">
        <w:rPr>
          <w:rStyle w:val="FootnoteReference"/>
          <w:szCs w:val="24"/>
        </w:rPr>
        <w:footnoteReference w:id="2"/>
      </w:r>
      <w:r w:rsidRPr="00D65692">
        <w:t>, särskilt artikel 4.1 och artikel 4.2 första stycket led a samt punkt 3.6.4 i bilaga II,</w:t>
      </w:r>
    </w:p>
    <w:p w:rsidR="00D932AA" w:rsidRPr="00D65692" w:rsidRDefault="00D932AA" w:rsidP="00D932AA">
      <w:pPr>
        <w:pStyle w:val="NormalHanging12a"/>
        <w:rPr>
          <w:szCs w:val="24"/>
        </w:rPr>
      </w:pPr>
      <w:r w:rsidRPr="00D65692">
        <w:t>–</w:t>
      </w:r>
      <w:r w:rsidRPr="00D65692">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D65692">
        <w:rPr>
          <w:rStyle w:val="FootnoteReference"/>
          <w:szCs w:val="24"/>
        </w:rPr>
        <w:footnoteReference w:id="3"/>
      </w:r>
      <w:r w:rsidRPr="00D65692">
        <w:t>, särskilt artikel 5.1,</w:t>
      </w:r>
    </w:p>
    <w:p w:rsidR="00D932AA" w:rsidRPr="00D65692" w:rsidRDefault="00D932AA" w:rsidP="00D932AA">
      <w:pPr>
        <w:pStyle w:val="NormalHanging12a"/>
        <w:rPr>
          <w:szCs w:val="24"/>
        </w:rPr>
      </w:pPr>
      <w:r w:rsidRPr="00D65692">
        <w:t>–</w:t>
      </w:r>
      <w:r w:rsidRPr="00D65692">
        <w:tab/>
        <w:t>med beaktande av artiklarna 11, 13, 168 och 191 i fördraget om Europeiska unionens funktionssätt,</w:t>
      </w:r>
    </w:p>
    <w:p w:rsidR="00D932AA" w:rsidRPr="00D65692" w:rsidRDefault="00D932AA" w:rsidP="00D932AA">
      <w:pPr>
        <w:pStyle w:val="NormalHanging12a"/>
      </w:pPr>
      <w:r w:rsidRPr="00D65692">
        <w:t>–</w:t>
      </w:r>
      <w:r w:rsidRPr="00D65692">
        <w:tab/>
        <w:t xml:space="preserve">med beaktande av det motiverade yttrande som antogs av Europeiska myndigheten för livsmedelssäkerhet (Efsa) den 9 februari 2023, och som offentliggjordes den 15 mars </w:t>
      </w:r>
      <w:r w:rsidRPr="00D65692">
        <w:lastRenderedPageBreak/>
        <w:t>2023</w:t>
      </w:r>
      <w:r w:rsidRPr="00D65692">
        <w:rPr>
          <w:rStyle w:val="FootnoteReference"/>
        </w:rPr>
        <w:footnoteReference w:id="4"/>
      </w:r>
      <w:r w:rsidRPr="00D65692">
        <w:t>,</w:t>
      </w:r>
    </w:p>
    <w:p w:rsidR="00D932AA" w:rsidRPr="00D65692" w:rsidRDefault="00D932AA" w:rsidP="00D932AA">
      <w:pPr>
        <w:pStyle w:val="NormalHanging12a"/>
        <w:rPr>
          <w:szCs w:val="24"/>
        </w:rPr>
      </w:pPr>
      <w:r w:rsidRPr="00D65692">
        <w:t>–</w:t>
      </w:r>
      <w:r w:rsidRPr="00D65692">
        <w:tab/>
        <w:t>med beaktande av slutsatsen om inbördes granskning av bekämpningsmedel som godkändes av Efsa den 17 januari 2019 och som offentliggjordes den 14 mars 2019</w:t>
      </w:r>
      <w:r w:rsidRPr="00D65692">
        <w:rPr>
          <w:rStyle w:val="FootnoteReference"/>
          <w:szCs w:val="24"/>
        </w:rPr>
        <w:footnoteReference w:id="5"/>
      </w:r>
      <w:r w:rsidRPr="00D65692">
        <w:t>,</w:t>
      </w:r>
    </w:p>
    <w:p w:rsidR="00D932AA" w:rsidRPr="00D65692" w:rsidRDefault="00D932AA" w:rsidP="00D932AA">
      <w:pPr>
        <w:pStyle w:val="NormalHanging12a"/>
        <w:widowControl/>
        <w:rPr>
          <w:szCs w:val="24"/>
        </w:rPr>
      </w:pPr>
      <w:r w:rsidRPr="00D65692">
        <w:t>–</w:t>
      </w:r>
      <w:r w:rsidRPr="00D65692">
        <w:tab/>
        <w:t>med beaktande av det yttrande som antogs av Europeiska kemikaliemyndighetens riskbedömningskommitté den 12 mars 2015</w:t>
      </w:r>
      <w:r w:rsidRPr="00D65692">
        <w:rPr>
          <w:rStyle w:val="FootnoteReference"/>
          <w:szCs w:val="24"/>
        </w:rPr>
        <w:footnoteReference w:id="6"/>
      </w:r>
      <w:r w:rsidRPr="00D65692">
        <w:t>,</w:t>
      </w:r>
    </w:p>
    <w:p w:rsidR="00D932AA" w:rsidRPr="00D65692" w:rsidRDefault="00D932AA" w:rsidP="00D932AA">
      <w:pPr>
        <w:pStyle w:val="NormalHanging12a"/>
        <w:rPr>
          <w:szCs w:val="24"/>
        </w:rPr>
      </w:pPr>
      <w:r w:rsidRPr="00D65692">
        <w:t>–</w:t>
      </w:r>
      <w:r w:rsidRPr="00D65692">
        <w:tab/>
        <w:t>med beaktande av artikel 5a.4 e och 5a.5 i rådets beslut 1999/468/EG av den 28 juni 1999 om de förfaranden som skall tillämpas vid utövandet av kommissionens genomförandebefogenheter</w:t>
      </w:r>
      <w:r w:rsidRPr="00D65692">
        <w:rPr>
          <w:rStyle w:val="FootnoteReference"/>
          <w:szCs w:val="24"/>
        </w:rPr>
        <w:footnoteReference w:id="7"/>
      </w:r>
      <w:r w:rsidRPr="00D65692">
        <w:t>,</w:t>
      </w:r>
    </w:p>
    <w:p w:rsidR="00D932AA" w:rsidRPr="00D65692" w:rsidRDefault="00D932AA" w:rsidP="00D932AA">
      <w:pPr>
        <w:pStyle w:val="NormalHanging12a"/>
      </w:pPr>
      <w:r w:rsidRPr="00D65692">
        <w:t>–</w:t>
      </w:r>
      <w:r w:rsidRPr="00D65692">
        <w:tab/>
        <w:t>med beaktande av artikel 112.2, 112.3 och 112.4 c i arbetsordningen,</w:t>
      </w:r>
    </w:p>
    <w:p w:rsidR="00D932AA" w:rsidRPr="00D65692" w:rsidRDefault="00D932AA" w:rsidP="00D932AA">
      <w:pPr>
        <w:pStyle w:val="NormalHanging12a"/>
      </w:pPr>
      <w:r w:rsidRPr="00D65692">
        <w:t>–</w:t>
      </w:r>
      <w:r w:rsidRPr="00D65692">
        <w:tab/>
        <w:t>med beaktande av förslaget till resolution från utskottet för miljö, folkhälsa och livsmedelssäkerhet, och av följande skäl:</w:t>
      </w:r>
    </w:p>
    <w:p w:rsidR="00D932AA" w:rsidRPr="00D65692" w:rsidRDefault="00D932AA" w:rsidP="00D932AA">
      <w:pPr>
        <w:pStyle w:val="NormalHanging12a"/>
      </w:pPr>
      <w:r w:rsidRPr="00D65692">
        <w:t>A.</w:t>
      </w:r>
      <w:r w:rsidRPr="00D65692">
        <w:tab/>
        <w:t>Tiakloprid är en aktiv beståndsdel i insekticider som främst används på bomull, kärnfrukter, grönsaker och potatis.</w:t>
      </w:r>
    </w:p>
    <w:p w:rsidR="00D932AA" w:rsidRPr="00D65692" w:rsidRDefault="00D932AA" w:rsidP="00D932AA">
      <w:pPr>
        <w:pStyle w:val="NormalHanging12a"/>
      </w:pPr>
      <w:r w:rsidRPr="00D65692">
        <w:t>B.</w:t>
      </w:r>
      <w:r w:rsidRPr="00D65692">
        <w:tab/>
        <w:t>Godkännandet av det verksamma ämnet tiakloprid löpte ut den 3 februari 2020 och förnyades inte enligt kommissionens genomförandeförordning (EU) 2020/23</w:t>
      </w:r>
      <w:r w:rsidRPr="00D65692">
        <w:rPr>
          <w:rStyle w:val="FootnoteReference"/>
        </w:rPr>
        <w:footnoteReference w:id="8"/>
      </w:r>
      <w:r w:rsidRPr="00D65692">
        <w:t>. Anståndsperioden för växtskyddsmedel som innehåller tiakloprid löpte ut den 3 februari 2021.</w:t>
      </w:r>
    </w:p>
    <w:p w:rsidR="00D932AA" w:rsidRPr="00D65692" w:rsidRDefault="00D932AA" w:rsidP="00D932AA">
      <w:pPr>
        <w:pStyle w:val="NormalHanging12a"/>
      </w:pPr>
      <w:r w:rsidRPr="00D65692">
        <w:t>C.</w:t>
      </w:r>
      <w:r w:rsidRPr="00D65692">
        <w:tab/>
        <w:t>Godkännandet av det verksamma ämnet tiakloprid förnyades inte eftersom det inte kunde fastställas att kriterierna för godkännande i artikel 4 i förordning (EG) nr 1107/2009 var uppfyllda med avseende på ett eller flera representativa användningsområden för minst ett växtskyddsmedel. I synnerhet identifierade Efsa två kritiska problemområden. Det första kritiska problemområdet gällde indikationen för förorening av grundvattnet med flera relevanta metaboliter av tiakloprid vars cancerframkallande potential inte kunde uteslutas (M30, M34 och M46) över den parametriska dricksvattengränsen på 0,1 μg/l för alla representativa användningsområden</w:t>
      </w:r>
      <w:r w:rsidRPr="00D65692">
        <w:rPr>
          <w:rStyle w:val="FootnoteReference"/>
        </w:rPr>
        <w:footnoteReference w:id="9"/>
      </w:r>
      <w:r w:rsidRPr="00D65692">
        <w:t>. Det andra kritiska problemområdet avsåg Echas harmoniserade klassificering av tiakloprid som förmodat skadligt för fertiliteten och det ofödda barnet (reproduktionstoxiskt i kategori 1B) i enlighet med Europaparlamentets och rådets förordning (EG) nr 1272/2008</w:t>
      </w:r>
      <w:r w:rsidRPr="00D65692">
        <w:rPr>
          <w:rStyle w:val="FootnoteReference"/>
        </w:rPr>
        <w:footnoteReference w:id="10"/>
      </w:r>
      <w:r w:rsidRPr="00D65692">
        <w:t xml:space="preserve"> som gör tiakloprid till ett ”uteslutet ämne” i enlighet med artikel 4.1 i förordning (EG) nr 1107/2009. </w:t>
      </w:r>
    </w:p>
    <w:p w:rsidR="00D932AA" w:rsidRPr="00D65692" w:rsidRDefault="00D932AA" w:rsidP="00D932AA">
      <w:pPr>
        <w:pStyle w:val="NormalHanging12a"/>
      </w:pPr>
      <w:r w:rsidRPr="00D65692">
        <w:t>D.</w:t>
      </w:r>
      <w:r w:rsidRPr="00D65692">
        <w:tab/>
        <w:t>Efsa konstaterade också att bedömningen av riskerna för bin och landväxter som inte är målarter inte kunde slutföras.</w:t>
      </w:r>
    </w:p>
    <w:p w:rsidR="00D932AA" w:rsidRPr="00D65692" w:rsidRDefault="00D932AA" w:rsidP="00D932AA">
      <w:pPr>
        <w:pStyle w:val="NormalHanging12a"/>
        <w:widowControl/>
      </w:pPr>
      <w:r w:rsidRPr="00D65692">
        <w:t>E.</w:t>
      </w:r>
      <w:r w:rsidRPr="00D65692">
        <w:tab/>
        <w:t>Tiakloprid klassificeras också i enlighet med förordning (EG) nr 1272/2008 som misstänkt cancerorsakande (cancerframkallande kategori 2), mycket giftigt för vattenlevande organismer (farlig för vattenmiljön i kategorin akut 1) och mycket giftigt för vattenlevande organismer med långtidseffekter (farlig för vattenmiljön i kategorin kronisk 1).</w:t>
      </w:r>
    </w:p>
    <w:p w:rsidR="00D932AA" w:rsidRPr="00D65692" w:rsidRDefault="00D932AA" w:rsidP="00D932AA">
      <w:pPr>
        <w:pStyle w:val="NormalHanging12a"/>
      </w:pPr>
      <w:r w:rsidRPr="00D65692">
        <w:t>F.</w:t>
      </w:r>
      <w:r w:rsidRPr="00D65692">
        <w:tab/>
        <w:t>Den ständiga kommittén för växter, djur, livsmedel och foder har inte yttrat sig om förslaget till rådets förordning. Vid sammanträdet för den ständiga kommittén för växter, djur, livsmedel och foder den 18–19 september 2023 stödde åtta medlemsstater inte förslaget till förordning. Sex av dem nämnde först och främst sina farhågor om att bibehålla CXL-värden och importtoleranser för ett icke godkänt ämne som uppfyller ett av uteslutningskriterierna enligt förordning (EG) nr 1107/2009 (reproduktionstoxiskt). Dessutom hyste en medlemsstat som inte stödde förslaget till förordning farhågor om att Efsa hade angett att den akuta referensdosen hade överskridits för vissa produkter under vissa icke-standardmässiga omständigheter. En annan nämnde diskrimineringen av EU:s jordbrukare som inte längre får använda växtskyddsmedel som innehåller detta verksamma ämne, medan jordbrukare i tredjeländer fortfarande kunde göra det, vilket leder till illojal konkurrens</w:t>
      </w:r>
      <w:r w:rsidRPr="00D65692">
        <w:rPr>
          <w:rStyle w:val="FootnoteReference"/>
        </w:rPr>
        <w:footnoteReference w:id="11"/>
      </w:r>
      <w:r w:rsidRPr="00D65692">
        <w:t>.</w:t>
      </w:r>
    </w:p>
    <w:p w:rsidR="00D932AA" w:rsidRPr="00D65692" w:rsidRDefault="00D932AA" w:rsidP="00D932AA">
      <w:pPr>
        <w:pStyle w:val="NormalHanging12a"/>
      </w:pPr>
      <w:r w:rsidRPr="00D65692">
        <w:t>G.</w:t>
      </w:r>
      <w:r w:rsidRPr="00D65692">
        <w:tab/>
        <w:t>Tyskland begärde att följande förklaring skulle ingå i den sammanfattande rapporten från sammanträdet för den ständiga kommittén för växter, djur, livsmedel och foder den 18–19 september 2023: Tiakloprid är ett uteslutet verksamt ämne enligt förordning (EG) nr 1107/2009. Under förfarandet för förnyat godkännande av det verksamma ämnet fastställdes det att det uppfyller uteslutningskriterierna eftersom det klassificeras som reproduktionstoxiskt i kategori 1B. Det verksamma ämnet godkändes därför inte på nytt. Tyskland stöder i allmänhet inte fastställandet av [gränsvärden för högsta tillåtna restmängder (MRL)] för verksamma ämnen som av hälsoskäl inte är godkända i EU. Den avgörande faktorn här är att uteslutningskriterierna har fastställts inom ramen för förfarandet för godkännande på nytt av ett verksamt ämne i enlighet med förordning (EG) nr 1107/2009</w:t>
      </w:r>
      <w:r w:rsidRPr="00D65692">
        <w:rPr>
          <w:rStyle w:val="FootnoteReference"/>
        </w:rPr>
        <w:footnoteReference w:id="12"/>
      </w:r>
      <w:r w:rsidRPr="00D65692">
        <w:t>.</w:t>
      </w:r>
    </w:p>
    <w:p w:rsidR="00D932AA" w:rsidRPr="00D65692" w:rsidRDefault="00D932AA" w:rsidP="00D932AA">
      <w:pPr>
        <w:pStyle w:val="NormalHanging12a"/>
      </w:pPr>
      <w:r w:rsidRPr="00D65692">
        <w:t>H.</w:t>
      </w:r>
      <w:r w:rsidRPr="00D65692">
        <w:tab/>
        <w:t>Det är därför lämpligt att de befintliga gränsvärden som fastställs för tiakloprid i bilaga II till förordning (EG) nr 396/2005 stryks i enlighet med artikel 17 i den förordningen jämförd med artikel 14.1 a i samma förordning.</w:t>
      </w:r>
    </w:p>
    <w:p w:rsidR="00D932AA" w:rsidRPr="00D65692" w:rsidRDefault="00D932AA" w:rsidP="00D932AA">
      <w:pPr>
        <w:pStyle w:val="NormalHanging12a"/>
      </w:pPr>
      <w:r w:rsidRPr="00D65692">
        <w:t>I.</w:t>
      </w:r>
      <w:r w:rsidRPr="00D65692">
        <w:tab/>
        <w:t>I förslaget till rådets förordning föreslår kommissionen dock att gränsvärdena för tiakloprid bibehålls över bestämningsgränsen för användning för mer än 30 produkter för import på grundval av Efsas motiverade yttrande</w:t>
      </w:r>
      <w:r w:rsidRPr="00D65692">
        <w:rPr>
          <w:rStyle w:val="FootnoteReference"/>
        </w:rPr>
        <w:footnoteReference w:id="13"/>
      </w:r>
      <w:r w:rsidRPr="00D65692">
        <w:t>.</w:t>
      </w:r>
    </w:p>
    <w:p w:rsidR="00D932AA" w:rsidRPr="00D65692" w:rsidRDefault="00D932AA" w:rsidP="00D932AA">
      <w:pPr>
        <w:pStyle w:val="NormalHanging12a"/>
        <w:widowControl/>
      </w:pPr>
      <w:r w:rsidRPr="00D65692">
        <w:t>J.</w:t>
      </w:r>
      <w:r w:rsidRPr="00D65692">
        <w:tab/>
        <w:t>De användningsområden för vilka gränsvärden över bestämningsgränsen anses säkra omfattar användning av tiakloprid på papaya, te, nötter, kvitten, misplar, japanska misplar, aprikoser, körsbär (söta), plommon, jordgubbar, björnbär, blåhallon, andra små frukter och bär, kiwi, potatis, tomater, auberginer/äggplantor, meloner, vattenmeloner, ris, vete, animaliska produkter (svin, nötkreatur, får, häst, fjäderfä och andra gårdsdjur) från vävnader (muskel, lever, njure och ätbara slaktbiprodukter), mjölk och ägg, hallon, gurkor, squash, rapsfrön/canolafrön, senapsfrön och bomullsfrön. De gränsvärden som föreslås för dessa användningar varierar mellan två gånger bestämningsgränsen och tusen gånger bestämningsgränsen (för användning i teer).</w:t>
      </w:r>
    </w:p>
    <w:p w:rsidR="00D932AA" w:rsidRPr="00D65692" w:rsidRDefault="00D932AA" w:rsidP="00D932AA">
      <w:pPr>
        <w:pStyle w:val="NormalHanging12a"/>
      </w:pPr>
      <w:r w:rsidRPr="00D65692">
        <w:t>K.</w:t>
      </w:r>
      <w:r w:rsidRPr="00D65692">
        <w:tab/>
        <w:t xml:space="preserve">Begäran om importtoleranser avslogs däremot endast för två användningsområden (för persikor och paprika) eftersom ett överskridande av den akuta referensdosen inte kan uteslutas och kommissionen föreslog därför att gränsvärdena för tiakloprid skulle sänkas till bestämningsgränsen endast för dessa användningsområden. </w:t>
      </w:r>
    </w:p>
    <w:p w:rsidR="00D932AA" w:rsidRPr="00D65692" w:rsidRDefault="00D932AA" w:rsidP="00D932AA">
      <w:pPr>
        <w:pStyle w:val="NormalHanging12a"/>
      </w:pPr>
      <w:r w:rsidRPr="00D65692">
        <w:t>L.</w:t>
      </w:r>
      <w:r w:rsidRPr="00D65692">
        <w:tab/>
        <w:t xml:space="preserve">Enligt skäl 5 i förordning (EG) nr 396/2005 får resthalter inte förekomma på nivåer som utgör en oacceptabel risk för människor och, i förekommande fall, för djur. </w:t>
      </w:r>
    </w:p>
    <w:p w:rsidR="00D932AA" w:rsidRPr="00D65692" w:rsidRDefault="00D932AA" w:rsidP="00D932AA">
      <w:pPr>
        <w:pStyle w:val="NormalHanging12a"/>
      </w:pPr>
      <w:r w:rsidRPr="00D65692">
        <w:t>M.</w:t>
      </w:r>
      <w:r w:rsidRPr="00D65692">
        <w:tab/>
        <w:t>Enligt artikel 4.2 a i förordning (EG) nr 1107/2009 får resthalter av växtskyddsmedel inte ha skadliga hälsoeffekter på människor, inklusive känsliga befolkningsgrupper, eller på djur, med beaktande av kända kumulativa och synergistiska effekter. Enligt punkt 3.6.4 i bilaga II till den förordningen ska ett verksamt ämne som klassificeras som ett reproduktionstoxiskt ämne i kategori 1A eller 1B i enlighet med bestämmelserna i förordning (EG) nr 1272/2008, endast godkännas om ”resthalterna av det berörda verksamma ämnet [...] i livsmedel och foder inte överskrider det standardvärde som fastställs i enlighet med artikel 18.1 b i förordning (EG) nr 396/2005. I artikel 18.1 b i förordning (EG) nr 396/2005 fastställs ett standardvärde på 0,01 mg/kg.</w:t>
      </w:r>
    </w:p>
    <w:p w:rsidR="00D932AA" w:rsidRPr="00D65692" w:rsidRDefault="00D932AA" w:rsidP="00D932AA">
      <w:pPr>
        <w:pStyle w:val="NormalHanging12a"/>
      </w:pPr>
      <w:r w:rsidRPr="00D65692">
        <w:t>N.</w:t>
      </w:r>
      <w:r w:rsidRPr="00D65692">
        <w:tab/>
        <w:t>Enligt artikel 3.2 g i förordning (EG) nr 396/2005 är importtolerans ett gränsvärde som fastställs för importerade produkter om ”användningen av det verksamma ämnet i ett växtskyddsmedel på en viss produkt inte är godkänd i gemenskapen av andra skäl än folkhälsoskäl för den specifika produkten och den specifika användningen”. Tiakloprid uppfyller inte dessa kriterier eftersom det har förbjudits av hälsoskäl eftersom det klassificeras som reproduktionstoxiskt i kategori 1B.</w:t>
      </w:r>
    </w:p>
    <w:p w:rsidR="00D932AA" w:rsidRPr="00D65692" w:rsidRDefault="00D932AA" w:rsidP="00D932AA">
      <w:pPr>
        <w:pStyle w:val="NormalHanging12a"/>
      </w:pPr>
      <w:r w:rsidRPr="00D65692">
        <w:t>O.</w:t>
      </w:r>
      <w:r w:rsidRPr="00D65692">
        <w:tab/>
        <w:t>Enligt artikel 5.1 i förordning (EG) nr 178/2002 är syftet med livsmedelslagstiftningen att uppnå ett eller flera av de allmänna målen om en hög skyddsnivå för människors liv och hälsa, skydd av konsumenternas intressen, inbegripet god sed inom handeln med livsmedel, i förekommande fall med beaktande av skydd av djurs hälsa och välbefinnande, växtskydd samt miljön.</w:t>
      </w:r>
    </w:p>
    <w:p w:rsidR="00D932AA" w:rsidRPr="00D65692" w:rsidRDefault="00D932AA" w:rsidP="00D932AA">
      <w:pPr>
        <w:pStyle w:val="NormalHanging12a"/>
      </w:pPr>
      <w:r w:rsidRPr="00D65692">
        <w:t>P.</w:t>
      </w:r>
      <w:r w:rsidRPr="00D65692">
        <w:tab/>
        <w:t>Den nuvarande pollinatörskrisen är ett av de största hoten mot den biologiska mångfalden och den globala och lokala livsmedelstryggheten. Denna kris kan förvärra problemen med dold hunger, urholka ekosystemens motståndskraft och destabilisera de ekosystem som utgör vårt livsuppehållande system</w:t>
      </w:r>
      <w:r w:rsidRPr="00D65692">
        <w:rPr>
          <w:rStyle w:val="FootnoteReference"/>
        </w:rPr>
        <w:footnoteReference w:id="14"/>
      </w:r>
      <w:r w:rsidRPr="00D65692">
        <w:t>.</w:t>
      </w:r>
    </w:p>
    <w:p w:rsidR="00D932AA" w:rsidRPr="00D65692" w:rsidRDefault="00D932AA" w:rsidP="00D932AA">
      <w:pPr>
        <w:pStyle w:val="NormalHanging12a"/>
      </w:pPr>
      <w:r w:rsidRPr="00D65692">
        <w:t>Q.</w:t>
      </w:r>
      <w:r w:rsidRPr="00D65692">
        <w:tab/>
        <w:t xml:space="preserve">I sitt meddelande </w:t>
      </w:r>
      <w:r w:rsidRPr="00D65692">
        <w:rPr>
          <w:i/>
          <w:iCs/>
        </w:rPr>
        <w:t>Från jord till bord-strategin för ett rättvisare, hälsosammare och miljövänligare livsmedelssystem</w:t>
      </w:r>
      <w:r w:rsidRPr="00D65692">
        <w:rPr>
          <w:rStyle w:val="FootnoteReference"/>
        </w:rPr>
        <w:footnoteReference w:id="15"/>
      </w:r>
      <w:r w:rsidRPr="00D65692">
        <w:t xml:space="preserve"> av den 20 maj 2020 tillkännagav kommissionen att ”EU kommer att stödja den globala omställningen till hållbara jordbruksbaserade livsmedelssystem i linje med målen för denna strategi och FN:s mål för hållbar utveckling”, och att ”EU kan spela en nyckelroll genom att med denna strategi fastställa globala standarder”. I strategin angav ko</w:t>
      </w:r>
      <w:r w:rsidR="00DC2687">
        <w:t>mmissionen uttryckligen att ”e</w:t>
      </w:r>
      <w:r w:rsidRPr="00D65692">
        <w:t>tt mer hållbart livsmedelssystem i EU kräver också att våra handelspartner använder allt mer hållbara metoder. För att främja en gradvis utveckling mot säkrare växtskyddsmedel kommer EU att, i enlighet med WTO:s regler och efter en riskbedömning, se över importtoleranser för ämnen som uppfyller uteslutningskriterierna och som utgör en hög risk för människors hälsa”.</w:t>
      </w:r>
    </w:p>
    <w:p w:rsidR="00D932AA" w:rsidRPr="00D65692" w:rsidRDefault="00D932AA" w:rsidP="00D932AA">
      <w:pPr>
        <w:pStyle w:val="NormalHanging12a"/>
      </w:pPr>
      <w:r w:rsidRPr="00D65692">
        <w:t>R.</w:t>
      </w:r>
      <w:r w:rsidRPr="00D65692">
        <w:tab/>
        <w:t>Under 2022 sänkte kommissionen</w:t>
      </w:r>
      <w:r w:rsidRPr="00D65692">
        <w:rPr>
          <w:rStyle w:val="FootnoteReference"/>
        </w:rPr>
        <w:footnoteReference w:id="16"/>
      </w:r>
      <w:r w:rsidRPr="00D65692">
        <w:t xml:space="preserve"> gränsvärdena för två neonikotinoider som utgör en hög risk för pollinatörer till den lägsta nivå som kan mätas med den senaste tekniken, varigenom importerade produkter inte längre får innehålla resthalter av klotianidin och tiametoxam. </w:t>
      </w:r>
    </w:p>
    <w:p w:rsidR="00D932AA" w:rsidRPr="00D65692" w:rsidRDefault="00D932AA" w:rsidP="00D932AA">
      <w:pPr>
        <w:pStyle w:val="NormalHanging12a"/>
      </w:pPr>
      <w:r w:rsidRPr="00D65692">
        <w:t>S.</w:t>
      </w:r>
      <w:r w:rsidRPr="00D65692">
        <w:tab/>
        <w:t>I detta avseende hävdade kommissionen att ”med beaktande av alla faktorer som är relevanta i enlighet med artikel 14.2, jämförd med artikel 11 i fördraget om Europeiska unionens funktionssätt enligt vilken ’miljöskyddskraven ska integreras i utformningen och genomförandet av unionens politik och verksamhet, särskilt i syfte att främja en hållbar utveckling’, bör därför alla nuvarande gränsvärden för klotianidin och/eller tiametoxam enligt förordning (EG) nr 396/2005 sänkas till bestämningsgränsen”</w:t>
      </w:r>
      <w:r w:rsidRPr="00D65692">
        <w:rPr>
          <w:rStyle w:val="FootnoteReference"/>
        </w:rPr>
        <w:footnoteReference w:id="17"/>
      </w:r>
      <w:r w:rsidRPr="00D65692">
        <w:t>.</w:t>
      </w:r>
    </w:p>
    <w:p w:rsidR="00D932AA" w:rsidRPr="00D65692" w:rsidRDefault="00D932AA" w:rsidP="00D932AA">
      <w:pPr>
        <w:pStyle w:val="NormalHanging12a"/>
      </w:pPr>
      <w:r w:rsidRPr="00D65692">
        <w:t>T.</w:t>
      </w:r>
      <w:r w:rsidRPr="00D65692">
        <w:tab/>
        <w:t>Vid sammanträdet för den ständiga kommittén för växter, djur, livsmedel och foder, som ägde rum den 10–11 maj 2023, erinrade kommissionen om att tiakloprid tillhör gruppen verksamma ämnen av typen neonikotinoider men att man för närvarande, eftersom det har andra egenskaper än klotianidin och tiametoxam, inte avser att tillämpa samma metod som för klotianidin och tiametoxam vid genomförandet av Från jord till bord-strategin genom att sänka alla gränsvärden till kvantifieringsgränsen</w:t>
      </w:r>
      <w:r w:rsidRPr="00D65692">
        <w:rPr>
          <w:rStyle w:val="FootnoteReference"/>
        </w:rPr>
        <w:footnoteReference w:id="18"/>
      </w:r>
      <w:r w:rsidRPr="00D65692">
        <w:t>.</w:t>
      </w:r>
    </w:p>
    <w:p w:rsidR="00D932AA" w:rsidRPr="00D65692" w:rsidRDefault="00D932AA" w:rsidP="00D932AA">
      <w:pPr>
        <w:pStyle w:val="NormalHanging12a"/>
      </w:pPr>
      <w:r w:rsidRPr="00D65692">
        <w:t>U.</w:t>
      </w:r>
      <w:r w:rsidRPr="00D65692">
        <w:tab/>
        <w:t>Det faktum att tiakloprid skulle ha andra egenskaper än andra neonikotinoider ifrågasätts i den vetenskapliga litteraturen där resultaten visar att ”bilden av tiakloprid som en relativt godartad neonikotinoid nu bör ifrågasättas”</w:t>
      </w:r>
      <w:r w:rsidRPr="00D65692">
        <w:rPr>
          <w:rStyle w:val="FootnoteReference"/>
        </w:rPr>
        <w:footnoteReference w:id="19"/>
      </w:r>
      <w:r w:rsidRPr="00D65692">
        <w:t>.</w:t>
      </w:r>
    </w:p>
    <w:p w:rsidR="00D932AA" w:rsidRPr="00D65692" w:rsidRDefault="00D932AA" w:rsidP="00D932AA">
      <w:pPr>
        <w:pStyle w:val="NormalHanging12a"/>
        <w:spacing w:after="120"/>
      </w:pPr>
      <w:r w:rsidRPr="00D65692">
        <w:t>V.</w:t>
      </w:r>
      <w:r w:rsidRPr="00D65692">
        <w:tab/>
        <w:t>Det har visat sig att särskilt kolonier av humlor som exponerats för tiakloprid löper större risk att dö i förtid och de som överlever drabbas av subletala effekter</w:t>
      </w:r>
      <w:r w:rsidRPr="00D65692">
        <w:rPr>
          <w:rStyle w:val="FootnoteReference"/>
        </w:rPr>
        <w:footnoteReference w:id="20"/>
      </w:r>
      <w:r w:rsidRPr="00D65692">
        <w:t>. Tiakloprid har också visat sig påverka honungsbins beteende och immunsystem på ett liknande sätt som imidakloprid, klotianidin och tiametoxam</w:t>
      </w:r>
      <w:r w:rsidRPr="00D65692">
        <w:rPr>
          <w:rStyle w:val="FootnoteReference"/>
        </w:rPr>
        <w:footnoteReference w:id="21"/>
      </w:r>
      <w:r w:rsidRPr="00D65692">
        <w:rPr>
          <w:vertAlign w:val="superscript"/>
        </w:rPr>
        <w:t>,</w:t>
      </w:r>
      <w:r w:rsidRPr="00D65692">
        <w:rPr>
          <w:rStyle w:val="FootnoteReference"/>
        </w:rPr>
        <w:footnoteReference w:id="22"/>
      </w:r>
      <w:r w:rsidRPr="00D65692">
        <w:t>.</w:t>
      </w:r>
    </w:p>
    <w:p w:rsidR="00D932AA" w:rsidRPr="00D65692" w:rsidRDefault="00D932AA" w:rsidP="00D932AA">
      <w:pPr>
        <w:pStyle w:val="NormalHanging12a"/>
        <w:widowControl/>
      </w:pPr>
      <w:r w:rsidRPr="00D65692">
        <w:t>W.</w:t>
      </w:r>
      <w:r w:rsidRPr="00D65692">
        <w:tab/>
        <w:t>Det finns allt fler belägg för att användningen av tiakloprid har en förödande inverkan på den biologiska mångfalden, särskilt bin och andra pollinatörer</w:t>
      </w:r>
      <w:r w:rsidRPr="00D65692">
        <w:rPr>
          <w:rStyle w:val="FootnoteReference"/>
          <w:szCs w:val="24"/>
        </w:rPr>
        <w:footnoteReference w:id="23"/>
      </w:r>
      <w:r w:rsidRPr="00D65692">
        <w:t>.</w:t>
      </w:r>
    </w:p>
    <w:p w:rsidR="00D932AA" w:rsidRPr="00D65692" w:rsidRDefault="00D932AA" w:rsidP="00D932AA">
      <w:pPr>
        <w:pStyle w:val="NormalHanging12a"/>
      </w:pPr>
      <w:r w:rsidRPr="00D65692">
        <w:t>X.</w:t>
      </w:r>
      <w:r w:rsidRPr="00D65692">
        <w:tab/>
        <w:t>I sin rapport om att inte godkänna en förnyelse av den 22 oktober 2019</w:t>
      </w:r>
      <w:r w:rsidRPr="00D65692">
        <w:rPr>
          <w:rStyle w:val="FootnoteReference"/>
        </w:rPr>
        <w:footnoteReference w:id="24"/>
      </w:r>
      <w:r w:rsidRPr="00D65692">
        <w:t xml:space="preserve"> konstaterade Efsa att den tillgängliga informationen inte är tillräcklig för att uppfylla kraven i artikel 4.1–4.3 i förordning (EG) nr 1107/2009 och i synnerhet att riskbedömningen för bin inte kunde slutföras.</w:t>
      </w:r>
    </w:p>
    <w:p w:rsidR="00D932AA" w:rsidRPr="00D65692" w:rsidRDefault="00D932AA" w:rsidP="00D932AA">
      <w:pPr>
        <w:pStyle w:val="NormalHanging12a"/>
      </w:pPr>
      <w:r w:rsidRPr="00D65692">
        <w:t>Y.</w:t>
      </w:r>
      <w:r w:rsidRPr="00D65692">
        <w:tab/>
        <w:t>Tiakloprid bör därför omfattas av samma resonemang och regler som gällde för klotianidin och tiametoxam.</w:t>
      </w:r>
    </w:p>
    <w:p w:rsidR="00D932AA" w:rsidRPr="00D65692" w:rsidRDefault="00D932AA" w:rsidP="00D932AA">
      <w:pPr>
        <w:pStyle w:val="NormalHanging12a"/>
      </w:pPr>
      <w:r w:rsidRPr="00D65692">
        <w:t>Z.</w:t>
      </w:r>
      <w:r w:rsidRPr="00D65692">
        <w:tab/>
        <w:t>Kommissionen måste skydda miljön och unionsmedborgarna på grundval av tillgänglig vetenskaplig information, med hjälp av de skyldigheter och rättsliga möjligheter som förordning (EG) nr 396/2005 och förordning (EG) nr 178/2002 föreskriver för att säkerställa en hög skyddsnivå för människors och djurs hälsa samt för miljön.</w:t>
      </w:r>
    </w:p>
    <w:p w:rsidR="00D932AA" w:rsidRPr="00D65692" w:rsidRDefault="00D932AA" w:rsidP="00D932AA">
      <w:pPr>
        <w:pStyle w:val="NormalHanging12a"/>
      </w:pPr>
      <w:r w:rsidRPr="00D65692">
        <w:t>AA.</w:t>
      </w:r>
      <w:r w:rsidRPr="00D65692">
        <w:tab/>
        <w:t>De föreslagna gränsvärdena skyddar inte unionsmedborgarnas hälsa och säkerställer inte en hög skyddsnivå för bin och andra pollinatörer, vilket strider mot förordningarna (EG) nr 396/2005 och (EG) nr 178/2002.</w:t>
      </w:r>
    </w:p>
    <w:p w:rsidR="00D932AA" w:rsidRPr="00D65692" w:rsidRDefault="00D932AA" w:rsidP="00D932AA">
      <w:pPr>
        <w:pStyle w:val="NormalHanging12a"/>
      </w:pPr>
      <w:r w:rsidRPr="00D65692">
        <w:t>AB.</w:t>
      </w:r>
      <w:r w:rsidRPr="00D65692">
        <w:tab/>
        <w:t xml:space="preserve">Gränsvärden bör inte fastställas för verksamma ämnen som inte är godkända i unionen på grund av hälsofrågor. Därför bör inga importtoleranser fastställas för tiakloprid eftersom det klassificeras som reproduktionstoxiskt i kategori 1B. Dessutom borde klassificeringen av tiakloprid som reproduktionstoxiskt i kategori 1B ha varit ett tillräckligt skäl för att kommissionen skulle ha avslagit begärandena om importtoleranser med hänvisning till hälsoriskerna för medborgare i tredjeländer. </w:t>
      </w:r>
    </w:p>
    <w:p w:rsidR="00D932AA" w:rsidRPr="00D65692" w:rsidRDefault="00D932AA" w:rsidP="00D932AA">
      <w:pPr>
        <w:pStyle w:val="NormalHanging12a"/>
      </w:pPr>
      <w:r w:rsidRPr="00D65692">
        <w:t>1.</w:t>
      </w:r>
      <w:r w:rsidRPr="00D65692">
        <w:tab/>
        <w:t>Europaparlamentet motsätter sig antagandet av förslaget till rådets förordning.</w:t>
      </w:r>
    </w:p>
    <w:p w:rsidR="00D932AA" w:rsidRPr="00D65692" w:rsidRDefault="00D932AA" w:rsidP="00D932AA">
      <w:pPr>
        <w:pStyle w:val="NormalHanging12a"/>
      </w:pPr>
      <w:r w:rsidRPr="00D65692">
        <w:t>2.</w:t>
      </w:r>
      <w:r w:rsidRPr="00D65692">
        <w:tab/>
        <w:t>Europaparlamentet anser inte att förslaget till rådets förordning är förenligt med syftet med och innehållet i förordningarna (EG) nr 396/2005 och (EG) nr 178/2002 samt med förordning (EG) nr 1107/2009, inbegripet punkt 3.6.4 i bilaga II till den förordningen.</w:t>
      </w:r>
    </w:p>
    <w:p w:rsidR="00D932AA" w:rsidRPr="00D65692" w:rsidRDefault="00D932AA" w:rsidP="00D932AA">
      <w:pPr>
        <w:pStyle w:val="NormalHanging12a"/>
      </w:pPr>
      <w:r w:rsidRPr="00D65692">
        <w:t>3.</w:t>
      </w:r>
      <w:r w:rsidRPr="00D65692">
        <w:tab/>
        <w:t>Europaparlamentet uppmanar kommissionen att dra tillbaka förslaget till förordning.</w:t>
      </w:r>
    </w:p>
    <w:p w:rsidR="00D932AA" w:rsidRPr="00D65692" w:rsidRDefault="00D932AA" w:rsidP="00D932AA">
      <w:pPr>
        <w:pStyle w:val="NormalHanging12a"/>
        <w:widowControl/>
      </w:pPr>
      <w:r w:rsidRPr="00D65692">
        <w:t>4.</w:t>
      </w:r>
      <w:r w:rsidRPr="00D65692">
        <w:tab/>
        <w:t>Europaparlamentet uppmanar kommissionen att lägga fram ett nytt förslag för kommittén om att sänka alla gränsvärden för tiakloprid till bestämningsgränsen för alla användningsområden och att avslå alla ansökningar om importtoleranser.</w:t>
      </w:r>
    </w:p>
    <w:p w:rsidR="00D932AA" w:rsidRPr="00D65692" w:rsidRDefault="00D932AA" w:rsidP="00D932AA">
      <w:pPr>
        <w:pStyle w:val="NormalHanging12a"/>
      </w:pPr>
      <w:r w:rsidRPr="00D65692">
        <w:t>5.</w:t>
      </w:r>
      <w:r w:rsidRPr="00D65692">
        <w:tab/>
        <w:t>Europaparlamentet uppdrar åt talmannen att översända denna resolution till rådet och kommissionen samt till medlemsstaternas regeringar och parlament.</w:t>
      </w:r>
    </w:p>
    <w:p w:rsidR="00E365E1" w:rsidRPr="00D65692" w:rsidRDefault="00E365E1" w:rsidP="00670D0E">
      <w:bookmarkStart w:id="8" w:name="TextBodyEnd"/>
      <w:bookmarkEnd w:id="8"/>
    </w:p>
    <w:sectPr w:rsidR="00E365E1" w:rsidRPr="00D65692" w:rsidSect="00D656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D0E" w:rsidRPr="00D65692" w:rsidRDefault="00670D0E">
      <w:r w:rsidRPr="00D65692">
        <w:separator/>
      </w:r>
    </w:p>
  </w:endnote>
  <w:endnote w:type="continuationSeparator" w:id="0">
    <w:p w:rsidR="00670D0E" w:rsidRPr="00D65692" w:rsidRDefault="00670D0E">
      <w:r w:rsidRPr="00D656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6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6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6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D0E" w:rsidRPr="00D65692" w:rsidRDefault="00670D0E">
      <w:r w:rsidRPr="00D65692">
        <w:separator/>
      </w:r>
    </w:p>
  </w:footnote>
  <w:footnote w:type="continuationSeparator" w:id="0">
    <w:p w:rsidR="00670D0E" w:rsidRPr="00D65692" w:rsidRDefault="00670D0E">
      <w:r w:rsidRPr="00D65692">
        <w:continuationSeparator/>
      </w:r>
    </w:p>
  </w:footnote>
  <w:footnote w:id="1">
    <w:p w:rsidR="00D932AA" w:rsidRPr="00DC2687" w:rsidRDefault="00D932AA" w:rsidP="00D65692">
      <w:pPr>
        <w:pStyle w:val="FootnoteText"/>
        <w:ind w:left="567" w:hanging="567"/>
        <w:rPr>
          <w:sz w:val="24"/>
        </w:rPr>
      </w:pPr>
      <w:r w:rsidRPr="00D65692">
        <w:rPr>
          <w:rStyle w:val="FootnoteReference"/>
          <w:sz w:val="24"/>
          <w:lang w:val="sv-SE"/>
        </w:rPr>
        <w:footnoteRef/>
      </w:r>
      <w:r w:rsidR="00D65692" w:rsidRPr="00DC2687">
        <w:rPr>
          <w:sz w:val="24"/>
        </w:rPr>
        <w:t xml:space="preserve"> </w:t>
      </w:r>
      <w:r w:rsidR="00D65692" w:rsidRPr="00DC2687">
        <w:rPr>
          <w:sz w:val="24"/>
        </w:rPr>
        <w:tab/>
      </w:r>
      <w:r w:rsidRPr="00DC2687">
        <w:rPr>
          <w:sz w:val="24"/>
        </w:rPr>
        <w:t>EUT L 70, 16.3.2005, s. 1.</w:t>
      </w:r>
    </w:p>
  </w:footnote>
  <w:footnote w:id="2">
    <w:p w:rsidR="00D932AA" w:rsidRPr="00DC2687" w:rsidRDefault="00D932AA" w:rsidP="00D65692">
      <w:pPr>
        <w:pStyle w:val="FootnoteText"/>
        <w:ind w:left="567" w:hanging="567"/>
        <w:rPr>
          <w:sz w:val="24"/>
        </w:rPr>
      </w:pPr>
      <w:r w:rsidRPr="00D65692">
        <w:rPr>
          <w:rStyle w:val="FootnoteReference"/>
          <w:sz w:val="24"/>
          <w:lang w:val="sv-SE"/>
        </w:rPr>
        <w:footnoteRef/>
      </w:r>
      <w:r w:rsidR="00D65692" w:rsidRPr="00DC2687">
        <w:rPr>
          <w:sz w:val="24"/>
        </w:rPr>
        <w:t xml:space="preserve"> </w:t>
      </w:r>
      <w:r w:rsidR="00D65692" w:rsidRPr="00DC2687">
        <w:rPr>
          <w:sz w:val="24"/>
        </w:rPr>
        <w:tab/>
      </w:r>
      <w:r w:rsidRPr="00DC2687">
        <w:rPr>
          <w:sz w:val="24"/>
        </w:rPr>
        <w:t>EUT L 309, 24.11.2009, s. 1.</w:t>
      </w:r>
    </w:p>
  </w:footnote>
  <w:footnote w:id="3">
    <w:p w:rsidR="00D932AA" w:rsidRPr="00DC2687" w:rsidRDefault="00D932AA" w:rsidP="00D65692">
      <w:pPr>
        <w:pStyle w:val="FootnoteText"/>
        <w:ind w:left="567" w:hanging="567"/>
        <w:rPr>
          <w:sz w:val="24"/>
          <w:lang w:val="en-GB"/>
        </w:rPr>
      </w:pPr>
      <w:r w:rsidRPr="00D65692">
        <w:rPr>
          <w:rStyle w:val="FootnoteReference"/>
          <w:sz w:val="24"/>
          <w:lang w:val="sv-SE"/>
        </w:rPr>
        <w:footnoteRef/>
      </w:r>
      <w:r w:rsidR="00D65692" w:rsidRPr="00DC2687">
        <w:rPr>
          <w:sz w:val="24"/>
          <w:lang w:val="en-GB"/>
        </w:rPr>
        <w:t xml:space="preserve"> </w:t>
      </w:r>
      <w:r w:rsidR="00D65692" w:rsidRPr="00DC2687">
        <w:rPr>
          <w:sz w:val="24"/>
          <w:lang w:val="en-GB"/>
        </w:rPr>
        <w:tab/>
      </w:r>
      <w:r w:rsidRPr="00DC2687">
        <w:rPr>
          <w:sz w:val="24"/>
          <w:lang w:val="en-GB"/>
        </w:rPr>
        <w:t>EGT L 31, 1.2.2002, s. 1.</w:t>
      </w:r>
    </w:p>
  </w:footnote>
  <w:footnote w:id="4">
    <w:p w:rsidR="00D932AA" w:rsidRPr="00DC2687" w:rsidRDefault="00D932AA" w:rsidP="00D65692">
      <w:pPr>
        <w:pStyle w:val="FootnoteText"/>
        <w:ind w:left="567" w:hanging="567"/>
        <w:rPr>
          <w:sz w:val="24"/>
          <w:lang w:val="en-GB"/>
        </w:rPr>
      </w:pPr>
      <w:r w:rsidRPr="00D65692">
        <w:rPr>
          <w:rStyle w:val="FootnoteReference"/>
          <w:sz w:val="24"/>
          <w:lang w:val="sv-SE"/>
        </w:rPr>
        <w:footnoteRef/>
      </w:r>
      <w:r w:rsidR="00D65692" w:rsidRPr="00DC2687">
        <w:rPr>
          <w:sz w:val="24"/>
          <w:lang w:val="en-GB"/>
        </w:rPr>
        <w:t xml:space="preserve"> </w:t>
      </w:r>
      <w:r w:rsidR="00D65692" w:rsidRPr="00DC2687">
        <w:rPr>
          <w:sz w:val="24"/>
          <w:lang w:val="en-GB"/>
        </w:rPr>
        <w:tab/>
      </w:r>
      <w:r w:rsidRPr="00DC2687">
        <w:rPr>
          <w:sz w:val="24"/>
          <w:lang w:val="en-GB"/>
        </w:rPr>
        <w:t xml:space="preserve">Efsa, </w:t>
      </w:r>
      <w:r w:rsidRPr="00DC2687">
        <w:rPr>
          <w:i/>
          <w:iCs/>
          <w:sz w:val="24"/>
          <w:lang w:val="en-GB"/>
        </w:rPr>
        <w:t>Statement on the short-term (acute) dietary risk assessment and evaluation of confirmatory data for certain maximum residue levels (MRLs) for thiacloprid</w:t>
      </w:r>
      <w:r w:rsidRPr="00DC2687">
        <w:rPr>
          <w:sz w:val="24"/>
          <w:lang w:val="en-GB"/>
        </w:rPr>
        <w:t xml:space="preserve">, EFSA Journal 2023;21(3):7888, </w:t>
      </w:r>
      <w:hyperlink r:id="rId1" w:history="1">
        <w:r w:rsidRPr="00DC2687">
          <w:rPr>
            <w:rStyle w:val="Hyperlink"/>
            <w:sz w:val="24"/>
            <w:lang w:val="en-GB"/>
          </w:rPr>
          <w:t>https://doi.org/10.2903/j.efsa.2023.7888</w:t>
        </w:r>
      </w:hyperlink>
      <w:r w:rsidRPr="00DC2687">
        <w:rPr>
          <w:sz w:val="24"/>
          <w:lang w:val="en-GB"/>
        </w:rPr>
        <w:t>.</w:t>
      </w:r>
    </w:p>
  </w:footnote>
  <w:footnote w:id="5">
    <w:p w:rsidR="00D932AA" w:rsidRPr="00DC2687" w:rsidRDefault="00D932AA" w:rsidP="00D65692">
      <w:pPr>
        <w:pStyle w:val="FootnoteText"/>
        <w:ind w:left="567" w:hanging="567"/>
        <w:rPr>
          <w:sz w:val="24"/>
          <w:szCs w:val="22"/>
          <w:lang w:val="en-GB"/>
        </w:rPr>
      </w:pPr>
      <w:r w:rsidRPr="00D65692">
        <w:rPr>
          <w:rStyle w:val="FootnoteReference"/>
          <w:sz w:val="24"/>
          <w:lang w:val="sv-SE"/>
        </w:rPr>
        <w:footnoteRef/>
      </w:r>
      <w:r w:rsidR="00D65692" w:rsidRPr="00DC2687">
        <w:rPr>
          <w:sz w:val="24"/>
          <w:lang w:val="en-GB"/>
        </w:rPr>
        <w:t xml:space="preserve"> </w:t>
      </w:r>
      <w:r w:rsidR="00D65692" w:rsidRPr="00DC2687">
        <w:rPr>
          <w:sz w:val="24"/>
          <w:lang w:val="en-GB"/>
        </w:rPr>
        <w:tab/>
      </w:r>
      <w:r w:rsidRPr="00DC2687">
        <w:rPr>
          <w:sz w:val="24"/>
          <w:lang w:val="en-GB"/>
        </w:rPr>
        <w:t xml:space="preserve">Efsa, </w:t>
      </w:r>
      <w:r w:rsidRPr="00DC2687">
        <w:rPr>
          <w:i/>
          <w:iCs/>
          <w:sz w:val="24"/>
          <w:lang w:val="en-GB"/>
        </w:rPr>
        <w:t>Conclusion on the peer review of the pesticide risk assessment of the active substance thiacloprid</w:t>
      </w:r>
      <w:r w:rsidRPr="00DC2687">
        <w:rPr>
          <w:sz w:val="24"/>
          <w:lang w:val="en-GB"/>
        </w:rPr>
        <w:t xml:space="preserve">, EFSA Journal 2019;17(3):5595, </w:t>
      </w:r>
      <w:hyperlink r:id="rId2" w:history="1">
        <w:r w:rsidRPr="00DC2687">
          <w:rPr>
            <w:rStyle w:val="Hyperlink"/>
            <w:sz w:val="24"/>
            <w:lang w:val="en-GB"/>
          </w:rPr>
          <w:t>https://doi.org/10.2903/j.efsa.2019.5595</w:t>
        </w:r>
      </w:hyperlink>
      <w:r w:rsidRPr="00DC2687">
        <w:rPr>
          <w:sz w:val="24"/>
          <w:lang w:val="en-GB"/>
        </w:rPr>
        <w:t>.</w:t>
      </w:r>
    </w:p>
  </w:footnote>
  <w:footnote w:id="6">
    <w:p w:rsidR="00D932AA" w:rsidRPr="00DC2687" w:rsidRDefault="00D932AA" w:rsidP="00D65692">
      <w:pPr>
        <w:pStyle w:val="FootnoteText"/>
        <w:ind w:left="567" w:hanging="567"/>
        <w:rPr>
          <w:sz w:val="24"/>
          <w:lang w:val="en-GB"/>
        </w:rPr>
      </w:pPr>
      <w:r w:rsidRPr="00D65692">
        <w:rPr>
          <w:rStyle w:val="FootnoteReference"/>
          <w:sz w:val="24"/>
          <w:lang w:val="sv-SE"/>
        </w:rPr>
        <w:footnoteRef/>
      </w:r>
      <w:r w:rsidR="00D65692" w:rsidRPr="00DC2687">
        <w:rPr>
          <w:sz w:val="24"/>
          <w:lang w:val="en-GB"/>
        </w:rPr>
        <w:t xml:space="preserve"> </w:t>
      </w:r>
      <w:r w:rsidR="00D65692" w:rsidRPr="00DC2687">
        <w:rPr>
          <w:sz w:val="24"/>
          <w:lang w:val="en-GB"/>
        </w:rPr>
        <w:tab/>
      </w:r>
      <w:r w:rsidRPr="00DC2687">
        <w:rPr>
          <w:sz w:val="24"/>
          <w:lang w:val="en-GB"/>
        </w:rPr>
        <w:t xml:space="preserve">Riskbedömningskommitténs yttrande med förslag till harmoniserad klassificering och märkning på EU-nivå av tiakloprid (ISO), {(2Z)-3-[(6-kloropyridin-3-yl)metyl]-1,3-tiazolidin-2-yliden}cyanamid, </w:t>
      </w:r>
      <w:hyperlink r:id="rId3" w:history="1">
        <w:r w:rsidRPr="00DC2687">
          <w:rPr>
            <w:rStyle w:val="Hyperlink"/>
            <w:sz w:val="24"/>
            <w:lang w:val="en-GB"/>
          </w:rPr>
          <w:t>https://echa.europa.eu/sv/registry-of-clh-intentions-until-outcome/-/dislist/details/0b0236e180638ff8</w:t>
        </w:r>
      </w:hyperlink>
      <w:r w:rsidRPr="00DC2687">
        <w:rPr>
          <w:sz w:val="24"/>
          <w:lang w:val="en-GB"/>
        </w:rPr>
        <w:t>.</w:t>
      </w:r>
    </w:p>
  </w:footnote>
  <w:footnote w:id="7">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EGT L 184, 17.7.1999, s. 23.</w:t>
      </w:r>
    </w:p>
  </w:footnote>
  <w:footnote w:id="8">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Kommissionens genomförandeförordning (EU) 2020/23 av den 13 januari 2020 om att inte förnya godkännandet av det verksamma ämnet tiakloprid i enlighet med Europaparlamentets och rådets förordning (EG) nr 1107/2009 om utsläppande av växtskyddsmedel på marknaden, och om ändring av bilagan till kommissionens genomförandeförordning (EU) nr 540/2011 (EUT L 8, 14.1.2020, s. 8).</w:t>
      </w:r>
    </w:p>
  </w:footnote>
  <w:footnote w:id="9">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Efsas slutsats av den 17 januari 2019.</w:t>
      </w:r>
    </w:p>
  </w:footnote>
  <w:footnote w:id="10">
    <w:p w:rsidR="00D932AA" w:rsidRPr="00D65692" w:rsidRDefault="00D932AA" w:rsidP="00D65692">
      <w:pPr>
        <w:pStyle w:val="FootnoteText"/>
        <w:ind w:left="567" w:hanging="567"/>
        <w:rPr>
          <w:sz w:val="24"/>
          <w:szCs w:val="22"/>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1">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 xml:space="preserve">Sammanfattande rapport av sammanträdet för den ständiga kommittén för växter, djur, livsmedel och foder den 18–19 september 2023, </w:t>
      </w:r>
      <w:hyperlink r:id="rId4" w:history="1">
        <w:r w:rsidR="00DC2687" w:rsidRPr="00DD7265">
          <w:rPr>
            <w:rStyle w:val="Hyperlink"/>
            <w:sz w:val="24"/>
            <w:lang w:val="sv-SE"/>
          </w:rPr>
          <w:t>https://ec.europa.eu/transparency/comitology-register/screen/documents/092486/</w:t>
        </w:r>
        <w:r w:rsidR="00DC2687" w:rsidRPr="00DD7265">
          <w:rPr>
            <w:rStyle w:val="Hyperlink"/>
            <w:sz w:val="24"/>
            <w:lang w:val="sv-SE"/>
          </w:rPr>
          <w:br/>
          <w:t>1/consult?lang=en</w:t>
        </w:r>
      </w:hyperlink>
      <w:r w:rsidRPr="00D65692">
        <w:rPr>
          <w:sz w:val="24"/>
          <w:lang w:val="sv-SE"/>
        </w:rPr>
        <w:t>.</w:t>
      </w:r>
    </w:p>
  </w:footnote>
  <w:footnote w:id="12">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Ibid.</w:t>
      </w:r>
    </w:p>
  </w:footnote>
  <w:footnote w:id="13">
    <w:p w:rsidR="00D932AA" w:rsidRPr="00D65692" w:rsidRDefault="00D932AA" w:rsidP="00D65692">
      <w:pPr>
        <w:pStyle w:val="FootnoteText"/>
        <w:ind w:left="567" w:hanging="567"/>
        <w:rPr>
          <w:sz w:val="24"/>
          <w:szCs w:val="22"/>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Efsas motiverade yttrande av den 9 februari 2023.</w:t>
      </w:r>
    </w:p>
  </w:footnote>
  <w:footnote w:id="14">
    <w:p w:rsidR="00D932AA" w:rsidRPr="00DC2687" w:rsidRDefault="00D932AA" w:rsidP="00D65692">
      <w:pPr>
        <w:pStyle w:val="FootnoteText"/>
        <w:ind w:left="567" w:hanging="567"/>
        <w:rPr>
          <w:sz w:val="24"/>
          <w:szCs w:val="22"/>
          <w:lang w:val="en-GB"/>
        </w:rPr>
      </w:pPr>
      <w:r w:rsidRPr="00D65692">
        <w:rPr>
          <w:rStyle w:val="FootnoteReference"/>
          <w:sz w:val="24"/>
          <w:szCs w:val="22"/>
          <w:lang w:val="sv-SE"/>
        </w:rPr>
        <w:footnoteRef/>
      </w:r>
      <w:r w:rsidR="00D65692" w:rsidRPr="00DC2687">
        <w:rPr>
          <w:sz w:val="24"/>
          <w:lang w:val="en-GB"/>
        </w:rPr>
        <w:t xml:space="preserve"> </w:t>
      </w:r>
      <w:r w:rsidR="00D65692" w:rsidRPr="00DC2687">
        <w:rPr>
          <w:sz w:val="24"/>
          <w:lang w:val="en-GB"/>
        </w:rPr>
        <w:tab/>
      </w:r>
      <w:r w:rsidRPr="00DC2687">
        <w:rPr>
          <w:sz w:val="24"/>
          <w:lang w:val="en-GB"/>
        </w:rPr>
        <w:t xml:space="preserve">van der Sluijs, J.P., Vaage, N.S., </w:t>
      </w:r>
      <w:r w:rsidRPr="00DC2687">
        <w:rPr>
          <w:i/>
          <w:iCs/>
          <w:sz w:val="24"/>
          <w:lang w:val="en-GB"/>
        </w:rPr>
        <w:t>Pollinators and Global Food Security:</w:t>
      </w:r>
      <w:r w:rsidRPr="00DC2687">
        <w:rPr>
          <w:sz w:val="24"/>
          <w:lang w:val="en-GB"/>
        </w:rPr>
        <w:t xml:space="preserve"> </w:t>
      </w:r>
      <w:r w:rsidRPr="00DC2687">
        <w:rPr>
          <w:i/>
          <w:iCs/>
          <w:sz w:val="24"/>
          <w:lang w:val="en-GB"/>
        </w:rPr>
        <w:t>the Need for Holistic Global Stewardship</w:t>
      </w:r>
      <w:r w:rsidRPr="00DC2687">
        <w:rPr>
          <w:sz w:val="24"/>
          <w:lang w:val="en-GB"/>
        </w:rPr>
        <w:t xml:space="preserve">, Food ethics 1, 75–91 (2016), </w:t>
      </w:r>
      <w:hyperlink r:id="rId5" w:history="1">
        <w:r w:rsidRPr="00DC2687">
          <w:rPr>
            <w:rStyle w:val="Hyperlink"/>
            <w:sz w:val="24"/>
            <w:lang w:val="en-GB"/>
          </w:rPr>
          <w:t>https://doi.org/10.1007/s41055-016-0003-z</w:t>
        </w:r>
      </w:hyperlink>
      <w:r w:rsidRPr="00DC2687">
        <w:rPr>
          <w:sz w:val="24"/>
          <w:lang w:val="en-GB"/>
        </w:rPr>
        <w:t>.</w:t>
      </w:r>
    </w:p>
  </w:footnote>
  <w:footnote w:id="15">
    <w:p w:rsidR="00D932AA" w:rsidRPr="00D65692" w:rsidRDefault="00D932AA" w:rsidP="00D65692">
      <w:pPr>
        <w:pStyle w:val="FootnoteText"/>
        <w:ind w:left="567" w:hanging="567"/>
        <w:rPr>
          <w:iCs/>
          <w:sz w:val="24"/>
          <w:lang w:val="sv-SE"/>
        </w:rPr>
      </w:pPr>
      <w:r w:rsidRPr="00D65692">
        <w:rPr>
          <w:iCs/>
          <w:sz w:val="24"/>
          <w:szCs w:val="22"/>
          <w:vertAlign w:val="superscript"/>
          <w:lang w:val="sv-SE"/>
        </w:rPr>
        <w:footnoteRef/>
      </w:r>
      <w:r w:rsidR="00D65692" w:rsidRPr="00D65692">
        <w:rPr>
          <w:sz w:val="24"/>
          <w:lang w:val="sv-SE"/>
        </w:rPr>
        <w:t xml:space="preserve"> </w:t>
      </w:r>
      <w:r w:rsidR="00D65692" w:rsidRPr="00D65692">
        <w:rPr>
          <w:sz w:val="24"/>
          <w:lang w:val="sv-SE"/>
        </w:rPr>
        <w:tab/>
      </w:r>
      <w:r w:rsidRPr="00D65692">
        <w:rPr>
          <w:sz w:val="24"/>
          <w:lang w:val="sv-SE"/>
        </w:rPr>
        <w:t>COM(2020)0381.</w:t>
      </w:r>
    </w:p>
  </w:footnote>
  <w:footnote w:id="16">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Kommissionens förordning (EU) 2023/334 av den 2 februari 2023 om ändring av bilagorna II och V till Europaparlamentets och rådets förordning (EG) nr 396/2005 vad gäller gränsvärden för klotianidin och tiametoxam i eller på vissa produkter (EUT L 47, 15.2.2023, s. 29).</w:t>
      </w:r>
    </w:p>
  </w:footnote>
  <w:footnote w:id="17">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Ibid.</w:t>
      </w:r>
    </w:p>
  </w:footnote>
  <w:footnote w:id="18">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 xml:space="preserve">Sammanfattande rapport av sammanträdet för den ständiga kommittén för växter, djur, livsmedel och foder den 10–11 maj 2023, </w:t>
      </w:r>
      <w:hyperlink r:id="rId6" w:history="1">
        <w:r w:rsidRPr="00D65692">
          <w:rPr>
            <w:rStyle w:val="Hyperlink"/>
            <w:sz w:val="24"/>
            <w:lang w:val="sv-SE"/>
          </w:rPr>
          <w:t>https://ec.europa.eu/transparency/comitology-register/screen/documents/090500/1/consult?lang=en</w:t>
        </w:r>
      </w:hyperlink>
      <w:r w:rsidRPr="00D65692">
        <w:rPr>
          <w:sz w:val="24"/>
          <w:lang w:val="sv-SE"/>
        </w:rPr>
        <w:t>.</w:t>
      </w:r>
    </w:p>
  </w:footnote>
  <w:footnote w:id="19">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 xml:space="preserve">Ellis, C., Park, K.J., Whitehorn, P., David, A., Goulson, D., </w:t>
      </w:r>
      <w:r w:rsidRPr="00D65692">
        <w:rPr>
          <w:i/>
          <w:iCs/>
          <w:sz w:val="24"/>
          <w:lang w:val="sv-SE"/>
        </w:rPr>
        <w:t>The Neonicotinoid Insecticide Thiacloprid Impacts upon Bumblebee Colony Development under Field Conditions</w:t>
      </w:r>
      <w:r w:rsidRPr="00D65692">
        <w:rPr>
          <w:sz w:val="24"/>
          <w:lang w:val="sv-SE"/>
        </w:rPr>
        <w:t xml:space="preserve">, Environmental Science &amp; Technology 2017, 51, 3, 1727–1732, </w:t>
      </w:r>
      <w:hyperlink r:id="rId7" w:history="1">
        <w:r w:rsidRPr="00D65692">
          <w:rPr>
            <w:rStyle w:val="Hyperlink"/>
            <w:sz w:val="24"/>
            <w:lang w:val="sv-SE"/>
          </w:rPr>
          <w:t>https://pubs.acs.org/doi/10.1021/acs.est.6b04791</w:t>
        </w:r>
      </w:hyperlink>
      <w:r w:rsidRPr="00D65692">
        <w:rPr>
          <w:sz w:val="24"/>
          <w:lang w:val="sv-SE"/>
        </w:rPr>
        <w:t>.</w:t>
      </w:r>
    </w:p>
  </w:footnote>
  <w:footnote w:id="20">
    <w:p w:rsidR="00D932AA" w:rsidRPr="00D65692" w:rsidRDefault="00D932AA" w:rsidP="00D65692">
      <w:pPr>
        <w:pStyle w:val="FootnoteText"/>
        <w:ind w:left="567" w:hanging="567"/>
        <w:rPr>
          <w:sz w:val="24"/>
          <w:szCs w:val="22"/>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Ibid.</w:t>
      </w:r>
    </w:p>
  </w:footnote>
  <w:footnote w:id="21">
    <w:p w:rsidR="00D932AA" w:rsidRPr="00D65692" w:rsidRDefault="00D932AA" w:rsidP="00D65692">
      <w:pPr>
        <w:pStyle w:val="FootnoteText"/>
        <w:ind w:left="567" w:hanging="567"/>
        <w:rPr>
          <w:sz w:val="24"/>
          <w:lang w:val="sv-SE"/>
        </w:rPr>
      </w:pPr>
      <w:r w:rsidRPr="00D65692">
        <w:rPr>
          <w:rStyle w:val="FootnoteReference"/>
          <w:sz w:val="24"/>
          <w:lang w:val="sv-SE"/>
        </w:rPr>
        <w:footnoteRef/>
      </w:r>
      <w:r w:rsidR="00D65692" w:rsidRPr="00D65692">
        <w:rPr>
          <w:sz w:val="24"/>
          <w:lang w:val="sv-SE"/>
        </w:rPr>
        <w:t xml:space="preserve"> </w:t>
      </w:r>
      <w:r w:rsidR="00D65692" w:rsidRPr="00D65692">
        <w:rPr>
          <w:sz w:val="24"/>
          <w:lang w:val="sv-SE"/>
        </w:rPr>
        <w:tab/>
      </w:r>
      <w:r w:rsidRPr="00D65692">
        <w:rPr>
          <w:sz w:val="24"/>
          <w:lang w:val="sv-SE"/>
        </w:rPr>
        <w:t xml:space="preserve">Brandt, A., Gorenflo, A., Siede, R., Meixner, M., Büchler, R., </w:t>
      </w:r>
      <w:r w:rsidRPr="00D65692">
        <w:rPr>
          <w:i/>
          <w:iCs/>
          <w:sz w:val="24"/>
          <w:lang w:val="sv-SE"/>
        </w:rPr>
        <w:t>The neonicotinoids thiacloprid, imidacloprid, and clothianidin affect the immunocompetence of honey bees (Apis mellifera L.)</w:t>
      </w:r>
      <w:r w:rsidRPr="00D65692">
        <w:rPr>
          <w:sz w:val="24"/>
          <w:lang w:val="sv-SE"/>
        </w:rPr>
        <w:t xml:space="preserve">, Journal of Insect Physiology, volym 86, mars 2016, s. 40–47, </w:t>
      </w:r>
      <w:hyperlink r:id="rId8" w:history="1">
        <w:r w:rsidRPr="00D65692">
          <w:rPr>
            <w:rStyle w:val="Hyperlink"/>
            <w:sz w:val="24"/>
            <w:lang w:val="sv-SE"/>
          </w:rPr>
          <w:t>https://www.sciencedirect.com/science/article/pii/S0022191016300014</w:t>
        </w:r>
      </w:hyperlink>
      <w:r w:rsidRPr="00D65692">
        <w:rPr>
          <w:sz w:val="24"/>
          <w:lang w:val="sv-SE"/>
        </w:rPr>
        <w:t>.</w:t>
      </w:r>
    </w:p>
  </w:footnote>
  <w:footnote w:id="22">
    <w:p w:rsidR="00D932AA" w:rsidRPr="00DC2687" w:rsidRDefault="00D932AA" w:rsidP="00D65692">
      <w:pPr>
        <w:pStyle w:val="FootnoteText"/>
        <w:keepNext/>
        <w:ind w:left="567" w:hanging="567"/>
        <w:rPr>
          <w:sz w:val="24"/>
          <w:szCs w:val="22"/>
          <w:lang w:val="en-GB"/>
        </w:rPr>
      </w:pPr>
      <w:r w:rsidRPr="00D65692">
        <w:rPr>
          <w:rStyle w:val="FootnoteReference"/>
          <w:sz w:val="24"/>
          <w:lang w:val="sv-SE"/>
        </w:rPr>
        <w:footnoteRef/>
      </w:r>
      <w:r w:rsidR="00D65692" w:rsidRPr="00DC2687">
        <w:rPr>
          <w:sz w:val="24"/>
          <w:lang w:val="en-GB"/>
        </w:rPr>
        <w:t xml:space="preserve"> </w:t>
      </w:r>
      <w:r w:rsidR="00D65692" w:rsidRPr="00DC2687">
        <w:rPr>
          <w:sz w:val="24"/>
          <w:lang w:val="en-GB"/>
        </w:rPr>
        <w:tab/>
      </w:r>
      <w:r w:rsidRPr="00DC2687">
        <w:rPr>
          <w:sz w:val="24"/>
          <w:lang w:val="en-GB"/>
        </w:rPr>
        <w:t xml:space="preserve">Tison, L., Hahn, M.-L., Holtz, S., Rößner A., Greggers, U., Bischoff, G. och Menzel, R., </w:t>
      </w:r>
      <w:r w:rsidRPr="00DC2687">
        <w:rPr>
          <w:i/>
          <w:iCs/>
          <w:sz w:val="24"/>
          <w:lang w:val="en-GB"/>
        </w:rPr>
        <w:t>Honey Bees’ Behavior Is Impaired by Chronic Exposure to the Neonicotinoid Thiacloprid in the Field</w:t>
      </w:r>
      <w:r w:rsidRPr="00DC2687">
        <w:rPr>
          <w:sz w:val="24"/>
          <w:lang w:val="en-GB"/>
        </w:rPr>
        <w:t xml:space="preserve">, Environmental Science &amp; Technology 2016, 50, 13, 7218–7227, </w:t>
      </w:r>
      <w:hyperlink r:id="rId9" w:history="1">
        <w:r w:rsidRPr="00DC2687">
          <w:rPr>
            <w:rStyle w:val="Hyperlink"/>
            <w:sz w:val="24"/>
            <w:lang w:val="en-GB"/>
          </w:rPr>
          <w:t>https://pubs.acs.org/doi/full/10.1021/acs.est.6b02658</w:t>
        </w:r>
      </w:hyperlink>
      <w:r w:rsidRPr="00DC2687">
        <w:rPr>
          <w:sz w:val="24"/>
          <w:lang w:val="en-GB"/>
        </w:rPr>
        <w:t xml:space="preserve">. </w:t>
      </w:r>
    </w:p>
  </w:footnote>
  <w:footnote w:id="23">
    <w:p w:rsidR="00D932AA" w:rsidRPr="00DC2687" w:rsidRDefault="00D932AA" w:rsidP="00D65692">
      <w:pPr>
        <w:pStyle w:val="FootnoteText"/>
        <w:ind w:left="567" w:hanging="567"/>
        <w:rPr>
          <w:iCs/>
          <w:sz w:val="24"/>
          <w:lang w:val="en-GB"/>
        </w:rPr>
      </w:pPr>
      <w:r w:rsidRPr="00D65692">
        <w:rPr>
          <w:iCs/>
          <w:sz w:val="24"/>
          <w:vertAlign w:val="superscript"/>
          <w:lang w:val="sv-SE"/>
        </w:rPr>
        <w:footnoteRef/>
      </w:r>
      <w:r w:rsidR="00D65692" w:rsidRPr="00DC2687">
        <w:rPr>
          <w:sz w:val="24"/>
          <w:lang w:val="en-GB"/>
        </w:rPr>
        <w:t xml:space="preserve"> </w:t>
      </w:r>
      <w:r w:rsidR="00D65692" w:rsidRPr="00DC2687">
        <w:rPr>
          <w:sz w:val="24"/>
          <w:lang w:val="en-GB"/>
        </w:rPr>
        <w:tab/>
      </w:r>
      <w:r w:rsidRPr="00DC2687">
        <w:rPr>
          <w:sz w:val="24"/>
          <w:lang w:val="en-GB"/>
        </w:rPr>
        <w:t xml:space="preserve">Pisa, L., Goulson, D., Yang, E.C., et al., </w:t>
      </w:r>
      <w:r w:rsidRPr="00DC2687">
        <w:rPr>
          <w:i/>
          <w:iCs/>
          <w:sz w:val="24"/>
          <w:lang w:val="en-GB"/>
        </w:rPr>
        <w:t>An update of the Worldwide Integrated Assessment (WIA) on systemic insecticides.</w:t>
      </w:r>
      <w:r w:rsidRPr="00DC2687">
        <w:rPr>
          <w:sz w:val="24"/>
          <w:lang w:val="en-GB"/>
        </w:rPr>
        <w:t xml:space="preserve"> Del 2: </w:t>
      </w:r>
      <w:r w:rsidRPr="00DC2687">
        <w:rPr>
          <w:i/>
          <w:iCs/>
          <w:sz w:val="24"/>
          <w:lang w:val="en-GB"/>
        </w:rPr>
        <w:t>impacts on organisms and ecosystems</w:t>
      </w:r>
      <w:r w:rsidRPr="00DC2687">
        <w:rPr>
          <w:sz w:val="24"/>
          <w:lang w:val="en-GB"/>
        </w:rPr>
        <w:t xml:space="preserve">, Environmental Science and Pollution Research 28, 11749–11797 (2021), </w:t>
      </w:r>
      <w:hyperlink r:id="rId10" w:history="1">
        <w:r w:rsidRPr="00DC2687">
          <w:rPr>
            <w:rStyle w:val="Hyperlink"/>
            <w:sz w:val="24"/>
            <w:lang w:val="en-GB"/>
          </w:rPr>
          <w:t>https://doi.org/10.1007/s11356-017-0341-3</w:t>
        </w:r>
      </w:hyperlink>
      <w:r w:rsidRPr="00DC2687">
        <w:rPr>
          <w:sz w:val="24"/>
          <w:lang w:val="en-GB"/>
        </w:rPr>
        <w:t>.</w:t>
      </w:r>
    </w:p>
  </w:footnote>
  <w:footnote w:id="24">
    <w:p w:rsidR="00D932AA" w:rsidRPr="00DC2687" w:rsidRDefault="00D932AA" w:rsidP="00D65692">
      <w:pPr>
        <w:pStyle w:val="FootnoteText"/>
        <w:ind w:left="567" w:hanging="567"/>
        <w:rPr>
          <w:sz w:val="24"/>
          <w:szCs w:val="22"/>
          <w:lang w:val="en-GB"/>
        </w:rPr>
      </w:pPr>
      <w:r w:rsidRPr="00D65692">
        <w:rPr>
          <w:rStyle w:val="FootnoteReference"/>
          <w:sz w:val="24"/>
          <w:lang w:val="sv-SE"/>
        </w:rPr>
        <w:footnoteRef/>
      </w:r>
      <w:r w:rsidR="00D65692" w:rsidRPr="00DC2687">
        <w:rPr>
          <w:sz w:val="24"/>
          <w:lang w:val="en-GB"/>
        </w:rPr>
        <w:t xml:space="preserve"> </w:t>
      </w:r>
      <w:r w:rsidR="00D65692" w:rsidRPr="00DC2687">
        <w:rPr>
          <w:sz w:val="24"/>
          <w:lang w:val="en-GB"/>
        </w:rPr>
        <w:tab/>
      </w:r>
      <w:hyperlink r:id="rId11" w:history="1">
        <w:r w:rsidRPr="00DC2687">
          <w:rPr>
            <w:rStyle w:val="Hyperlink"/>
            <w:sz w:val="24"/>
            <w:lang w:val="en-GB"/>
          </w:rPr>
          <w:t>https://ec.europa.eu/food/plant/pesticides/eu-pesticides-database/start/screen/active-substances/details/841</w:t>
        </w:r>
      </w:hyperlink>
      <w:r w:rsidRPr="00DC2687">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6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6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6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SV"/>
    <w:docVar w:name="dvnumam" w:val="0"/>
    <w:docVar w:name="dvpe" w:val="757.277"/>
    <w:docVar w:name="dvtitre" w:val="Europaparlamentets resolution av den xx xx 2024 om förslaget till rådets förordning om ändring av bilaga II till Europaparlamentets och rådets förordning (EG) nr 396/2005 vad gäller gränsvärden för tiakloprid i eller på vissa produkter(COM(2023)0739 – 2023/3005(RPS))"/>
  </w:docVars>
  <w:rsids>
    <w:rsidRoot w:val="00670D0E"/>
    <w:rsid w:val="00002272"/>
    <w:rsid w:val="00024DE4"/>
    <w:rsid w:val="00064002"/>
    <w:rsid w:val="000677B9"/>
    <w:rsid w:val="000831BA"/>
    <w:rsid w:val="000A42CC"/>
    <w:rsid w:val="000E7DD9"/>
    <w:rsid w:val="0010095E"/>
    <w:rsid w:val="00125B37"/>
    <w:rsid w:val="00187494"/>
    <w:rsid w:val="0019347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0D0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552"/>
    <w:rsid w:val="00B558F0"/>
    <w:rsid w:val="00BD48FE"/>
    <w:rsid w:val="00BD7BD8"/>
    <w:rsid w:val="00BE6ADC"/>
    <w:rsid w:val="00C05BFE"/>
    <w:rsid w:val="00C23CD4"/>
    <w:rsid w:val="00C61C0C"/>
    <w:rsid w:val="00C941CB"/>
    <w:rsid w:val="00CC2357"/>
    <w:rsid w:val="00CF071A"/>
    <w:rsid w:val="00D058B8"/>
    <w:rsid w:val="00D56C11"/>
    <w:rsid w:val="00D65692"/>
    <w:rsid w:val="00D834A0"/>
    <w:rsid w:val="00D872DF"/>
    <w:rsid w:val="00D91E21"/>
    <w:rsid w:val="00D932AA"/>
    <w:rsid w:val="00DA7FCD"/>
    <w:rsid w:val="00DC2687"/>
    <w:rsid w:val="00E365E1"/>
    <w:rsid w:val="00E820A4"/>
    <w:rsid w:val="00EB006A"/>
    <w:rsid w:val="00EB4772"/>
    <w:rsid w:val="00ED169E"/>
    <w:rsid w:val="00ED4235"/>
    <w:rsid w:val="00F04346"/>
    <w:rsid w:val="00F075DC"/>
    <w:rsid w:val="00F149E9"/>
    <w:rsid w:val="00F5134D"/>
    <w:rsid w:val="00F74202"/>
    <w:rsid w:val="00F83EE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DF8E1"/>
  <w15:chartTrackingRefBased/>
  <w15:docId w15:val="{5958EE75-9AC8-44F8-888A-5E7C516B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32AA"/>
    <w:pPr>
      <w:spacing w:before="480" w:after="240"/>
    </w:pPr>
  </w:style>
  <w:style w:type="paragraph" w:customStyle="1" w:styleId="NormalBold">
    <w:name w:val="NormalBold"/>
    <w:basedOn w:val="Normal"/>
    <w:rsid w:val="00D932AA"/>
    <w:rPr>
      <w:b/>
    </w:rPr>
  </w:style>
  <w:style w:type="paragraph" w:customStyle="1" w:styleId="NormalBold12a">
    <w:name w:val="NormalBold12a"/>
    <w:basedOn w:val="Normal"/>
    <w:rsid w:val="00D932AA"/>
    <w:pPr>
      <w:spacing w:after="240"/>
    </w:pPr>
    <w:rPr>
      <w:b/>
    </w:rPr>
  </w:style>
  <w:style w:type="paragraph" w:customStyle="1" w:styleId="NormalHanging12a">
    <w:name w:val="NormalHanging12a"/>
    <w:basedOn w:val="Normal"/>
    <w:rsid w:val="00D932AA"/>
    <w:pPr>
      <w:spacing w:after="240"/>
      <w:ind w:left="567" w:hanging="567"/>
    </w:pPr>
  </w:style>
  <w:style w:type="character" w:styleId="Hyperlink">
    <w:name w:val="Hyperlink"/>
    <w:basedOn w:val="DefaultParagraphFont"/>
    <w:uiPriority w:val="99"/>
    <w:unhideWhenUsed/>
    <w:rsid w:val="00D932AA"/>
    <w:rPr>
      <w:color w:val="0563C1" w:themeColor="hyperlink"/>
      <w:u w:val="single"/>
    </w:rPr>
  </w:style>
  <w:style w:type="paragraph" w:styleId="BalloonText">
    <w:name w:val="Balloon Text"/>
    <w:basedOn w:val="Normal"/>
    <w:link w:val="BalloonTextChar"/>
    <w:rsid w:val="00DC2687"/>
    <w:rPr>
      <w:rFonts w:ascii="Segoe UI" w:hAnsi="Segoe UI" w:cs="Segoe UI"/>
      <w:sz w:val="18"/>
      <w:szCs w:val="18"/>
    </w:rPr>
  </w:style>
  <w:style w:type="character" w:customStyle="1" w:styleId="BalloonTextChar">
    <w:name w:val="Balloon Text Char"/>
    <w:basedOn w:val="DefaultParagraphFont"/>
    <w:link w:val="BalloonText"/>
    <w:rsid w:val="00DC2687"/>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sv/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E41DC-2E58-4B82-A11C-5EACF0E9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2237</Words>
  <Characters>12753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2024-02-25T14:48:00Z</dcterms:created>
  <dcterms:modified xsi:type="dcterms:W3CDTF">2024-02-25T14:48:00Z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B9-0057/2024</vt:lpwstr>
  </property>
  <property fmtid="{D5CDD505-2E9C-101B-9397-08002B2CF9AE}" pid="4" name="&lt;Type&gt;">
    <vt:lpwstr>RR</vt:lpwstr>
  </property>
</Properties>
</file>