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1E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1E4A" w:rsidRDefault="008D6740" w:rsidP="0010095E">
            <w:pPr>
              <w:pStyle w:val="EPName"/>
            </w:pPr>
            <w:r w:rsidRPr="00011E4A">
              <w:t>Parlament Ewropew</w:t>
            </w:r>
          </w:p>
          <w:p w:rsidR="00751A4A" w:rsidRPr="00011E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1E4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11E4A" w:rsidRDefault="00187494" w:rsidP="0010095E">
            <w:pPr>
              <w:pStyle w:val="EPLogo"/>
            </w:pPr>
            <w:r w:rsidRPr="00011E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1E4A" w:rsidRDefault="00D058B8" w:rsidP="004C5D52">
      <w:pPr>
        <w:pStyle w:val="LineTop"/>
      </w:pPr>
    </w:p>
    <w:p w:rsidR="00680577" w:rsidRPr="00011E4A" w:rsidRDefault="008D6740" w:rsidP="00680577">
      <w:pPr>
        <w:pStyle w:val="EPBodyTA1"/>
      </w:pPr>
      <w:r w:rsidRPr="00011E4A">
        <w:t>TESTI ADOTTATI</w:t>
      </w:r>
    </w:p>
    <w:p w:rsidR="00D058B8" w:rsidRPr="00011E4A" w:rsidRDefault="00D058B8" w:rsidP="00D058B8">
      <w:pPr>
        <w:pStyle w:val="LineBottom"/>
      </w:pPr>
    </w:p>
    <w:p w:rsidR="008D6740" w:rsidRPr="00011E4A" w:rsidRDefault="008D6740" w:rsidP="008D6740">
      <w:pPr>
        <w:pStyle w:val="ATHeading1"/>
      </w:pPr>
      <w:bookmarkStart w:id="0" w:name="TANumber"/>
      <w:r w:rsidRPr="00011E4A">
        <w:t>P9_TA(2024)00</w:t>
      </w:r>
      <w:bookmarkEnd w:id="0"/>
      <w:r w:rsidR="00354851">
        <w:t>17</w:t>
      </w:r>
    </w:p>
    <w:p w:rsidR="008D6740" w:rsidRPr="00011E4A" w:rsidRDefault="00354851" w:rsidP="008D6740">
      <w:pPr>
        <w:pStyle w:val="ATHeading2"/>
      </w:pPr>
      <w:r w:rsidRPr="00354851">
        <w:t>Ftehim Qafas ta’ Sħubija Komprensiva u Kooperazzjoni KE-Indoneżja: adeżjoni tal-Kroazja mal-UE</w:t>
      </w:r>
    </w:p>
    <w:p w:rsidR="008D6740" w:rsidRPr="00011E4A" w:rsidRDefault="008D6740" w:rsidP="008D6740">
      <w:pPr>
        <w:rPr>
          <w:i/>
          <w:vanish/>
        </w:rPr>
      </w:pPr>
      <w:r w:rsidRPr="00011E4A">
        <w:rPr>
          <w:i/>
        </w:rPr>
        <w:fldChar w:fldCharType="begin"/>
      </w:r>
      <w:r w:rsidRPr="00011E4A">
        <w:rPr>
          <w:i/>
        </w:rPr>
        <w:instrText xml:space="preserve"> TC"(</w:instrText>
      </w:r>
      <w:bookmarkStart w:id="1" w:name="DocNumber"/>
      <w:r w:rsidRPr="00011E4A">
        <w:rPr>
          <w:i/>
        </w:rPr>
        <w:instrText>A9-0428/2023</w:instrText>
      </w:r>
      <w:bookmarkEnd w:id="1"/>
      <w:r w:rsidRPr="00011E4A">
        <w:rPr>
          <w:i/>
        </w:rPr>
        <w:instrText xml:space="preserve"> - </w:instrText>
      </w:r>
      <w:proofErr w:type="spellStart"/>
      <w:r w:rsidRPr="00011E4A">
        <w:rPr>
          <w:i/>
        </w:rPr>
        <w:instrText>Rapporteur</w:instrText>
      </w:r>
      <w:proofErr w:type="spellEnd"/>
      <w:r w:rsidRPr="00011E4A">
        <w:rPr>
          <w:i/>
        </w:rPr>
        <w:instrText xml:space="preserve">: </w:instrText>
      </w:r>
      <w:proofErr w:type="spellStart"/>
      <w:r w:rsidRPr="00011E4A">
        <w:rPr>
          <w:i/>
        </w:rPr>
        <w:instrText>Andrzej</w:instrText>
      </w:r>
      <w:proofErr w:type="spellEnd"/>
      <w:r w:rsidRPr="00011E4A">
        <w:rPr>
          <w:i/>
        </w:rPr>
        <w:instrText xml:space="preserve"> </w:instrText>
      </w:r>
      <w:proofErr w:type="spellStart"/>
      <w:r w:rsidRPr="00011E4A">
        <w:rPr>
          <w:i/>
        </w:rPr>
        <w:instrText>Halicki</w:instrText>
      </w:r>
      <w:proofErr w:type="spellEnd"/>
      <w:r w:rsidRPr="00011E4A">
        <w:rPr>
          <w:i/>
        </w:rPr>
        <w:instrText xml:space="preserve">)"\l3 \n&gt; \* MERGEFORMAT </w:instrText>
      </w:r>
      <w:r w:rsidRPr="00011E4A">
        <w:rPr>
          <w:i/>
        </w:rPr>
        <w:fldChar w:fldCharType="end"/>
      </w:r>
    </w:p>
    <w:p w:rsidR="008D6740" w:rsidRPr="00011E4A" w:rsidRDefault="008D6740" w:rsidP="008D6740">
      <w:pPr>
        <w:rPr>
          <w:vanish/>
        </w:rPr>
      </w:pPr>
      <w:bookmarkStart w:id="2" w:name="Commission"/>
      <w:r w:rsidRPr="00011E4A">
        <w:rPr>
          <w:vanish/>
        </w:rPr>
        <w:t>Kumitat għall-Affarijiet Barranin</w:t>
      </w:r>
      <w:bookmarkEnd w:id="2"/>
    </w:p>
    <w:p w:rsidR="008D6740" w:rsidRPr="00011E4A" w:rsidRDefault="008D6740" w:rsidP="008D6740">
      <w:pPr>
        <w:rPr>
          <w:vanish/>
        </w:rPr>
      </w:pPr>
      <w:bookmarkStart w:id="3" w:name="PE"/>
      <w:r w:rsidRPr="00011E4A">
        <w:rPr>
          <w:vanish/>
        </w:rPr>
        <w:t>PE754.733</w:t>
      </w:r>
      <w:bookmarkEnd w:id="3"/>
    </w:p>
    <w:p w:rsidR="008D6740" w:rsidRPr="00011E4A" w:rsidRDefault="008D6740" w:rsidP="008D6740">
      <w:pPr>
        <w:pStyle w:val="ATHeading3"/>
      </w:pPr>
      <w:bookmarkStart w:id="4" w:name="Sujet"/>
      <w:r w:rsidRPr="00011E4A">
        <w:t xml:space="preserve">Riżoluzzjoni </w:t>
      </w:r>
      <w:proofErr w:type="spellStart"/>
      <w:r w:rsidRPr="00011E4A">
        <w:t>leġiżlattiva</w:t>
      </w:r>
      <w:proofErr w:type="spellEnd"/>
      <w:r w:rsidR="00354851">
        <w:t xml:space="preserve"> tal-Parlament Ewropew tas-17 ta’ Jannar</w:t>
      </w:r>
      <w:r w:rsidRPr="00011E4A">
        <w:t xml:space="preserve"> 2024 dwar l-abbozz ta’ deċiżjoni tal-Kunsill dwar il-konklużjoni, f’isem l-Unjoni u l-Istati Membri tagħha, tal-Protokoll ta’ Adeżjoni għall-Ftehim Qafas ta’ Sħubija Komprensiva u Kooperazzjoni bejn il-K</w:t>
      </w:r>
      <w:bookmarkStart w:id="5" w:name="_GoBack"/>
      <w:bookmarkEnd w:id="5"/>
      <w:r w:rsidRPr="00011E4A">
        <w:t>omunità Ewropea u l-Istati Membri tagħha, minn naħa waħda, u r-Repubblika tal-Indoneżja, min-naħa l-oħra, biex jittieħed kont tal-adeżjoni tar-Repubblika tal-Kroazja mal-Unjoni Ewropea</w:t>
      </w:r>
      <w:bookmarkEnd w:id="4"/>
      <w:r w:rsidRPr="00011E4A">
        <w:t xml:space="preserve"> </w:t>
      </w:r>
      <w:bookmarkStart w:id="6" w:name="References"/>
      <w:r w:rsidRPr="00011E4A">
        <w:t>(12975/2014 – C9-0314/2023 – 2014/0220(NLE))</w:t>
      </w:r>
      <w:bookmarkEnd w:id="6"/>
    </w:p>
    <w:p w:rsidR="002D3E98" w:rsidRPr="00011E4A" w:rsidRDefault="002D3E98" w:rsidP="002D3E98">
      <w:pPr>
        <w:pStyle w:val="NormalBold"/>
      </w:pPr>
      <w:bookmarkStart w:id="7" w:name="TextBodyBegin"/>
      <w:bookmarkEnd w:id="7"/>
      <w:r w:rsidRPr="00011E4A">
        <w:t>(Approvazzjoni)</w:t>
      </w:r>
    </w:p>
    <w:p w:rsidR="002D3E98" w:rsidRPr="00011E4A" w:rsidRDefault="002D3E98" w:rsidP="002D3E98">
      <w:pPr>
        <w:pStyle w:val="EPComma"/>
      </w:pPr>
      <w:r w:rsidRPr="00011E4A">
        <w:rPr>
          <w:i/>
        </w:rPr>
        <w:t>Il-Parlament Ewropew</w:t>
      </w:r>
      <w:r w:rsidRPr="00011E4A">
        <w:t>,</w:t>
      </w:r>
    </w:p>
    <w:p w:rsidR="002D3E98" w:rsidRPr="00011E4A" w:rsidRDefault="002D3E98" w:rsidP="004C269F">
      <w:pPr>
        <w:pStyle w:val="NormalHanging12a"/>
        <w:widowControl/>
      </w:pPr>
      <w:r w:rsidRPr="00011E4A">
        <w:t>–</w:t>
      </w:r>
      <w:r w:rsidRPr="00011E4A">
        <w:tab/>
        <w:t xml:space="preserve">wara li </w:t>
      </w:r>
      <w:proofErr w:type="spellStart"/>
      <w:r w:rsidRPr="00011E4A">
        <w:t>kkunsidra</w:t>
      </w:r>
      <w:proofErr w:type="spellEnd"/>
      <w:r w:rsidRPr="00011E4A">
        <w:t xml:space="preserve"> l-abbozz ta’ deċiżjoni tal-Kunsill (12975/2014),</w:t>
      </w:r>
    </w:p>
    <w:p w:rsidR="002D3E98" w:rsidRPr="00011E4A" w:rsidRDefault="002D3E98" w:rsidP="004C269F">
      <w:pPr>
        <w:pStyle w:val="NormalHanging12a"/>
        <w:widowControl/>
      </w:pPr>
      <w:r w:rsidRPr="00011E4A">
        <w:t>–</w:t>
      </w:r>
      <w:r w:rsidRPr="00011E4A">
        <w:tab/>
        <w:t xml:space="preserve">wara li </w:t>
      </w:r>
      <w:proofErr w:type="spellStart"/>
      <w:r w:rsidRPr="00011E4A">
        <w:t>kkunsidra</w:t>
      </w:r>
      <w:proofErr w:type="spellEnd"/>
      <w:r w:rsidRPr="00011E4A">
        <w:t xml:space="preserve"> l-abbozz ta’ Protokoll ta’ Adeżjoni għall-Ftehim Qafas dwar Sħubija Komprensiva u Kooperazzjoni bejn il-Komunità Ewropea u l-Istati Membri tagħha, minn naħa waħda, u r-Repubblika tal-Indoneżja, min-naħa l-oħra, biex jittieħed kont tal-Adeżjoni tar-Repubblika tal-Kroazja mal-Unjoni Ewropea</w:t>
      </w:r>
      <w:r w:rsidRPr="00011E4A">
        <w:rPr>
          <w:rStyle w:val="FootnoteReference"/>
        </w:rPr>
        <w:footnoteReference w:id="1"/>
      </w:r>
      <w:r w:rsidRPr="00011E4A">
        <w:t>,</w:t>
      </w:r>
    </w:p>
    <w:p w:rsidR="002D3E98" w:rsidRPr="00011E4A" w:rsidRDefault="002D3E98" w:rsidP="004C269F">
      <w:pPr>
        <w:pStyle w:val="NormalHanging12a"/>
        <w:widowControl/>
      </w:pPr>
      <w:r w:rsidRPr="00011E4A">
        <w:t>–</w:t>
      </w:r>
      <w:r w:rsidRPr="00011E4A">
        <w:tab/>
        <w:t xml:space="preserve">wara li </w:t>
      </w:r>
      <w:proofErr w:type="spellStart"/>
      <w:r w:rsidRPr="00011E4A">
        <w:t>kkunsidra</w:t>
      </w:r>
      <w:proofErr w:type="spellEnd"/>
      <w:r w:rsidRPr="00011E4A">
        <w:t xml:space="preserve"> t-talba għal approvazzjoni ppreżentata mill-Kunsill skont l-Artikoli 207 u 209 u l-Artikolu 218(6), it-tieni </w:t>
      </w:r>
      <w:proofErr w:type="spellStart"/>
      <w:r w:rsidRPr="00011E4A">
        <w:t>subparagrafu</w:t>
      </w:r>
      <w:proofErr w:type="spellEnd"/>
      <w:r w:rsidRPr="00011E4A">
        <w:t>, il-punt (a) tat-Trattat dwar il-Funzjonament tal-Unjoni Ewropea (C9</w:t>
      </w:r>
      <w:r w:rsidRPr="00011E4A">
        <w:noBreakHyphen/>
        <w:t>0314/2023),</w:t>
      </w:r>
    </w:p>
    <w:p w:rsidR="002D3E98" w:rsidRPr="00011E4A" w:rsidRDefault="002D3E98" w:rsidP="004C269F">
      <w:pPr>
        <w:pStyle w:val="NormalHanging12a"/>
        <w:widowControl/>
      </w:pPr>
      <w:r w:rsidRPr="00011E4A">
        <w:t>–</w:t>
      </w:r>
      <w:r w:rsidRPr="00011E4A">
        <w:tab/>
        <w:t xml:space="preserve">wara li </w:t>
      </w:r>
      <w:proofErr w:type="spellStart"/>
      <w:r w:rsidRPr="00011E4A">
        <w:t>kkunsidra</w:t>
      </w:r>
      <w:proofErr w:type="spellEnd"/>
      <w:r w:rsidRPr="00011E4A">
        <w:t xml:space="preserve"> l-Artikolu 105(1) u (4) u l-Artikolu 114(7) tar-Regoli ta’ Proċedura tiegħu,</w:t>
      </w:r>
    </w:p>
    <w:p w:rsidR="002D3E98" w:rsidRPr="00011E4A" w:rsidRDefault="002D3E98" w:rsidP="004C269F">
      <w:pPr>
        <w:pStyle w:val="NormalHanging12a"/>
        <w:widowControl/>
      </w:pPr>
      <w:r w:rsidRPr="00011E4A">
        <w:t>–</w:t>
      </w:r>
      <w:r w:rsidRPr="00011E4A">
        <w:tab/>
        <w:t xml:space="preserve">wara li </w:t>
      </w:r>
      <w:proofErr w:type="spellStart"/>
      <w:r w:rsidRPr="00011E4A">
        <w:t>kkunsidra</w:t>
      </w:r>
      <w:proofErr w:type="spellEnd"/>
      <w:r w:rsidRPr="00011E4A">
        <w:t xml:space="preserve"> r-rakkomandazzjoni tal-Kumitat għall-Affarijiet Barranin (A9-0428/2023),</w:t>
      </w:r>
    </w:p>
    <w:p w:rsidR="002D3E98" w:rsidRPr="00011E4A" w:rsidRDefault="002D3E98" w:rsidP="004C269F">
      <w:pPr>
        <w:pStyle w:val="NormalHanging12a"/>
        <w:widowControl/>
      </w:pPr>
      <w:r w:rsidRPr="00011E4A">
        <w:t>1.</w:t>
      </w:r>
      <w:r w:rsidRPr="00011E4A">
        <w:tab/>
        <w:t>Jagħti l-approvazzjoni tiegħu għall-konklużjoni tal-protokoll;</w:t>
      </w:r>
    </w:p>
    <w:p w:rsidR="002D3E98" w:rsidRPr="00011E4A" w:rsidRDefault="002D3E98" w:rsidP="004C269F">
      <w:pPr>
        <w:pStyle w:val="NormalHanging12a"/>
        <w:widowControl/>
      </w:pPr>
      <w:r w:rsidRPr="00011E4A">
        <w:lastRenderedPageBreak/>
        <w:t>2.</w:t>
      </w:r>
      <w:r w:rsidRPr="00011E4A">
        <w:tab/>
        <w:t>Jagħti istruzzjonijiet lill-President tiegħu biex tgħaddi l-pożizzjoni tal-Parlament lill-Kunsill, lill-Kummissjoni, kif ukoll lill-gvernijiet u lill-parlamenti tal-Istati Membri u tar-Repubblika tal-Indoneżja.</w:t>
      </w:r>
    </w:p>
    <w:sectPr w:rsidR="002D3E98" w:rsidRPr="00011E4A" w:rsidSect="00011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740" w:rsidRPr="00011E4A" w:rsidRDefault="008D6740">
      <w:r w:rsidRPr="00011E4A">
        <w:separator/>
      </w:r>
    </w:p>
  </w:endnote>
  <w:endnote w:type="continuationSeparator" w:id="0">
    <w:p w:rsidR="008D6740" w:rsidRPr="00011E4A" w:rsidRDefault="008D6740">
      <w:r w:rsidRPr="00011E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1E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1E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1E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740" w:rsidRPr="00011E4A" w:rsidRDefault="008D6740">
      <w:r w:rsidRPr="00011E4A">
        <w:separator/>
      </w:r>
    </w:p>
  </w:footnote>
  <w:footnote w:type="continuationSeparator" w:id="0">
    <w:p w:rsidR="008D6740" w:rsidRPr="00011E4A" w:rsidRDefault="008D6740">
      <w:r w:rsidRPr="00011E4A">
        <w:continuationSeparator/>
      </w:r>
    </w:p>
  </w:footnote>
  <w:footnote w:id="1">
    <w:p w:rsidR="002D3E98" w:rsidRPr="00011E4A" w:rsidRDefault="002D3E98" w:rsidP="00011E4A">
      <w:pPr>
        <w:pStyle w:val="FootnoteText"/>
        <w:ind w:left="567" w:hanging="567"/>
        <w:rPr>
          <w:sz w:val="24"/>
          <w:lang w:val="mt-MT"/>
        </w:rPr>
      </w:pPr>
      <w:r w:rsidRPr="00011E4A">
        <w:rPr>
          <w:rStyle w:val="FootnoteReference"/>
          <w:sz w:val="24"/>
          <w:lang w:val="mt-MT"/>
        </w:rPr>
        <w:footnoteRef/>
      </w:r>
      <w:r w:rsidR="00011E4A" w:rsidRPr="00011E4A">
        <w:rPr>
          <w:sz w:val="24"/>
          <w:lang w:val="mt-MT"/>
        </w:rPr>
        <w:t xml:space="preserve"> </w:t>
      </w:r>
      <w:r w:rsidR="00011E4A" w:rsidRPr="00011E4A">
        <w:rPr>
          <w:sz w:val="24"/>
          <w:lang w:val="mt-MT"/>
        </w:rPr>
        <w:tab/>
      </w:r>
      <w:r w:rsidRPr="00011E4A">
        <w:rPr>
          <w:sz w:val="24"/>
          <w:lang w:val="mt-MT"/>
        </w:rPr>
        <w:t xml:space="preserve">ĠU L 218, 5.9.2023, p. 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1E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1E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1E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MT"/>
    <w:docVar w:name="dvnumam" w:val="0"/>
    <w:docVar w:name="dvpe" w:val="754.733"/>
    <w:docVar w:name="dvrapporteur" w:val="Rapporteur: "/>
    <w:docVar w:name="dvstar" w:val="***"/>
    <w:docVar w:name="dvtitre" w:val="Riżoluzzjoni leġiżlattiva tal-Parlament Ewropew ... 2024 dwar l-abbozz ta’ deċiżjoni tal-Kunsill dwar il-konklużjoni, f’isem l-Unjoni u l-Istati Membri tagħha, tal-Protokoll ta’ Adeżjoni għall-Ftehim Qafas ta’ Sħubija Komprensiva u Kooperazzjoni bejn il-Komunità Ewropea u l-Istati Membri tagħha, minn naħa waħda, u r-Repubblika tal-Indoneżja, min-naħa l-oħra, biex jittieħed kont tal-adeżjoni tar-Repubblika tal-Kroazja mal-Unjoni Ewropea(12975/2014 – C9-0314/2023 – 2014/0220(NLE))"/>
  </w:docVars>
  <w:rsids>
    <w:rsidRoot w:val="008D6740"/>
    <w:rsid w:val="00002272"/>
    <w:rsid w:val="00011E4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3E98"/>
    <w:rsid w:val="00343214"/>
    <w:rsid w:val="0035485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269F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74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0A31B"/>
  <w15:chartTrackingRefBased/>
  <w15:docId w15:val="{FD9925CD-07A0-490E-82A1-A5A1B371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3E98"/>
    <w:pPr>
      <w:spacing w:before="480" w:after="240"/>
    </w:pPr>
  </w:style>
  <w:style w:type="paragraph" w:customStyle="1" w:styleId="NormalBold">
    <w:name w:val="NormalBold"/>
    <w:basedOn w:val="Normal"/>
    <w:rsid w:val="002D3E98"/>
    <w:rPr>
      <w:b/>
    </w:rPr>
  </w:style>
  <w:style w:type="paragraph" w:customStyle="1" w:styleId="NormalHanging12a">
    <w:name w:val="NormalHanging12a"/>
    <w:basedOn w:val="Normal"/>
    <w:rsid w:val="002D3E9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93028-7DCD-4CAB-814E-C7A4927F4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199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2</cp:revision>
  <cp:lastPrinted>2004-11-19T15:42:00Z</cp:lastPrinted>
  <dcterms:created xsi:type="dcterms:W3CDTF">2024-01-17T12:28:00Z</dcterms:created>
  <dcterms:modified xsi:type="dcterms:W3CDTF">2024-01-17T12:28:00Z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