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1304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13049" w:rsidRDefault="00A23DCE" w:rsidP="0010095E">
            <w:pPr>
              <w:pStyle w:val="EPName"/>
            </w:pPr>
            <w:r w:rsidRPr="00513049">
              <w:t>Evropský parlament</w:t>
            </w:r>
          </w:p>
          <w:p w:rsidR="00751A4A" w:rsidRPr="0051304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13049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513049" w:rsidRDefault="00187494" w:rsidP="0010095E">
            <w:pPr>
              <w:pStyle w:val="EPLogo"/>
            </w:pPr>
            <w:r w:rsidRPr="0051304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13049" w:rsidRDefault="00D058B8" w:rsidP="004C5D52">
      <w:pPr>
        <w:pStyle w:val="LineTop"/>
      </w:pPr>
    </w:p>
    <w:p w:rsidR="00680577" w:rsidRPr="00513049" w:rsidRDefault="00A23DCE" w:rsidP="00680577">
      <w:pPr>
        <w:pStyle w:val="EPBodyTA1"/>
      </w:pPr>
      <w:r w:rsidRPr="00513049">
        <w:t>PŘIJATÉ TEXTY</w:t>
      </w:r>
    </w:p>
    <w:p w:rsidR="00D058B8" w:rsidRPr="00513049" w:rsidRDefault="00D058B8" w:rsidP="00D058B8">
      <w:pPr>
        <w:pStyle w:val="LineBottom"/>
      </w:pPr>
    </w:p>
    <w:p w:rsidR="00A23DCE" w:rsidRPr="00513049" w:rsidRDefault="00A23DCE" w:rsidP="00A23DCE">
      <w:pPr>
        <w:pStyle w:val="ATHeading1"/>
      </w:pPr>
      <w:bookmarkStart w:id="0" w:name="TANumber"/>
      <w:r w:rsidRPr="00513049">
        <w:t>P9_TA(202</w:t>
      </w:r>
      <w:r w:rsidR="00BE6194">
        <w:t>4</w:t>
      </w:r>
      <w:r w:rsidRPr="00513049">
        <w:t>)00</w:t>
      </w:r>
      <w:r w:rsidR="00A9740A">
        <w:t>18</w:t>
      </w:r>
      <w:bookmarkEnd w:id="0"/>
    </w:p>
    <w:p w:rsidR="00A23DCE" w:rsidRPr="00513049" w:rsidRDefault="00513049" w:rsidP="00A23DCE">
      <w:pPr>
        <w:pStyle w:val="ATHeading2"/>
      </w:pPr>
      <w:r w:rsidRPr="00513049">
        <w:t>Posílení postavení spotřebitelů pro ekologickou transformaci</w:t>
      </w:r>
    </w:p>
    <w:p w:rsidR="00A23DCE" w:rsidRPr="00513049" w:rsidRDefault="00A23DCE" w:rsidP="00A23DCE">
      <w:pPr>
        <w:rPr>
          <w:i/>
          <w:vanish/>
        </w:rPr>
      </w:pPr>
      <w:r w:rsidRPr="00513049">
        <w:rPr>
          <w:i/>
        </w:rPr>
        <w:fldChar w:fldCharType="begin"/>
      </w:r>
      <w:r w:rsidRPr="00513049">
        <w:rPr>
          <w:i/>
        </w:rPr>
        <w:instrText xml:space="preserve"> TC"(</w:instrText>
      </w:r>
      <w:bookmarkStart w:id="1" w:name="DocNumber"/>
      <w:r w:rsidRPr="00513049">
        <w:rPr>
          <w:i/>
        </w:rPr>
        <w:instrText>A9-0099/2023</w:instrText>
      </w:r>
      <w:bookmarkEnd w:id="1"/>
      <w:r w:rsidRPr="00513049">
        <w:rPr>
          <w:i/>
        </w:rPr>
        <w:instrText xml:space="preserve"> - Zpravodaj: Biljana Borzan)"\l3 \n&gt; \* MERGEFORMAT </w:instrText>
      </w:r>
      <w:r w:rsidRPr="00513049">
        <w:rPr>
          <w:i/>
        </w:rPr>
        <w:fldChar w:fldCharType="end"/>
      </w:r>
    </w:p>
    <w:p w:rsidR="00A23DCE" w:rsidRPr="00513049" w:rsidRDefault="00A23DCE" w:rsidP="00A23DCE">
      <w:pPr>
        <w:rPr>
          <w:vanish/>
        </w:rPr>
      </w:pPr>
      <w:bookmarkStart w:id="2" w:name="Commission"/>
      <w:r w:rsidRPr="00513049">
        <w:rPr>
          <w:vanish/>
        </w:rPr>
        <w:t>Výbor pro vnitřní trh a ochranu spotřebitelů</w:t>
      </w:r>
      <w:bookmarkEnd w:id="2"/>
    </w:p>
    <w:p w:rsidR="00A23DCE" w:rsidRPr="00513049" w:rsidRDefault="00A23DCE" w:rsidP="00A23DCE">
      <w:pPr>
        <w:rPr>
          <w:vanish/>
        </w:rPr>
      </w:pPr>
      <w:bookmarkStart w:id="3" w:name="PE"/>
      <w:r w:rsidRPr="00513049">
        <w:rPr>
          <w:vanish/>
        </w:rPr>
        <w:t>PE736.537</w:t>
      </w:r>
      <w:bookmarkEnd w:id="3"/>
    </w:p>
    <w:p w:rsidR="00A23DCE" w:rsidRPr="00513049" w:rsidRDefault="00A23DCE" w:rsidP="00A23DCE">
      <w:pPr>
        <w:pStyle w:val="ATHeading3"/>
      </w:pPr>
      <w:bookmarkStart w:id="4" w:name="Sujet"/>
      <w:r w:rsidRPr="00513049">
        <w:t xml:space="preserve">Legislativní usnesení Evropského parlamentu ze dne </w:t>
      </w:r>
      <w:r w:rsidR="00A868EC">
        <w:t>17. ledna 2024</w:t>
      </w:r>
      <w:r w:rsidRPr="00513049">
        <w:t xml:space="preserve"> o návrhu směrnice Evropského parlamentu a Rady, kterou se mění směrnice 2005/29/ES a 2011/83/EU, pokud jde o posílení postavení spotřebitelů pro ekologickou transformaci prostřednictvím lepší ochrany před nekalými praktikami a lepších informací</w:t>
      </w:r>
      <w:bookmarkEnd w:id="4"/>
      <w:r w:rsidRPr="00513049">
        <w:t xml:space="preserve"> </w:t>
      </w:r>
      <w:bookmarkStart w:id="5" w:name="References"/>
      <w:r w:rsidRPr="00513049">
        <w:t>(</w:t>
      </w:r>
      <w:proofErr w:type="gramStart"/>
      <w:r w:rsidRPr="00513049">
        <w:t>COM(2022</w:t>
      </w:r>
      <w:proofErr w:type="gramEnd"/>
      <w:r w:rsidRPr="00513049">
        <w:t>)0143 – C9-0128/2022 – 2022/0092(COD))</w:t>
      </w:r>
      <w:bookmarkEnd w:id="5"/>
    </w:p>
    <w:p w:rsidR="00A23DCE" w:rsidRPr="00513049" w:rsidRDefault="00A23DCE" w:rsidP="00A23DCE"/>
    <w:p w:rsidR="00EA6C15" w:rsidRPr="00513049" w:rsidRDefault="00EA6C15" w:rsidP="00EA6C15">
      <w:pPr>
        <w:pStyle w:val="NormalBold"/>
      </w:pPr>
      <w:bookmarkStart w:id="6" w:name="TextBodyBegin"/>
      <w:bookmarkEnd w:id="6"/>
      <w:r w:rsidRPr="00513049">
        <w:t>(Řádný legislativní postup: první čtení)</w:t>
      </w:r>
    </w:p>
    <w:p w:rsidR="00EA6C15" w:rsidRPr="00513049" w:rsidRDefault="00EA6C15" w:rsidP="00EA6C15">
      <w:pPr>
        <w:pStyle w:val="EPComma"/>
      </w:pPr>
      <w:r w:rsidRPr="00513049">
        <w:rPr>
          <w:i/>
        </w:rPr>
        <w:t>Evropský parlament</w:t>
      </w:r>
      <w:r w:rsidRPr="00513049">
        <w:t>,</w:t>
      </w:r>
    </w:p>
    <w:p w:rsidR="00EA6C15" w:rsidRPr="00513049" w:rsidRDefault="00EA6C15" w:rsidP="00EA6C15">
      <w:pPr>
        <w:pStyle w:val="NormalHanging12a"/>
      </w:pPr>
      <w:r w:rsidRPr="00513049">
        <w:t>–</w:t>
      </w:r>
      <w:r w:rsidRPr="00513049">
        <w:tab/>
        <w:t>s ohledem na návrh Komise předložený Evropskému parlamentu a Radě (</w:t>
      </w:r>
      <w:proofErr w:type="gramStart"/>
      <w:r w:rsidRPr="00513049">
        <w:t>COM(2022</w:t>
      </w:r>
      <w:proofErr w:type="gramEnd"/>
      <w:r w:rsidRPr="00513049">
        <w:t>)0143),</w:t>
      </w:r>
    </w:p>
    <w:p w:rsidR="00EA6C15" w:rsidRPr="00513049" w:rsidRDefault="00EA6C15" w:rsidP="00EA6C15">
      <w:pPr>
        <w:pStyle w:val="NormalHanging12a"/>
      </w:pPr>
      <w:r w:rsidRPr="00513049">
        <w:t>–</w:t>
      </w:r>
      <w:r w:rsidRPr="00513049">
        <w:tab/>
        <w:t>s ohledem na čl. 294 odst. 2 a článek 114 Smlouvy o fungování Evropské unie, v souladu s</w:t>
      </w:r>
      <w:r w:rsidR="00DC51F5" w:rsidRPr="00513049">
        <w:t>e</w:t>
      </w:r>
      <w:r w:rsidRPr="00513049">
        <w:t xml:space="preserve"> </w:t>
      </w:r>
      <w:r w:rsidR="00DC51F5" w:rsidRPr="00513049">
        <w:t>kterými</w:t>
      </w:r>
      <w:r w:rsidRPr="00513049">
        <w:t xml:space="preserve"> Komise předložila svůj návrh Parlamentu (C9</w:t>
      </w:r>
      <w:r w:rsidRPr="00513049">
        <w:noBreakHyphen/>
        <w:t>0128/2022),</w:t>
      </w:r>
    </w:p>
    <w:p w:rsidR="00EA6C15" w:rsidRPr="00513049" w:rsidRDefault="00EA6C15" w:rsidP="00EA6C15">
      <w:pPr>
        <w:pStyle w:val="NormalHanging12a"/>
      </w:pPr>
      <w:r w:rsidRPr="00513049">
        <w:t>–</w:t>
      </w:r>
      <w:r w:rsidRPr="00513049">
        <w:tab/>
        <w:t>s ohledem na čl. 294 odst. 3 Smlouvy o fungování Evropské unie,</w:t>
      </w:r>
    </w:p>
    <w:p w:rsidR="00EA6C15" w:rsidRDefault="00EA6C15" w:rsidP="00EA6C15">
      <w:pPr>
        <w:pStyle w:val="NormalHanging12a"/>
      </w:pPr>
      <w:r w:rsidRPr="00513049">
        <w:t>–</w:t>
      </w:r>
      <w:r w:rsidRPr="00513049">
        <w:tab/>
        <w:t>s ohledem na stanovisko Evropského hospodářského a sociálního výboru ze dne 13. července 2022</w:t>
      </w:r>
      <w:r w:rsidR="00450974">
        <w:rPr>
          <w:rStyle w:val="FootnoteReference"/>
        </w:rPr>
        <w:footnoteReference w:id="1"/>
      </w:r>
      <w:r w:rsidRPr="00513049">
        <w:t>,</w:t>
      </w:r>
    </w:p>
    <w:p w:rsidR="00F551A0" w:rsidRPr="00513049" w:rsidRDefault="00F551A0" w:rsidP="00EA6C15">
      <w:pPr>
        <w:pStyle w:val="NormalHanging12a"/>
        <w:rPr>
          <w:szCs w:val="24"/>
        </w:rPr>
      </w:pPr>
      <w:r>
        <w:t>–</w:t>
      </w:r>
      <w:r>
        <w:tab/>
        <w:t xml:space="preserve">s ohledem na </w:t>
      </w:r>
      <w:r w:rsidRPr="00F551A0">
        <w:t xml:space="preserve">předběžnou dohodu přijatou příslušným výborem podle čl. </w:t>
      </w:r>
      <w:r w:rsidR="00F659B0">
        <w:t>74</w:t>
      </w:r>
      <w:r w:rsidRPr="00F551A0">
        <w:t xml:space="preserve"> odst. 4 jednacího řádu a s ohledem na to, že se zástupce Rady dopisem ze dne </w:t>
      </w:r>
      <w:r w:rsidR="006A0AE2">
        <w:t>25</w:t>
      </w:r>
      <w:r w:rsidRPr="00F551A0">
        <w:t xml:space="preserve">. </w:t>
      </w:r>
      <w:r w:rsidR="006A0AE2">
        <w:t>října</w:t>
      </w:r>
      <w:r w:rsidRPr="00F551A0">
        <w:t xml:space="preserve"> 2023 zavázal schválit postoj Parlamentu v souladu s čl. 294 odst. 4 Smlouvy o fungování Evropské unie,</w:t>
      </w:r>
    </w:p>
    <w:p w:rsidR="00EA6C15" w:rsidRPr="00513049" w:rsidRDefault="00EA6C15" w:rsidP="00EA6C15">
      <w:pPr>
        <w:pStyle w:val="NormalHanging12a"/>
      </w:pPr>
      <w:r w:rsidRPr="00513049">
        <w:t>–</w:t>
      </w:r>
      <w:r w:rsidRPr="00513049">
        <w:tab/>
        <w:t>s ohledem na článek 59 jednacího řádu,</w:t>
      </w:r>
    </w:p>
    <w:p w:rsidR="00EA6C15" w:rsidRPr="00513049" w:rsidRDefault="00EA6C15" w:rsidP="00EA6C15">
      <w:pPr>
        <w:pStyle w:val="NormalHanging12a"/>
      </w:pPr>
      <w:r w:rsidRPr="00513049">
        <w:t>–</w:t>
      </w:r>
      <w:r w:rsidRPr="00513049">
        <w:tab/>
        <w:t>s ohledem na stanovisko Výboru pro životní prostředí, veřejné zdraví a bezpečnost potravin,</w:t>
      </w:r>
    </w:p>
    <w:p w:rsidR="00EA6C15" w:rsidRPr="00513049" w:rsidRDefault="00EA6C15" w:rsidP="00EA6C15">
      <w:pPr>
        <w:pStyle w:val="NormalHanging12a"/>
      </w:pPr>
      <w:r w:rsidRPr="00513049">
        <w:t>–</w:t>
      </w:r>
      <w:r w:rsidRPr="00513049">
        <w:tab/>
        <w:t>s ohledem na zprávu Výboru pro vnitřní trh a ochranu spotřebitelů (A9</w:t>
      </w:r>
      <w:r w:rsidRPr="00513049">
        <w:noBreakHyphen/>
        <w:t>0099/2023),</w:t>
      </w:r>
    </w:p>
    <w:p w:rsidR="00EA6C15" w:rsidRPr="006A0AE2" w:rsidRDefault="00EA6C15" w:rsidP="00EA6C15">
      <w:pPr>
        <w:pStyle w:val="NormalHanging12a"/>
      </w:pPr>
      <w:r w:rsidRPr="00513049">
        <w:lastRenderedPageBreak/>
        <w:t>1.</w:t>
      </w:r>
      <w:r w:rsidRPr="00513049">
        <w:tab/>
        <w:t xml:space="preserve">přijímá níže uvedený postoj v </w:t>
      </w:r>
      <w:r w:rsidRPr="006A0AE2">
        <w:t>prvním čtení</w:t>
      </w:r>
      <w:r w:rsidR="006A0AE2" w:rsidRPr="00450974">
        <w:rPr>
          <w:rStyle w:val="FootnoteReference"/>
        </w:rPr>
        <w:footnoteReference w:id="2"/>
      </w:r>
      <w:r w:rsidRPr="006A0AE2">
        <w:t>;</w:t>
      </w:r>
    </w:p>
    <w:p w:rsidR="00EA6C15" w:rsidRPr="00513049" w:rsidRDefault="00EA6C15" w:rsidP="00EA6C15">
      <w:pPr>
        <w:pStyle w:val="NormalHanging12a"/>
      </w:pPr>
      <w:r w:rsidRPr="00185916">
        <w:t>2.</w:t>
      </w:r>
      <w:r w:rsidRPr="00185916">
        <w:tab/>
        <w:t>vyzývá Komisi, aby věc znovu postoupila Parlamentu, jestliže</w:t>
      </w:r>
      <w:r w:rsidRPr="00513049">
        <w:t xml:space="preserve"> svůj návrh nahradí jiným textem, podstatně jej změní nebo má v úmyslu jej podstatně změnit;</w:t>
      </w:r>
    </w:p>
    <w:p w:rsidR="00EA6C15" w:rsidRPr="00513049" w:rsidRDefault="00EA6C15" w:rsidP="00EA6C15">
      <w:pPr>
        <w:pStyle w:val="NormalHanging12a"/>
      </w:pPr>
      <w:r w:rsidRPr="00513049">
        <w:t>3.</w:t>
      </w:r>
      <w:r w:rsidRPr="00513049">
        <w:tab/>
        <w:t>pověřuje svou předsedkyni, aby předala postoj Parlamentu Radě a Komisi, jakož i vnitrostátním parlamentům.</w:t>
      </w:r>
    </w:p>
    <w:p w:rsidR="00185916" w:rsidRDefault="00185916">
      <w:pPr>
        <w:widowControl/>
        <w:sectPr w:rsidR="00185916" w:rsidSect="00450974">
          <w:footnotePr>
            <w:numRestart w:val="eachSect"/>
          </w:footnotePr>
          <w:endnotePr>
            <w:numFmt w:val="decimal"/>
          </w:endnotePr>
          <w:type w:val="continuous"/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185916" w:rsidRPr="00E37AEA" w:rsidRDefault="00185916" w:rsidP="00185916">
      <w:pPr>
        <w:autoSpaceDE w:val="0"/>
        <w:autoSpaceDN w:val="0"/>
        <w:adjustRightInd w:val="0"/>
        <w:spacing w:after="240"/>
        <w:rPr>
          <w:b/>
          <w:bCs/>
          <w:color w:val="000000"/>
          <w:szCs w:val="24"/>
        </w:rPr>
      </w:pPr>
      <w:r w:rsidRPr="00E37AEA">
        <w:rPr>
          <w:b/>
          <w:bCs/>
          <w:color w:val="000000"/>
          <w:szCs w:val="24"/>
        </w:rPr>
        <w:lastRenderedPageBreak/>
        <w:t>P9_TC1-COD(2022)0092</w:t>
      </w:r>
    </w:p>
    <w:p w:rsidR="00231507" w:rsidRDefault="00185916" w:rsidP="00185916">
      <w:pPr>
        <w:widowControl/>
        <w:rPr>
          <w:rFonts w:eastAsia="Calibri"/>
          <w:b/>
          <w:szCs w:val="24"/>
          <w:lang w:eastAsia="en-US"/>
        </w:rPr>
      </w:pPr>
      <w:r w:rsidRPr="00E37AEA">
        <w:rPr>
          <w:b/>
          <w:bCs/>
          <w:szCs w:val="24"/>
        </w:rPr>
        <w:t>Postoj Evropského parlamentu přijatý v prvním čtení dne 17. ledna 202</w:t>
      </w:r>
      <w:r w:rsidRPr="00E37AEA">
        <w:rPr>
          <w:b/>
          <w:bCs/>
          <w:szCs w:val="24"/>
          <w:lang w:val="ga-IE"/>
        </w:rPr>
        <w:t>4</w:t>
      </w:r>
      <w:r w:rsidRPr="00E37AEA">
        <w:rPr>
          <w:b/>
          <w:bCs/>
          <w:szCs w:val="24"/>
        </w:rPr>
        <w:t xml:space="preserve"> k přijetí </w:t>
      </w:r>
      <w:r w:rsidRPr="00E37AEA">
        <w:rPr>
          <w:rFonts w:eastAsia="Calibri"/>
          <w:b/>
          <w:szCs w:val="24"/>
          <w:lang w:eastAsia="en-US"/>
        </w:rPr>
        <w:t xml:space="preserve">směrnice </w:t>
      </w:r>
      <w:r w:rsidR="00231507" w:rsidRPr="00E37AEA">
        <w:rPr>
          <w:rFonts w:eastAsia="Calibri"/>
          <w:b/>
          <w:szCs w:val="24"/>
          <w:lang w:eastAsia="en-US"/>
        </w:rPr>
        <w:t>(EU) 202</w:t>
      </w:r>
      <w:r w:rsidR="00E37AEA" w:rsidRPr="00E37AEA">
        <w:rPr>
          <w:rFonts w:eastAsia="Calibri"/>
          <w:b/>
          <w:szCs w:val="24"/>
          <w:lang w:eastAsia="en-US"/>
        </w:rPr>
        <w:t>4</w:t>
      </w:r>
      <w:r w:rsidR="00231507" w:rsidRPr="00E37AEA">
        <w:rPr>
          <w:rFonts w:eastAsia="Calibri"/>
          <w:b/>
          <w:szCs w:val="24"/>
          <w:lang w:eastAsia="en-US"/>
        </w:rPr>
        <w:t>/...</w:t>
      </w:r>
      <w:r w:rsidRPr="00E37AEA">
        <w:rPr>
          <w:rFonts w:eastAsia="Calibri"/>
          <w:b/>
          <w:szCs w:val="24"/>
          <w:lang w:eastAsia="en-US"/>
        </w:rPr>
        <w:t xml:space="preserve"> Evropského parlamentu a Rady</w:t>
      </w:r>
      <w:r w:rsidR="00231507" w:rsidRPr="00E37AEA">
        <w:rPr>
          <w:rFonts w:eastAsia="Calibri"/>
          <w:b/>
          <w:szCs w:val="24"/>
          <w:lang w:eastAsia="en-US"/>
        </w:rPr>
        <w:t>,</w:t>
      </w:r>
      <w:r w:rsidRPr="00E37AEA">
        <w:rPr>
          <w:rFonts w:eastAsia="Calibri"/>
          <w:b/>
          <w:szCs w:val="24"/>
          <w:lang w:eastAsia="en-US"/>
        </w:rPr>
        <w:t xml:space="preserve"> </w:t>
      </w:r>
      <w:r w:rsidR="00231507" w:rsidRPr="00E37AEA">
        <w:rPr>
          <w:rFonts w:eastAsia="Calibri"/>
          <w:b/>
          <w:szCs w:val="24"/>
          <w:lang w:eastAsia="en-US"/>
        </w:rPr>
        <w:t>kterou se mění směrnice 2005/29/ES a 2011/83/EU, pokud jde o posílení postavení spotřebitelů v rámci zelené transformace prostřednictvím lepší ochrany před nekalými praktikami a prostřednictvím poskytování lepších informací</w:t>
      </w:r>
    </w:p>
    <w:p w:rsidR="00F1556B" w:rsidRPr="00E37AEA" w:rsidRDefault="00F1556B" w:rsidP="00F1556B">
      <w:pPr>
        <w:widowControl/>
        <w:spacing w:before="480"/>
        <w:rPr>
          <w:b/>
          <w:szCs w:val="24"/>
          <w:lang w:eastAsia="en-US"/>
        </w:rPr>
      </w:pPr>
      <w:bookmarkStart w:id="7" w:name="_GoBack"/>
      <w:bookmarkEnd w:id="7"/>
      <w:r w:rsidRPr="008977C0">
        <w:rPr>
          <w:i/>
        </w:rPr>
        <w:t xml:space="preserve">(Vzhledem k tomu, že bylo dosaženo dohody mezi Parlamentem a Radou, postoj Parlamentu odpovídá konečnému znění legislativního aktu, </w:t>
      </w:r>
      <w:r>
        <w:rPr>
          <w:i/>
        </w:rPr>
        <w:t>směrnici</w:t>
      </w:r>
      <w:r w:rsidRPr="008977C0">
        <w:rPr>
          <w:i/>
        </w:rPr>
        <w:t xml:space="preserve"> (EU) </w:t>
      </w:r>
      <w:r>
        <w:rPr>
          <w:i/>
        </w:rPr>
        <w:t>2024</w:t>
      </w:r>
      <w:r w:rsidRPr="008977C0">
        <w:rPr>
          <w:i/>
        </w:rPr>
        <w:t>/</w:t>
      </w:r>
      <w:r>
        <w:rPr>
          <w:i/>
        </w:rPr>
        <w:t>825</w:t>
      </w:r>
      <w:r>
        <w:rPr>
          <w:i/>
        </w:rPr>
        <w:t>.)</w:t>
      </w:r>
    </w:p>
    <w:sectPr w:rsidR="00F1556B" w:rsidRPr="00E37AEA" w:rsidSect="00A77AB3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74E6" w:rsidRPr="00A77AB3" w:rsidRDefault="00CC74E6">
      <w:r w:rsidRPr="00A77AB3">
        <w:separator/>
      </w:r>
    </w:p>
  </w:endnote>
  <w:endnote w:type="continuationSeparator" w:id="0">
    <w:p w:rsidR="00CC74E6" w:rsidRPr="00A77AB3" w:rsidRDefault="00CC74E6">
      <w:r w:rsidRPr="00A77AB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unito Sans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74E6" w:rsidRPr="00A77AB3" w:rsidRDefault="00CC74E6">
      <w:r w:rsidRPr="00A77AB3">
        <w:separator/>
      </w:r>
    </w:p>
  </w:footnote>
  <w:footnote w:type="continuationSeparator" w:id="0">
    <w:p w:rsidR="00CC74E6" w:rsidRPr="00A77AB3" w:rsidRDefault="00CC74E6">
      <w:r w:rsidRPr="00A77AB3">
        <w:continuationSeparator/>
      </w:r>
    </w:p>
  </w:footnote>
  <w:footnote w:id="1">
    <w:p w:rsidR="00450974" w:rsidRPr="00E37AEA" w:rsidRDefault="00450974" w:rsidP="00E37AEA">
      <w:pPr>
        <w:pStyle w:val="FootnoteText"/>
        <w:ind w:left="567" w:hanging="567"/>
        <w:rPr>
          <w:sz w:val="24"/>
          <w:szCs w:val="24"/>
          <w:lang w:val="cs-CZ"/>
        </w:rPr>
      </w:pPr>
      <w:r w:rsidRPr="00E37AEA">
        <w:rPr>
          <w:rStyle w:val="FootnoteReference"/>
          <w:sz w:val="24"/>
          <w:szCs w:val="24"/>
        </w:rPr>
        <w:footnoteRef/>
      </w:r>
      <w:r w:rsidRPr="00E37AEA">
        <w:rPr>
          <w:sz w:val="24"/>
          <w:szCs w:val="24"/>
        </w:rPr>
        <w:t xml:space="preserve"> </w:t>
      </w:r>
      <w:r w:rsidRPr="00E37AEA">
        <w:rPr>
          <w:sz w:val="24"/>
          <w:szCs w:val="24"/>
          <w:lang w:val="cs-CZ"/>
        </w:rPr>
        <w:tab/>
      </w:r>
      <w:proofErr w:type="spellStart"/>
      <w:r w:rsidRPr="00E37AEA">
        <w:rPr>
          <w:sz w:val="24"/>
          <w:szCs w:val="24"/>
          <w:lang w:val="cs-CZ"/>
        </w:rPr>
        <w:t>Úř</w:t>
      </w:r>
      <w:proofErr w:type="spellEnd"/>
      <w:r w:rsidRPr="00E37AEA">
        <w:rPr>
          <w:sz w:val="24"/>
          <w:szCs w:val="24"/>
          <w:lang w:val="cs-CZ"/>
        </w:rPr>
        <w:t xml:space="preserve">. </w:t>
      </w:r>
      <w:proofErr w:type="spellStart"/>
      <w:proofErr w:type="gramStart"/>
      <w:r w:rsidRPr="00E37AEA">
        <w:rPr>
          <w:sz w:val="24"/>
          <w:szCs w:val="24"/>
          <w:lang w:val="cs-CZ"/>
        </w:rPr>
        <w:t>věst</w:t>
      </w:r>
      <w:proofErr w:type="spellEnd"/>
      <w:proofErr w:type="gramEnd"/>
      <w:r w:rsidRPr="00E37AEA">
        <w:rPr>
          <w:sz w:val="24"/>
          <w:szCs w:val="24"/>
          <w:lang w:val="cs-CZ"/>
        </w:rPr>
        <w:t xml:space="preserve">. C 443, </w:t>
      </w:r>
      <w:proofErr w:type="gramStart"/>
      <w:r w:rsidRPr="00E37AEA">
        <w:rPr>
          <w:sz w:val="24"/>
          <w:szCs w:val="24"/>
          <w:lang w:val="cs-CZ"/>
        </w:rPr>
        <w:t>22.11.2022</w:t>
      </w:r>
      <w:proofErr w:type="gramEnd"/>
      <w:r w:rsidRPr="00E37AEA">
        <w:rPr>
          <w:sz w:val="24"/>
          <w:szCs w:val="24"/>
          <w:lang w:val="cs-CZ"/>
        </w:rPr>
        <w:t>, s. 75.</w:t>
      </w:r>
    </w:p>
  </w:footnote>
  <w:footnote w:id="2">
    <w:p w:rsidR="006A0AE2" w:rsidRPr="00E37AEA" w:rsidRDefault="006A0AE2" w:rsidP="00E37AEA">
      <w:pPr>
        <w:pStyle w:val="FootnoteText"/>
        <w:ind w:left="567" w:hanging="567"/>
        <w:rPr>
          <w:sz w:val="24"/>
          <w:szCs w:val="24"/>
          <w:lang w:val="cs-CZ"/>
        </w:rPr>
      </w:pPr>
      <w:r w:rsidRPr="00E37AEA">
        <w:rPr>
          <w:rStyle w:val="FootnoteReference"/>
          <w:sz w:val="24"/>
          <w:szCs w:val="24"/>
        </w:rPr>
        <w:footnoteRef/>
      </w:r>
      <w:r w:rsidRPr="00E37AEA">
        <w:rPr>
          <w:sz w:val="24"/>
          <w:szCs w:val="24"/>
          <w:lang w:val="cs-CZ"/>
        </w:rPr>
        <w:t xml:space="preserve"> </w:t>
      </w:r>
      <w:r w:rsidRPr="00E37AEA">
        <w:rPr>
          <w:sz w:val="24"/>
          <w:szCs w:val="24"/>
          <w:lang w:val="cs-CZ"/>
        </w:rPr>
        <w:tab/>
      </w:r>
      <w:r w:rsidR="00D26E32" w:rsidRPr="00E37AEA">
        <w:rPr>
          <w:sz w:val="24"/>
          <w:szCs w:val="24"/>
          <w:lang w:val="cs-CZ"/>
        </w:rPr>
        <w:t>Tento postoj nahrazuje pozměňovací návrhy přijaté dne</w:t>
      </w:r>
      <w:r w:rsidRPr="00E37AEA">
        <w:rPr>
          <w:sz w:val="24"/>
          <w:szCs w:val="24"/>
          <w:lang w:val="cs-CZ"/>
        </w:rPr>
        <w:t xml:space="preserve"> </w:t>
      </w:r>
      <w:r w:rsidR="00D26E32" w:rsidRPr="00E37AEA">
        <w:rPr>
          <w:sz w:val="24"/>
          <w:szCs w:val="24"/>
          <w:lang w:val="cs-CZ"/>
        </w:rPr>
        <w:t xml:space="preserve">11. května </w:t>
      </w:r>
      <w:r w:rsidRPr="00E37AEA">
        <w:rPr>
          <w:sz w:val="24"/>
          <w:szCs w:val="24"/>
          <w:lang w:val="cs-CZ"/>
        </w:rPr>
        <w:t>2023 (</w:t>
      </w:r>
      <w:r w:rsidR="00AD2D95" w:rsidRPr="00E37AEA">
        <w:rPr>
          <w:sz w:val="24"/>
          <w:szCs w:val="24"/>
          <w:lang w:val="cs-CZ"/>
        </w:rPr>
        <w:t>Přijaté texty</w:t>
      </w:r>
      <w:r w:rsidRPr="00E37AEA">
        <w:rPr>
          <w:sz w:val="24"/>
          <w:szCs w:val="24"/>
          <w:lang w:val="cs-CZ"/>
        </w:rPr>
        <w:t>, P9_TA(2023)0201).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99/2023"/>
    <w:docVar w:name="dvlangue" w:val="CS"/>
    <w:docVar w:name="dvnumam" w:val="180"/>
    <w:docVar w:name="dvpe" w:val="736.537"/>
    <w:docVar w:name="dvrapporteur" w:val="Zpravodaj: "/>
    <w:docVar w:name="dvstar" w:val="***I"/>
    <w:docVar w:name="dvtitre" w:val="Legislativní usnesení Evropského parlamentu ze dne 9. května 2023 o návrhu směrnice Evropského parlamentu a Rady, kterou se mění směrnice 2005/29/ES a 2011/83/EU, pokud jde o posílení postavení spotřebitelů pro ekologickou transformaci prostřednictvím lepší ochrany před nekalými praktikami a lepších informací(COM(2022)0143 – C9-0128/2022 – 2022/0092(COD))"/>
  </w:docVars>
  <w:rsids>
    <w:rsidRoot w:val="00A23DCE"/>
    <w:rsid w:val="00002272"/>
    <w:rsid w:val="00064002"/>
    <w:rsid w:val="000677B9"/>
    <w:rsid w:val="000831BA"/>
    <w:rsid w:val="000A42CC"/>
    <w:rsid w:val="000B464D"/>
    <w:rsid w:val="000E7DD9"/>
    <w:rsid w:val="0010095E"/>
    <w:rsid w:val="00125B37"/>
    <w:rsid w:val="00185916"/>
    <w:rsid w:val="00187494"/>
    <w:rsid w:val="001F32AE"/>
    <w:rsid w:val="00231507"/>
    <w:rsid w:val="002767FF"/>
    <w:rsid w:val="002B18FE"/>
    <w:rsid w:val="002B5493"/>
    <w:rsid w:val="002D6F18"/>
    <w:rsid w:val="00343214"/>
    <w:rsid w:val="00361C00"/>
    <w:rsid w:val="00395FA1"/>
    <w:rsid w:val="003C55C6"/>
    <w:rsid w:val="003E15D4"/>
    <w:rsid w:val="00411CCE"/>
    <w:rsid w:val="0041666E"/>
    <w:rsid w:val="00421060"/>
    <w:rsid w:val="00450974"/>
    <w:rsid w:val="00471C19"/>
    <w:rsid w:val="004867E3"/>
    <w:rsid w:val="00494A28"/>
    <w:rsid w:val="004C0004"/>
    <w:rsid w:val="004C5D52"/>
    <w:rsid w:val="0050519A"/>
    <w:rsid w:val="005072A1"/>
    <w:rsid w:val="00513049"/>
    <w:rsid w:val="00514517"/>
    <w:rsid w:val="00545827"/>
    <w:rsid w:val="00560270"/>
    <w:rsid w:val="005701CD"/>
    <w:rsid w:val="005C2568"/>
    <w:rsid w:val="006037C0"/>
    <w:rsid w:val="0064671B"/>
    <w:rsid w:val="006631B6"/>
    <w:rsid w:val="00680577"/>
    <w:rsid w:val="006A0AE2"/>
    <w:rsid w:val="006F74FA"/>
    <w:rsid w:val="0071385F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77A6"/>
    <w:rsid w:val="00817416"/>
    <w:rsid w:val="00842779"/>
    <w:rsid w:val="00865F67"/>
    <w:rsid w:val="00881A7B"/>
    <w:rsid w:val="008840E5"/>
    <w:rsid w:val="00887B3E"/>
    <w:rsid w:val="008C2AC6"/>
    <w:rsid w:val="0093013F"/>
    <w:rsid w:val="00930C23"/>
    <w:rsid w:val="0093193B"/>
    <w:rsid w:val="00934C22"/>
    <w:rsid w:val="009509D8"/>
    <w:rsid w:val="00950B64"/>
    <w:rsid w:val="00981893"/>
    <w:rsid w:val="00A028D8"/>
    <w:rsid w:val="00A1687D"/>
    <w:rsid w:val="00A23DCE"/>
    <w:rsid w:val="00A43E52"/>
    <w:rsid w:val="00A4678D"/>
    <w:rsid w:val="00A778C7"/>
    <w:rsid w:val="00A77AB3"/>
    <w:rsid w:val="00A868EC"/>
    <w:rsid w:val="00A9740A"/>
    <w:rsid w:val="00AB441E"/>
    <w:rsid w:val="00AB6293"/>
    <w:rsid w:val="00AD2D95"/>
    <w:rsid w:val="00AD36BC"/>
    <w:rsid w:val="00AE0928"/>
    <w:rsid w:val="00AF3B82"/>
    <w:rsid w:val="00B12E95"/>
    <w:rsid w:val="00B22876"/>
    <w:rsid w:val="00B558F0"/>
    <w:rsid w:val="00B85854"/>
    <w:rsid w:val="00BD48FE"/>
    <w:rsid w:val="00BD7BD8"/>
    <w:rsid w:val="00BE6194"/>
    <w:rsid w:val="00BE6ADC"/>
    <w:rsid w:val="00C05BFE"/>
    <w:rsid w:val="00C23CD4"/>
    <w:rsid w:val="00C61C0C"/>
    <w:rsid w:val="00C941CB"/>
    <w:rsid w:val="00CC2357"/>
    <w:rsid w:val="00CC33C2"/>
    <w:rsid w:val="00CC74E6"/>
    <w:rsid w:val="00CF071A"/>
    <w:rsid w:val="00D058B8"/>
    <w:rsid w:val="00D26E32"/>
    <w:rsid w:val="00D56C11"/>
    <w:rsid w:val="00D6691F"/>
    <w:rsid w:val="00D834A0"/>
    <w:rsid w:val="00D872DF"/>
    <w:rsid w:val="00D91E21"/>
    <w:rsid w:val="00DA7FCD"/>
    <w:rsid w:val="00DC51F5"/>
    <w:rsid w:val="00E365E1"/>
    <w:rsid w:val="00E37AEA"/>
    <w:rsid w:val="00E728AD"/>
    <w:rsid w:val="00E820A4"/>
    <w:rsid w:val="00EA6C15"/>
    <w:rsid w:val="00EB006A"/>
    <w:rsid w:val="00EB4772"/>
    <w:rsid w:val="00ED169E"/>
    <w:rsid w:val="00ED4235"/>
    <w:rsid w:val="00ED7D72"/>
    <w:rsid w:val="00F04346"/>
    <w:rsid w:val="00F075DC"/>
    <w:rsid w:val="00F149E9"/>
    <w:rsid w:val="00F1556B"/>
    <w:rsid w:val="00F5134D"/>
    <w:rsid w:val="00F551A0"/>
    <w:rsid w:val="00F659B0"/>
    <w:rsid w:val="00F74202"/>
    <w:rsid w:val="00F87713"/>
    <w:rsid w:val="00F92C4A"/>
    <w:rsid w:val="00FB4360"/>
    <w:rsid w:val="00FD0C70"/>
    <w:rsid w:val="00FF2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F77F7A"/>
  <w15:chartTrackingRefBased/>
  <w15:docId w15:val="{345F79E7-A0D7-4ED2-BD8C-9ED55703A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BVI fnr,Footnote symbol,16 Point,Superscript 6 Point,Footnote Reference Number,Footnote Reference_LVL6,Footnote Reference_LVL61,Footnote Reference_LVL62,Footnote Reference_LVL63,Footnote Reference_LVL64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EA6C15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EA6C15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EA6C15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EA6C15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EA6C15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EA6C15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semiHidden/>
    <w:rsid w:val="00EA6C15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semiHidden/>
    <w:rsid w:val="00EA6C15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semiHidden/>
    <w:rsid w:val="00EA6C15"/>
    <w:rPr>
      <w:rFonts w:ascii="Arial" w:hAnsi="Arial"/>
      <w:b/>
      <w:i/>
      <w:sz w:val="18"/>
      <w:lang w:val="cs-CZ"/>
    </w:rPr>
  </w:style>
  <w:style w:type="paragraph" w:styleId="TOCHeading">
    <w:name w:val="TOC Heading"/>
    <w:basedOn w:val="Normal"/>
    <w:next w:val="Normal"/>
    <w:uiPriority w:val="39"/>
    <w:unhideWhenUsed/>
    <w:qFormat/>
    <w:rsid w:val="00EA6C15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EA6C15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EA6C15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EA6C15"/>
    <w:pPr>
      <w:spacing w:after="120"/>
    </w:pPr>
  </w:style>
  <w:style w:type="paragraph" w:customStyle="1" w:styleId="PageHeading">
    <w:name w:val="PageHeading"/>
    <w:basedOn w:val="Normal"/>
    <w:rsid w:val="00EA6C1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EA6C15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EA6C15"/>
    <w:rPr>
      <w:b/>
      <w:sz w:val="24"/>
      <w:lang w:val="cs-CZ"/>
    </w:rPr>
  </w:style>
  <w:style w:type="paragraph" w:customStyle="1" w:styleId="NormalBold12a">
    <w:name w:val="NormalBold12a"/>
    <w:basedOn w:val="Normal"/>
    <w:rsid w:val="00EA6C15"/>
    <w:pPr>
      <w:spacing w:after="240"/>
    </w:pPr>
    <w:rPr>
      <w:b/>
    </w:rPr>
  </w:style>
  <w:style w:type="paragraph" w:customStyle="1" w:styleId="AmJustText">
    <w:name w:val="AmJustText"/>
    <w:basedOn w:val="Normal"/>
    <w:rsid w:val="00EA6C15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EA6C15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EA6C15"/>
    <w:pPr>
      <w:spacing w:after="480"/>
      <w:ind w:left="1417"/>
    </w:pPr>
  </w:style>
  <w:style w:type="paragraph" w:customStyle="1" w:styleId="CoverNormal">
    <w:name w:val="CoverNormal"/>
    <w:basedOn w:val="Normal"/>
    <w:rsid w:val="00EA6C15"/>
    <w:pPr>
      <w:ind w:left="1418"/>
    </w:pPr>
  </w:style>
  <w:style w:type="paragraph" w:customStyle="1" w:styleId="AmCrossRef">
    <w:name w:val="AmCrossRef"/>
    <w:basedOn w:val="Normal"/>
    <w:rsid w:val="00EA6C15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EA6C15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EA6C15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EA6C15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EA6C15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EA6C15"/>
    <w:pPr>
      <w:spacing w:before="240" w:after="1200"/>
    </w:pPr>
  </w:style>
  <w:style w:type="paragraph" w:styleId="Header">
    <w:name w:val="header"/>
    <w:basedOn w:val="Normal"/>
    <w:link w:val="HeaderChar"/>
    <w:rsid w:val="00EA6C1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EA6C15"/>
    <w:rPr>
      <w:sz w:val="24"/>
      <w:lang w:val="cs-CZ"/>
    </w:rPr>
  </w:style>
  <w:style w:type="paragraph" w:customStyle="1" w:styleId="AmOrLang">
    <w:name w:val="AmOrLang"/>
    <w:basedOn w:val="Normal"/>
    <w:rsid w:val="00EA6C15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EA6C15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EA6C1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EA6C15"/>
    <w:pPr>
      <w:spacing w:before="240"/>
    </w:pPr>
    <w:rPr>
      <w:b/>
    </w:rPr>
  </w:style>
  <w:style w:type="character" w:customStyle="1" w:styleId="NormalBold12bChar">
    <w:name w:val="NormalBold12b Char"/>
    <w:basedOn w:val="DefaultParagraphFont"/>
    <w:link w:val="NormalBold12b"/>
    <w:rsid w:val="00EA6C15"/>
    <w:rPr>
      <w:b/>
      <w:sz w:val="24"/>
      <w:lang w:val="cs-CZ"/>
    </w:rPr>
  </w:style>
  <w:style w:type="paragraph" w:customStyle="1" w:styleId="EPBody">
    <w:name w:val="EPBody"/>
    <w:basedOn w:val="Normal"/>
    <w:rsid w:val="00EA6C15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EA6C1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EA6C15"/>
    <w:pPr>
      <w:spacing w:before="480" w:after="240"/>
    </w:pPr>
  </w:style>
  <w:style w:type="paragraph" w:customStyle="1" w:styleId="Lgendesigne">
    <w:name w:val="Légende signe"/>
    <w:basedOn w:val="Normal"/>
    <w:rsid w:val="00EA6C15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EA6C15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EA6C15"/>
    <w:rPr>
      <w:sz w:val="18"/>
    </w:rPr>
  </w:style>
  <w:style w:type="character" w:styleId="Hyperlink">
    <w:name w:val="Hyperlink"/>
    <w:basedOn w:val="DefaultParagraphFont"/>
    <w:uiPriority w:val="99"/>
    <w:unhideWhenUsed/>
    <w:rsid w:val="00EA6C15"/>
    <w:rPr>
      <w:color w:val="0563C1" w:themeColor="hyperlink"/>
      <w:u w:val="single"/>
    </w:rPr>
  </w:style>
  <w:style w:type="paragraph" w:customStyle="1" w:styleId="msonormal0">
    <w:name w:val="msonormal"/>
    <w:basedOn w:val="Normal"/>
    <w:rsid w:val="00EA6C15"/>
    <w:pPr>
      <w:widowControl/>
      <w:spacing w:before="100" w:beforeAutospacing="1" w:after="100" w:afterAutospacing="1"/>
    </w:pPr>
    <w:rPr>
      <w:szCs w:val="24"/>
    </w:rPr>
  </w:style>
  <w:style w:type="character" w:customStyle="1" w:styleId="Normal12Char">
    <w:name w:val="Normal12 Char"/>
    <w:basedOn w:val="DefaultParagraphFont"/>
    <w:link w:val="Normal12"/>
    <w:locked/>
    <w:rsid w:val="00EA6C15"/>
    <w:rPr>
      <w:noProof/>
      <w:sz w:val="24"/>
    </w:rPr>
  </w:style>
  <w:style w:type="paragraph" w:customStyle="1" w:styleId="Normal12">
    <w:name w:val="Normal12"/>
    <w:basedOn w:val="Normal"/>
    <w:link w:val="Normal12Char"/>
    <w:rsid w:val="00EA6C15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EA6C15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EA6C15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EA6C15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EA6C15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EA6C15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EA6C15"/>
    <w:rPr>
      <w:sz w:val="24"/>
      <w:lang w:val="cs-CZ"/>
    </w:rPr>
  </w:style>
  <w:style w:type="paragraph" w:customStyle="1" w:styleId="Normal6">
    <w:name w:val="Normal6"/>
    <w:basedOn w:val="Normal"/>
    <w:link w:val="Normal6Char"/>
    <w:rsid w:val="00EA6C15"/>
    <w:pPr>
      <w:spacing w:after="120"/>
    </w:pPr>
  </w:style>
  <w:style w:type="paragraph" w:customStyle="1" w:styleId="Normal12Italic">
    <w:name w:val="Normal12Italic"/>
    <w:basedOn w:val="Normal12"/>
    <w:rsid w:val="00EA6C15"/>
    <w:rPr>
      <w:i/>
    </w:rPr>
  </w:style>
  <w:style w:type="paragraph" w:customStyle="1" w:styleId="JustificationTitle">
    <w:name w:val="JustificationTitle"/>
    <w:basedOn w:val="Normal"/>
    <w:next w:val="Normal12"/>
    <w:rsid w:val="00EA6C15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EA6C15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EA6C15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link w:val="AMNumberTabsChar"/>
    <w:rsid w:val="00EA6C1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0"/>
    <w:rsid w:val="00EA6C15"/>
    <w:rPr>
      <w:b/>
      <w:sz w:val="24"/>
      <w:lang w:val="cs-CZ"/>
    </w:rPr>
  </w:style>
  <w:style w:type="paragraph" w:customStyle="1" w:styleId="CrossRef">
    <w:name w:val="CrossRef"/>
    <w:basedOn w:val="Normal"/>
    <w:rsid w:val="00EA6C15"/>
    <w:pPr>
      <w:spacing w:before="240"/>
      <w:jc w:val="center"/>
    </w:pPr>
    <w:rPr>
      <w:i/>
    </w:rPr>
  </w:style>
  <w:style w:type="character" w:customStyle="1" w:styleId="Footer2Middle">
    <w:name w:val="Footer2Middle"/>
    <w:rsid w:val="00EA6C15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EA6C15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nhideWhenUsed/>
    <w:rsid w:val="00EA6C1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A6C15"/>
    <w:rPr>
      <w:rFonts w:ascii="Segoe UI" w:hAnsi="Segoe UI" w:cs="Segoe UI"/>
      <w:sz w:val="18"/>
      <w:szCs w:val="18"/>
      <w:lang w:val="cs-CZ"/>
    </w:rPr>
  </w:style>
  <w:style w:type="character" w:styleId="CommentReference">
    <w:name w:val="annotation reference"/>
    <w:basedOn w:val="DefaultParagraphFont"/>
    <w:rsid w:val="00EA6C15"/>
    <w:rPr>
      <w:sz w:val="16"/>
      <w:szCs w:val="16"/>
    </w:rPr>
  </w:style>
  <w:style w:type="paragraph" w:styleId="CommentText">
    <w:name w:val="annotation text"/>
    <w:basedOn w:val="Normal"/>
    <w:link w:val="CommentTextChar"/>
    <w:rsid w:val="00EA6C1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A6C15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EA6C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A6C15"/>
    <w:rPr>
      <w:b/>
      <w:bCs/>
      <w:lang w:val="cs-CZ"/>
    </w:rPr>
  </w:style>
  <w:style w:type="paragraph" w:customStyle="1" w:styleId="Normal12a">
    <w:name w:val="Normal12a"/>
    <w:basedOn w:val="Normal"/>
    <w:rsid w:val="00EA6C15"/>
    <w:pPr>
      <w:spacing w:after="240"/>
    </w:pPr>
  </w:style>
  <w:style w:type="paragraph" w:customStyle="1" w:styleId="PageHeadingNotTOC">
    <w:name w:val="PageHeadingNotTOC"/>
    <w:basedOn w:val="Normal"/>
    <w:rsid w:val="00EA6C1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EA6C15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Normal24a">
    <w:name w:val="Normal24a"/>
    <w:basedOn w:val="Normal"/>
    <w:rsid w:val="00EA6C15"/>
    <w:pPr>
      <w:spacing w:after="480"/>
    </w:pPr>
  </w:style>
  <w:style w:type="paragraph" w:customStyle="1" w:styleId="NormalBoldCenter">
    <w:name w:val="NormalBoldCenter"/>
    <w:basedOn w:val="Normal"/>
    <w:rsid w:val="00EA6C15"/>
    <w:pPr>
      <w:jc w:val="center"/>
    </w:pPr>
    <w:rPr>
      <w:b/>
    </w:rPr>
  </w:style>
  <w:style w:type="paragraph" w:customStyle="1" w:styleId="title-bold">
    <w:name w:val="title-bold"/>
    <w:basedOn w:val="Normal"/>
    <w:rsid w:val="00EA6C15"/>
    <w:pPr>
      <w:widowControl/>
      <w:spacing w:before="100" w:beforeAutospacing="1" w:after="100" w:afterAutospacing="1"/>
    </w:pPr>
    <w:rPr>
      <w:szCs w:val="24"/>
    </w:rPr>
  </w:style>
  <w:style w:type="paragraph" w:styleId="NormalWeb">
    <w:name w:val="Normal (Web)"/>
    <w:basedOn w:val="Normal"/>
    <w:uiPriority w:val="99"/>
    <w:unhideWhenUsed/>
    <w:rsid w:val="00EA6C15"/>
    <w:pPr>
      <w:widowControl/>
      <w:spacing w:before="100" w:beforeAutospacing="1" w:after="100" w:afterAutospacing="1"/>
    </w:pPr>
    <w:rPr>
      <w:szCs w:val="24"/>
    </w:rPr>
  </w:style>
  <w:style w:type="paragraph" w:customStyle="1" w:styleId="RollCallSymbols14pt">
    <w:name w:val="RollCallSymbols14pt"/>
    <w:basedOn w:val="Normal"/>
    <w:rsid w:val="00EA6C15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EA6C15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EA6C15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EA6C15"/>
    <w:pPr>
      <w:spacing w:before="120" w:after="120"/>
    </w:pPr>
    <w:rPr>
      <w:snapToGrid w:val="0"/>
      <w:sz w:val="16"/>
      <w:lang w:eastAsia="en-US"/>
    </w:rPr>
  </w:style>
  <w:style w:type="paragraph" w:customStyle="1" w:styleId="Default">
    <w:name w:val="Default"/>
    <w:rsid w:val="00EA6C15"/>
    <w:pPr>
      <w:autoSpaceDE w:val="0"/>
      <w:autoSpaceDN w:val="0"/>
      <w:adjustRightInd w:val="0"/>
    </w:pPr>
    <w:rPr>
      <w:rFonts w:ascii="Nunito Sans" w:eastAsiaTheme="minorHAnsi" w:hAnsi="Nunito Sans" w:cs="Nunito Sans"/>
      <w:color w:val="000000"/>
      <w:sz w:val="24"/>
      <w:szCs w:val="24"/>
      <w:lang w:val="cs-CZ" w:eastAsia="en-US"/>
    </w:rPr>
  </w:style>
  <w:style w:type="character" w:styleId="Emphasis">
    <w:name w:val="Emphasis"/>
    <w:basedOn w:val="DefaultParagraphFont"/>
    <w:uiPriority w:val="20"/>
    <w:qFormat/>
    <w:rsid w:val="00EA6C15"/>
    <w:rPr>
      <w:i/>
      <w:iCs/>
    </w:rPr>
  </w:style>
  <w:style w:type="paragraph" w:customStyle="1" w:styleId="Point3">
    <w:name w:val="Point 3"/>
    <w:basedOn w:val="Normal"/>
    <w:rsid w:val="00EA6C15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styleId="Footer">
    <w:name w:val="footer"/>
    <w:basedOn w:val="Normal"/>
    <w:link w:val="FooterChar"/>
    <w:rsid w:val="00EA6C1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EA6C15"/>
    <w:rPr>
      <w:sz w:val="24"/>
      <w:lang w:val="cs-CZ"/>
    </w:rPr>
  </w:style>
  <w:style w:type="character" w:customStyle="1" w:styleId="diff-tte-added">
    <w:name w:val="diff-tte-added"/>
    <w:basedOn w:val="DefaultParagraphFont"/>
    <w:rsid w:val="00231507"/>
    <w:rPr>
      <w:b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A2A1E8-965C-4EA2-A5C1-5340DFC0F8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340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Jindra Konopková</cp:lastModifiedBy>
  <cp:revision>2</cp:revision>
  <cp:lastPrinted>2004-11-19T15:42:00Z</cp:lastPrinted>
  <dcterms:created xsi:type="dcterms:W3CDTF">2024-05-21T13:37:00Z</dcterms:created>
  <dcterms:modified xsi:type="dcterms:W3CDTF">2024-05-21T13:37:00Z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P9_TA(2024)0018_</vt:lpwstr>
  </property>
  <property fmtid="{D5CDD505-2E9C-101B-9397-08002B2CF9AE}" pid="4" name="&lt;Type&gt;">
    <vt:lpwstr>RR</vt:lpwstr>
  </property>
</Properties>
</file>